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C77D" w14:textId="6DBB3E4F" w:rsidR="008D0AC4" w:rsidRPr="00D75D4A" w:rsidRDefault="00D75D4A" w:rsidP="00D75D4A">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D75D4A">
        <w:rPr>
          <w:rFonts w:ascii="黑体" w:eastAsia="黑体" w:hAnsi="Times New Roman" w:cs="Times New Roman"/>
          <w:bCs/>
          <w:color w:val="auto"/>
          <w:sz w:val="44"/>
          <w:szCs w:val="44"/>
        </w:rPr>
        <w:t>日本债券市场增信体系研究</w:t>
      </w:r>
    </w:p>
    <w:p w14:paraId="3D49CD9B" w14:textId="77777777" w:rsidR="00D75D4A" w:rsidRDefault="00D75D4A"/>
    <w:p w14:paraId="74A50807" w14:textId="211D3775" w:rsidR="00D75D4A" w:rsidRPr="00800D22" w:rsidRDefault="00D75D4A" w:rsidP="00D75D4A">
      <w:pPr>
        <w:pStyle w:val="3"/>
        <w:adjustRightInd w:val="0"/>
        <w:spacing w:beforeLines="50" w:before="156" w:afterLines="50" w:after="156" w:line="440" w:lineRule="exact"/>
        <w:jc w:val="left"/>
        <w:rPr>
          <w:rFonts w:ascii="黑体" w:eastAsia="黑体"/>
          <w:b/>
          <w:sz w:val="28"/>
          <w:szCs w:val="28"/>
        </w:rPr>
      </w:pPr>
      <w:bookmarkStart w:id="0" w:name="_Toc238267513"/>
      <w:bookmarkStart w:id="1" w:name="_Toc238270156"/>
      <w:bookmarkStart w:id="2" w:name="_Toc238701449"/>
      <w:bookmarkStart w:id="3" w:name="_Toc239689223"/>
      <w:bookmarkStart w:id="4" w:name="_Toc247869842"/>
      <w:bookmarkStart w:id="5" w:name="_Toc256506277"/>
      <w:r>
        <w:rPr>
          <w:rFonts w:ascii="黑体" w:eastAsia="黑体" w:hint="eastAsia"/>
          <w:b/>
          <w:sz w:val="28"/>
          <w:szCs w:val="28"/>
        </w:rPr>
        <w:t>一、</w:t>
      </w:r>
      <w:r w:rsidRPr="00800D22">
        <w:rPr>
          <w:rFonts w:ascii="黑体" w:eastAsia="黑体"/>
          <w:b/>
          <w:sz w:val="28"/>
          <w:szCs w:val="28"/>
        </w:rPr>
        <w:t>日本债券市场发展及现状</w:t>
      </w:r>
      <w:bookmarkEnd w:id="0"/>
      <w:bookmarkEnd w:id="1"/>
      <w:bookmarkEnd w:id="2"/>
      <w:bookmarkEnd w:id="3"/>
      <w:bookmarkEnd w:id="4"/>
      <w:bookmarkEnd w:id="5"/>
    </w:p>
    <w:p w14:paraId="7A31EE86" w14:textId="77777777" w:rsidR="00D75D4A" w:rsidRPr="00800D22" w:rsidRDefault="00D75D4A" w:rsidP="00D75D4A">
      <w:pPr>
        <w:spacing w:line="440" w:lineRule="exact"/>
        <w:ind w:firstLineChars="200" w:firstLine="480"/>
        <w:rPr>
          <w:kern w:val="0"/>
          <w:sz w:val="24"/>
        </w:rPr>
      </w:pPr>
      <w:r w:rsidRPr="00800D22">
        <w:rPr>
          <w:kern w:val="0"/>
          <w:sz w:val="24"/>
        </w:rPr>
        <w:t>日本债券市场规模较大，截至</w:t>
      </w:r>
      <w:r w:rsidRPr="00800D22">
        <w:rPr>
          <w:kern w:val="0"/>
          <w:sz w:val="24"/>
        </w:rPr>
        <w:t>2008</w:t>
      </w:r>
      <w:r w:rsidRPr="00800D22">
        <w:rPr>
          <w:kern w:val="0"/>
          <w:sz w:val="24"/>
        </w:rPr>
        <w:t>年末达到</w:t>
      </w:r>
      <w:r w:rsidRPr="00800D22">
        <w:rPr>
          <w:kern w:val="0"/>
          <w:sz w:val="24"/>
        </w:rPr>
        <w:t>11.08</w:t>
      </w:r>
      <w:proofErr w:type="gramStart"/>
      <w:r w:rsidRPr="00800D22">
        <w:rPr>
          <w:kern w:val="0"/>
          <w:sz w:val="24"/>
        </w:rPr>
        <w:t>万亿</w:t>
      </w:r>
      <w:proofErr w:type="gramEnd"/>
      <w:r w:rsidRPr="00800D22">
        <w:rPr>
          <w:kern w:val="0"/>
          <w:sz w:val="24"/>
        </w:rPr>
        <w:t>美元（不包括证券化产品），仅次于美国。从债券品种来看，主要包括国债、地方政府公债、金融机构债券和公司债券。日本债券市场的发展起始于国债，早在</w:t>
      </w:r>
      <w:r w:rsidRPr="00800D22">
        <w:rPr>
          <w:kern w:val="0"/>
          <w:sz w:val="24"/>
        </w:rPr>
        <w:t>1870</w:t>
      </w:r>
      <w:r w:rsidRPr="00800D22">
        <w:rPr>
          <w:kern w:val="0"/>
          <w:sz w:val="24"/>
        </w:rPr>
        <w:t>年，由于经济建设的需要，日本就开始在国内发行外汇国债和创业国债，并且开始发行国外债券。</w:t>
      </w:r>
      <w:r w:rsidRPr="00800D22">
        <w:rPr>
          <w:kern w:val="0"/>
          <w:sz w:val="24"/>
        </w:rPr>
        <w:t>1890</w:t>
      </w:r>
      <w:r w:rsidRPr="00800D22">
        <w:rPr>
          <w:kern w:val="0"/>
          <w:sz w:val="24"/>
        </w:rPr>
        <w:t>年后，国债主要为筹集军费而发行</w:t>
      </w:r>
      <w:r w:rsidRPr="00800D22">
        <w:rPr>
          <w:rFonts w:hint="eastAsia"/>
          <w:kern w:val="0"/>
          <w:sz w:val="24"/>
        </w:rPr>
        <w:t>。</w:t>
      </w:r>
      <w:r w:rsidRPr="00800D22">
        <w:rPr>
          <w:kern w:val="0"/>
          <w:sz w:val="24"/>
        </w:rPr>
        <w:t>截至</w:t>
      </w:r>
      <w:r w:rsidRPr="00800D22">
        <w:rPr>
          <w:kern w:val="0"/>
          <w:sz w:val="24"/>
        </w:rPr>
        <w:t>1945</w:t>
      </w:r>
      <w:r w:rsidRPr="00800D22">
        <w:rPr>
          <w:kern w:val="0"/>
          <w:sz w:val="24"/>
        </w:rPr>
        <w:t>年，日本国债发行总额为</w:t>
      </w:r>
      <w:r w:rsidRPr="00800D22">
        <w:rPr>
          <w:kern w:val="0"/>
          <w:sz w:val="24"/>
        </w:rPr>
        <w:t>1,376</w:t>
      </w:r>
      <w:r w:rsidRPr="00800D22">
        <w:rPr>
          <w:kern w:val="0"/>
          <w:sz w:val="24"/>
        </w:rPr>
        <w:t>亿日元，其中筹集资金的</w:t>
      </w:r>
      <w:r w:rsidRPr="00800D22">
        <w:rPr>
          <w:kern w:val="0"/>
          <w:sz w:val="24"/>
        </w:rPr>
        <w:t>75%</w:t>
      </w:r>
      <w:r w:rsidRPr="00800D22">
        <w:rPr>
          <w:kern w:val="0"/>
          <w:sz w:val="24"/>
        </w:rPr>
        <w:t>被用于军费开支，</w:t>
      </w:r>
      <w:r w:rsidRPr="00800D22">
        <w:rPr>
          <w:kern w:val="0"/>
          <w:sz w:val="24"/>
        </w:rPr>
        <w:t>5.5%</w:t>
      </w:r>
      <w:r w:rsidRPr="00800D22">
        <w:rPr>
          <w:kern w:val="0"/>
          <w:sz w:val="24"/>
        </w:rPr>
        <w:t>用于公共事业开支，其余的用于弥补财政赤字。目前日本的债券市场结构中国债依然是最主要构成部分，公司债券</w:t>
      </w:r>
      <w:r w:rsidRPr="00800D22">
        <w:rPr>
          <w:rFonts w:hint="eastAsia"/>
          <w:kern w:val="0"/>
          <w:sz w:val="24"/>
        </w:rPr>
        <w:t>及</w:t>
      </w:r>
      <w:r w:rsidRPr="00800D22">
        <w:rPr>
          <w:kern w:val="0"/>
          <w:sz w:val="24"/>
        </w:rPr>
        <w:t>其它债券品种发行流通规模相对较小。日本资产证券化规模与债券规模相比相差甚远，且近几年增长缓慢，截至</w:t>
      </w:r>
      <w:r w:rsidRPr="00800D22">
        <w:rPr>
          <w:kern w:val="0"/>
          <w:sz w:val="24"/>
        </w:rPr>
        <w:t>2008</w:t>
      </w:r>
      <w:r w:rsidRPr="00800D22">
        <w:rPr>
          <w:kern w:val="0"/>
          <w:sz w:val="24"/>
        </w:rPr>
        <w:t>年末，资产证券化余额仅为</w:t>
      </w:r>
      <w:r w:rsidRPr="00800D22">
        <w:rPr>
          <w:kern w:val="0"/>
          <w:sz w:val="24"/>
        </w:rPr>
        <w:t>89</w:t>
      </w:r>
      <w:r w:rsidRPr="00800D22">
        <w:rPr>
          <w:kern w:val="0"/>
          <w:sz w:val="24"/>
        </w:rPr>
        <w:t>亿美元。从债券余额与</w:t>
      </w:r>
      <w:r w:rsidRPr="00800D22">
        <w:rPr>
          <w:kern w:val="0"/>
          <w:sz w:val="24"/>
        </w:rPr>
        <w:t>GDP</w:t>
      </w:r>
      <w:r w:rsidRPr="00800D22">
        <w:rPr>
          <w:kern w:val="0"/>
          <w:sz w:val="24"/>
        </w:rPr>
        <w:t>比值来看，该比值</w:t>
      </w:r>
      <w:r w:rsidRPr="00800D22">
        <w:rPr>
          <w:rFonts w:hint="eastAsia"/>
          <w:kern w:val="0"/>
          <w:sz w:val="24"/>
        </w:rPr>
        <w:t>较高，</w:t>
      </w:r>
      <w:r w:rsidRPr="00800D22">
        <w:rPr>
          <w:rFonts w:hint="eastAsia"/>
          <w:kern w:val="0"/>
          <w:sz w:val="24"/>
        </w:rPr>
        <w:t>2008</w:t>
      </w:r>
      <w:r w:rsidRPr="00800D22">
        <w:rPr>
          <w:rFonts w:hint="eastAsia"/>
          <w:kern w:val="0"/>
          <w:sz w:val="24"/>
        </w:rPr>
        <w:t>年达到</w:t>
      </w:r>
      <w:r w:rsidRPr="00800D22">
        <w:rPr>
          <w:rFonts w:hint="eastAsia"/>
          <w:kern w:val="0"/>
          <w:sz w:val="24"/>
        </w:rPr>
        <w:t>228.86%</w:t>
      </w:r>
      <w:r w:rsidRPr="00800D22">
        <w:rPr>
          <w:rFonts w:hint="eastAsia"/>
          <w:kern w:val="0"/>
          <w:sz w:val="24"/>
        </w:rPr>
        <w:t>，接近</w:t>
      </w:r>
      <w:r w:rsidRPr="00800D22">
        <w:rPr>
          <w:kern w:val="0"/>
          <w:sz w:val="24"/>
        </w:rPr>
        <w:t>美国</w:t>
      </w:r>
      <w:r w:rsidRPr="00800D22">
        <w:rPr>
          <w:rFonts w:hint="eastAsia"/>
          <w:kern w:val="0"/>
          <w:sz w:val="24"/>
        </w:rPr>
        <w:t>水平，表明市场活跃度很高</w:t>
      </w:r>
      <w:r w:rsidRPr="00800D22">
        <w:rPr>
          <w:kern w:val="0"/>
          <w:sz w:val="24"/>
        </w:rPr>
        <w:t>。</w:t>
      </w:r>
    </w:p>
    <w:p w14:paraId="68987FCA" w14:textId="605FA4B2" w:rsidR="00D75D4A" w:rsidRPr="00800D22" w:rsidRDefault="00D75D4A" w:rsidP="00D75D4A">
      <w:pPr>
        <w:keepNext/>
      </w:pPr>
      <w:r w:rsidRPr="00800D22">
        <w:rPr>
          <w:noProof/>
        </w:rPr>
        <w:drawing>
          <wp:inline distT="0" distB="0" distL="0" distR="0" wp14:anchorId="00D8F5E2" wp14:editId="750F2086">
            <wp:extent cx="5270500" cy="2673350"/>
            <wp:effectExtent l="0" t="0" r="0" b="0"/>
            <wp:docPr id="20086983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673350"/>
                    </a:xfrm>
                    <a:prstGeom prst="rect">
                      <a:avLst/>
                    </a:prstGeom>
                    <a:noFill/>
                    <a:ln>
                      <a:noFill/>
                    </a:ln>
                  </pic:spPr>
                </pic:pic>
              </a:graphicData>
            </a:graphic>
          </wp:inline>
        </w:drawing>
      </w:r>
    </w:p>
    <w:p w14:paraId="3D6B64FD" w14:textId="77777777" w:rsidR="00D75D4A" w:rsidRPr="00800D22" w:rsidRDefault="00D75D4A" w:rsidP="00D75D4A">
      <w:pPr>
        <w:keepNext/>
        <w:ind w:leftChars="207" w:left="435"/>
        <w:jc w:val="center"/>
        <w:rPr>
          <w:rFonts w:eastAsia="新宋体" w:hint="eastAsia"/>
          <w:szCs w:val="21"/>
        </w:rPr>
      </w:pPr>
      <w:bookmarkStart w:id="6" w:name="_Toc246337941"/>
      <w:bookmarkStart w:id="7" w:name="_Toc246425457"/>
      <w:bookmarkStart w:id="8" w:name="_Toc256507097"/>
      <w:r w:rsidRPr="00800D22">
        <w:rPr>
          <w:rFonts w:eastAsia="新宋体" w:hint="eastAsia"/>
          <w:szCs w:val="21"/>
        </w:rPr>
        <w:t>图</w:t>
      </w:r>
      <w:r w:rsidRPr="00800D22">
        <w:rPr>
          <w:rFonts w:eastAsia="新宋体" w:hint="eastAsia"/>
          <w:szCs w:val="21"/>
        </w:rPr>
        <w:t>5.</w:t>
      </w:r>
      <w:r w:rsidRPr="00800D22">
        <w:rPr>
          <w:rFonts w:eastAsia="新宋体"/>
          <w:szCs w:val="21"/>
        </w:rPr>
        <w:fldChar w:fldCharType="begin"/>
      </w:r>
      <w:r w:rsidRPr="00800D22">
        <w:rPr>
          <w:rFonts w:eastAsia="新宋体"/>
          <w:szCs w:val="21"/>
        </w:rPr>
        <w:instrText xml:space="preserve"> </w:instrText>
      </w:r>
      <w:r w:rsidRPr="00800D22">
        <w:rPr>
          <w:rFonts w:eastAsia="新宋体" w:hint="eastAsia"/>
          <w:szCs w:val="21"/>
        </w:rPr>
        <w:instrText xml:space="preserve">SEQ </w:instrText>
      </w:r>
      <w:r w:rsidRPr="00800D22">
        <w:rPr>
          <w:rFonts w:eastAsia="新宋体" w:hint="eastAsia"/>
          <w:szCs w:val="21"/>
        </w:rPr>
        <w:instrText>图</w:instrText>
      </w:r>
      <w:r w:rsidRPr="00800D22">
        <w:rPr>
          <w:rFonts w:eastAsia="新宋体" w:hint="eastAsia"/>
          <w:szCs w:val="21"/>
        </w:rPr>
        <w:instrText>5. \* ARABIC</w:instrText>
      </w:r>
      <w:r w:rsidRPr="00800D22">
        <w:rPr>
          <w:rFonts w:eastAsia="新宋体"/>
          <w:szCs w:val="21"/>
        </w:rPr>
        <w:instrText xml:space="preserve"> </w:instrText>
      </w:r>
      <w:r w:rsidRPr="00800D22">
        <w:rPr>
          <w:rFonts w:eastAsia="新宋体"/>
          <w:szCs w:val="21"/>
        </w:rPr>
        <w:fldChar w:fldCharType="separate"/>
      </w:r>
      <w:r w:rsidRPr="00800D22">
        <w:rPr>
          <w:rFonts w:eastAsia="新宋体"/>
          <w:noProof/>
          <w:szCs w:val="21"/>
        </w:rPr>
        <w:t>33</w:t>
      </w:r>
      <w:r w:rsidRPr="00800D22">
        <w:rPr>
          <w:rFonts w:eastAsia="新宋体"/>
          <w:szCs w:val="21"/>
        </w:rPr>
        <w:fldChar w:fldCharType="end"/>
      </w:r>
      <w:r w:rsidRPr="00800D22">
        <w:rPr>
          <w:rFonts w:eastAsia="新宋体" w:hint="eastAsia"/>
          <w:szCs w:val="21"/>
        </w:rPr>
        <w:t xml:space="preserve">  1996-2008</w:t>
      </w:r>
      <w:r w:rsidRPr="00800D22">
        <w:rPr>
          <w:rFonts w:eastAsia="新宋体" w:hint="eastAsia"/>
          <w:szCs w:val="21"/>
        </w:rPr>
        <w:t>年日本债券市场结构（单位：</w:t>
      </w:r>
      <w:r w:rsidRPr="00800D22">
        <w:rPr>
          <w:rFonts w:eastAsia="新宋体" w:hint="eastAsia"/>
          <w:szCs w:val="21"/>
        </w:rPr>
        <w:t>10</w:t>
      </w:r>
      <w:r w:rsidRPr="00800D22">
        <w:rPr>
          <w:rFonts w:eastAsia="新宋体" w:hint="eastAsia"/>
          <w:szCs w:val="21"/>
        </w:rPr>
        <w:t>亿美元）</w:t>
      </w:r>
      <w:bookmarkEnd w:id="6"/>
      <w:bookmarkEnd w:id="7"/>
      <w:bookmarkEnd w:id="8"/>
    </w:p>
    <w:p w14:paraId="5C0E1A5F" w14:textId="77777777" w:rsidR="00D75D4A" w:rsidRPr="00800D22" w:rsidRDefault="00D75D4A" w:rsidP="00D75D4A">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 xml:space="preserve">5.33  </w:t>
      </w:r>
      <w:r w:rsidRPr="00800D22">
        <w:rPr>
          <w:rFonts w:eastAsia="新宋体"/>
          <w:szCs w:val="21"/>
        </w:rPr>
        <w:t>Structure</w:t>
      </w:r>
      <w:proofErr w:type="gramEnd"/>
      <w:r w:rsidRPr="00800D22">
        <w:rPr>
          <w:rFonts w:eastAsia="新宋体" w:hint="eastAsia"/>
          <w:szCs w:val="21"/>
        </w:rPr>
        <w:t xml:space="preserve"> of </w:t>
      </w:r>
      <w:r w:rsidRPr="00800D22">
        <w:rPr>
          <w:rFonts w:eastAsia="新宋体"/>
          <w:szCs w:val="21"/>
        </w:rPr>
        <w:t>Japanese</w:t>
      </w:r>
      <w:r w:rsidRPr="00800D22">
        <w:rPr>
          <w:rFonts w:eastAsia="新宋体" w:hint="eastAsia"/>
          <w:szCs w:val="21"/>
        </w:rPr>
        <w:t xml:space="preserve"> bond market from 1996 to </w:t>
      </w:r>
      <w:proofErr w:type="gramStart"/>
      <w:r w:rsidRPr="00800D22">
        <w:rPr>
          <w:rFonts w:eastAsia="新宋体" w:hint="eastAsia"/>
          <w:szCs w:val="21"/>
        </w:rPr>
        <w:t>2008  (</w:t>
      </w:r>
      <w:proofErr w:type="gramEnd"/>
      <w:r w:rsidRPr="00800D22">
        <w:rPr>
          <w:rFonts w:eastAsia="新宋体" w:hint="eastAsia"/>
          <w:szCs w:val="21"/>
        </w:rPr>
        <w:t>Unit: billion dollar)</w:t>
      </w:r>
    </w:p>
    <w:p w14:paraId="24168DE6" w14:textId="77777777" w:rsidR="00D75D4A" w:rsidRPr="00800D22" w:rsidRDefault="00D75D4A" w:rsidP="00D75D4A">
      <w:pPr>
        <w:ind w:firstLineChars="150" w:firstLine="270"/>
        <w:rPr>
          <w:rStyle w:val="af2"/>
          <w:b w:val="0"/>
          <w:bCs w:val="0"/>
          <w:sz w:val="18"/>
          <w:szCs w:val="18"/>
        </w:rPr>
      </w:pPr>
      <w:r w:rsidRPr="00800D22">
        <w:rPr>
          <w:rStyle w:val="af2"/>
          <w:b w:val="0"/>
          <w:bCs w:val="0"/>
          <w:sz w:val="18"/>
          <w:szCs w:val="18"/>
        </w:rPr>
        <w:t>注：不含</w:t>
      </w:r>
      <w:r w:rsidRPr="00800D22">
        <w:rPr>
          <w:rStyle w:val="af2"/>
          <w:rFonts w:hint="eastAsia"/>
          <w:b w:val="0"/>
          <w:bCs w:val="0"/>
          <w:sz w:val="18"/>
          <w:szCs w:val="18"/>
        </w:rPr>
        <w:t>资产</w:t>
      </w:r>
      <w:r w:rsidRPr="00800D22">
        <w:rPr>
          <w:sz w:val="18"/>
          <w:szCs w:val="18"/>
        </w:rPr>
        <w:t>证券化产品</w:t>
      </w:r>
    </w:p>
    <w:p w14:paraId="104E6CCD" w14:textId="77777777" w:rsidR="00D75D4A" w:rsidRPr="00800D22" w:rsidRDefault="00D75D4A" w:rsidP="00D75D4A">
      <w:pPr>
        <w:spacing w:afterLines="100" w:after="312"/>
        <w:ind w:firstLineChars="150" w:firstLine="270"/>
        <w:rPr>
          <w:rStyle w:val="af2"/>
          <w:b w:val="0"/>
          <w:bCs w:val="0"/>
          <w:sz w:val="18"/>
          <w:szCs w:val="18"/>
        </w:rPr>
      </w:pPr>
      <w:r w:rsidRPr="00800D22">
        <w:rPr>
          <w:rStyle w:val="af2"/>
          <w:b w:val="0"/>
          <w:bCs w:val="0"/>
          <w:sz w:val="18"/>
          <w:szCs w:val="18"/>
        </w:rPr>
        <w:t>数据来源：</w:t>
      </w:r>
      <w:r w:rsidRPr="00800D22">
        <w:rPr>
          <w:rStyle w:val="af2"/>
          <w:b w:val="0"/>
          <w:bCs w:val="0"/>
          <w:sz w:val="18"/>
          <w:szCs w:val="18"/>
        </w:rPr>
        <w:t>The Bank for International Settlements</w:t>
      </w:r>
    </w:p>
    <w:p w14:paraId="2BB0A973" w14:textId="0D920882" w:rsidR="00D75D4A" w:rsidRPr="00800D22" w:rsidRDefault="00D75D4A" w:rsidP="00D75D4A">
      <w:pPr>
        <w:keepNext/>
        <w:spacing w:beforeLines="50" w:before="156" w:line="360" w:lineRule="auto"/>
        <w:jc w:val="center"/>
      </w:pPr>
      <w:r w:rsidRPr="00800D22">
        <w:rPr>
          <w:rStyle w:val="af2"/>
          <w:b w:val="0"/>
          <w:bCs w:val="0"/>
          <w:noProof/>
        </w:rPr>
        <w:lastRenderedPageBreak/>
        <w:drawing>
          <wp:inline distT="0" distB="0" distL="0" distR="0" wp14:anchorId="1E5D8218" wp14:editId="4EEA4CD3">
            <wp:extent cx="5270500" cy="2673350"/>
            <wp:effectExtent l="0" t="0" r="0" b="0"/>
            <wp:docPr id="15992870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673350"/>
                    </a:xfrm>
                    <a:prstGeom prst="rect">
                      <a:avLst/>
                    </a:prstGeom>
                    <a:noFill/>
                    <a:ln>
                      <a:noFill/>
                    </a:ln>
                  </pic:spPr>
                </pic:pic>
              </a:graphicData>
            </a:graphic>
          </wp:inline>
        </w:drawing>
      </w:r>
    </w:p>
    <w:p w14:paraId="3361645D" w14:textId="77777777" w:rsidR="00D75D4A" w:rsidRPr="00800D22" w:rsidRDefault="00D75D4A" w:rsidP="00D75D4A">
      <w:pPr>
        <w:pStyle w:val="af4"/>
        <w:keepNext/>
        <w:jc w:val="center"/>
        <w:rPr>
          <w:rStyle w:val="af2"/>
          <w:rFonts w:ascii="Times New Roman" w:eastAsia="宋体" w:hAnsi="Times New Roman" w:cs="Times New Roman" w:hint="eastAsia"/>
          <w:b w:val="0"/>
          <w:sz w:val="21"/>
          <w:szCs w:val="24"/>
        </w:rPr>
      </w:pPr>
      <w:bookmarkStart w:id="9" w:name="_Toc246337942"/>
      <w:bookmarkStart w:id="10" w:name="_Toc246425458"/>
      <w:bookmarkStart w:id="11" w:name="_Toc256507098"/>
      <w:r w:rsidRPr="00800D22">
        <w:rPr>
          <w:rStyle w:val="af2"/>
          <w:rFonts w:ascii="Times New Roman" w:eastAsia="宋体" w:hAnsi="Times New Roman" w:cs="Times New Roman" w:hint="eastAsia"/>
          <w:b w:val="0"/>
          <w:sz w:val="21"/>
          <w:szCs w:val="24"/>
        </w:rPr>
        <w:t>图</w:t>
      </w:r>
      <w:r w:rsidRPr="00800D22">
        <w:rPr>
          <w:rStyle w:val="af2"/>
          <w:rFonts w:ascii="Times New Roman" w:eastAsia="宋体" w:hAnsi="Times New Roman" w:cs="Times New Roman" w:hint="eastAsia"/>
          <w:b w:val="0"/>
          <w:sz w:val="21"/>
          <w:szCs w:val="24"/>
        </w:rPr>
        <w:t>5.</w:t>
      </w:r>
      <w:r w:rsidRPr="00800D22">
        <w:rPr>
          <w:rStyle w:val="af2"/>
          <w:rFonts w:ascii="Times New Roman" w:eastAsia="宋体" w:hAnsi="Times New Roman" w:cs="Times New Roman"/>
          <w:b w:val="0"/>
          <w:sz w:val="21"/>
          <w:szCs w:val="24"/>
        </w:rPr>
        <w:fldChar w:fldCharType="begin"/>
      </w:r>
      <w:r w:rsidRPr="00800D22">
        <w:rPr>
          <w:rStyle w:val="af2"/>
          <w:rFonts w:ascii="Times New Roman" w:eastAsia="宋体" w:hAnsi="Times New Roman" w:cs="Times New Roman"/>
          <w:b w:val="0"/>
          <w:sz w:val="21"/>
          <w:szCs w:val="24"/>
        </w:rPr>
        <w:instrText xml:space="preserve"> </w:instrText>
      </w:r>
      <w:r w:rsidRPr="00800D22">
        <w:rPr>
          <w:rStyle w:val="af2"/>
          <w:rFonts w:ascii="Times New Roman" w:eastAsia="宋体" w:hAnsi="Times New Roman" w:cs="Times New Roman" w:hint="eastAsia"/>
          <w:b w:val="0"/>
          <w:sz w:val="21"/>
          <w:szCs w:val="24"/>
        </w:rPr>
        <w:instrText xml:space="preserve">SEQ </w:instrText>
      </w:r>
      <w:r w:rsidRPr="00800D22">
        <w:rPr>
          <w:rStyle w:val="af2"/>
          <w:rFonts w:ascii="Times New Roman" w:eastAsia="宋体" w:hAnsi="Times New Roman" w:cs="Times New Roman" w:hint="eastAsia"/>
          <w:b w:val="0"/>
          <w:sz w:val="21"/>
          <w:szCs w:val="24"/>
        </w:rPr>
        <w:instrText>图</w:instrText>
      </w:r>
      <w:r w:rsidRPr="00800D22">
        <w:rPr>
          <w:rStyle w:val="af2"/>
          <w:rFonts w:ascii="Times New Roman" w:eastAsia="宋体" w:hAnsi="Times New Roman" w:cs="Times New Roman" w:hint="eastAsia"/>
          <w:b w:val="0"/>
          <w:sz w:val="21"/>
          <w:szCs w:val="24"/>
        </w:rPr>
        <w:instrText>5. \* ARABIC</w:instrText>
      </w:r>
      <w:r w:rsidRPr="00800D22">
        <w:rPr>
          <w:rStyle w:val="af2"/>
          <w:rFonts w:ascii="Times New Roman" w:eastAsia="宋体" w:hAnsi="Times New Roman" w:cs="Times New Roman"/>
          <w:b w:val="0"/>
          <w:sz w:val="21"/>
          <w:szCs w:val="24"/>
        </w:rPr>
        <w:instrText xml:space="preserve"> </w:instrText>
      </w:r>
      <w:r w:rsidRPr="00800D22">
        <w:rPr>
          <w:rStyle w:val="af2"/>
          <w:rFonts w:ascii="Times New Roman" w:eastAsia="宋体" w:hAnsi="Times New Roman" w:cs="Times New Roman"/>
          <w:b w:val="0"/>
          <w:sz w:val="21"/>
          <w:szCs w:val="24"/>
        </w:rPr>
        <w:fldChar w:fldCharType="separate"/>
      </w:r>
      <w:r w:rsidRPr="00800D22">
        <w:rPr>
          <w:rStyle w:val="af2"/>
          <w:rFonts w:ascii="Times New Roman" w:eastAsia="宋体" w:hAnsi="Times New Roman" w:cs="Times New Roman"/>
          <w:b w:val="0"/>
          <w:noProof/>
          <w:sz w:val="21"/>
          <w:szCs w:val="24"/>
        </w:rPr>
        <w:t>34</w:t>
      </w:r>
      <w:r w:rsidRPr="00800D22">
        <w:rPr>
          <w:rStyle w:val="af2"/>
          <w:rFonts w:ascii="Times New Roman" w:eastAsia="宋体" w:hAnsi="Times New Roman" w:cs="Times New Roman"/>
          <w:b w:val="0"/>
          <w:sz w:val="21"/>
          <w:szCs w:val="24"/>
        </w:rPr>
        <w:fldChar w:fldCharType="end"/>
      </w:r>
      <w:r w:rsidRPr="00800D22">
        <w:rPr>
          <w:rStyle w:val="af2"/>
          <w:rFonts w:ascii="Times New Roman" w:eastAsia="宋体" w:hAnsi="Times New Roman" w:cs="Times New Roman" w:hint="eastAsia"/>
          <w:b w:val="0"/>
          <w:sz w:val="21"/>
          <w:szCs w:val="24"/>
        </w:rPr>
        <w:t xml:space="preserve">  1998-2008</w:t>
      </w:r>
      <w:r w:rsidRPr="00800D22">
        <w:rPr>
          <w:rStyle w:val="af2"/>
          <w:rFonts w:ascii="Times New Roman" w:eastAsia="宋体" w:hAnsi="Times New Roman" w:cs="Times New Roman" w:hint="eastAsia"/>
          <w:b w:val="0"/>
          <w:sz w:val="21"/>
          <w:szCs w:val="24"/>
        </w:rPr>
        <w:t>年日本资产证券化余额（单位：</w:t>
      </w:r>
      <w:r w:rsidRPr="00800D22">
        <w:rPr>
          <w:rStyle w:val="af2"/>
          <w:rFonts w:ascii="Times New Roman" w:eastAsia="宋体" w:hAnsi="Times New Roman" w:cs="Times New Roman" w:hint="eastAsia"/>
          <w:b w:val="0"/>
          <w:sz w:val="21"/>
          <w:szCs w:val="24"/>
        </w:rPr>
        <w:t>10</w:t>
      </w:r>
      <w:r w:rsidRPr="00800D22">
        <w:rPr>
          <w:rStyle w:val="af2"/>
          <w:rFonts w:ascii="Times New Roman" w:eastAsia="宋体" w:hAnsi="Times New Roman" w:cs="Times New Roman" w:hint="eastAsia"/>
          <w:b w:val="0"/>
          <w:sz w:val="21"/>
          <w:szCs w:val="24"/>
        </w:rPr>
        <w:t>亿美元）</w:t>
      </w:r>
      <w:bookmarkEnd w:id="9"/>
      <w:bookmarkEnd w:id="10"/>
      <w:bookmarkEnd w:id="11"/>
    </w:p>
    <w:p w14:paraId="3A54177B" w14:textId="77777777" w:rsidR="00D75D4A" w:rsidRPr="00800D22" w:rsidRDefault="00D75D4A" w:rsidP="00D75D4A">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5.34  B</w:t>
      </w:r>
      <w:r w:rsidRPr="00800D22">
        <w:rPr>
          <w:rFonts w:eastAsia="新宋体"/>
          <w:szCs w:val="21"/>
        </w:rPr>
        <w:t>alance</w:t>
      </w:r>
      <w:proofErr w:type="gramEnd"/>
      <w:r w:rsidRPr="00800D22">
        <w:rPr>
          <w:rFonts w:eastAsia="新宋体" w:hint="eastAsia"/>
          <w:szCs w:val="21"/>
        </w:rPr>
        <w:t xml:space="preserve"> of </w:t>
      </w:r>
      <w:r w:rsidRPr="00800D22">
        <w:rPr>
          <w:rFonts w:eastAsia="新宋体"/>
          <w:szCs w:val="21"/>
        </w:rPr>
        <w:t>Japanese Asset Backed Securities</w:t>
      </w:r>
      <w:r w:rsidRPr="00800D22">
        <w:rPr>
          <w:rFonts w:eastAsia="新宋体" w:hint="eastAsia"/>
          <w:szCs w:val="21"/>
        </w:rPr>
        <w:t xml:space="preserve"> from 1998 to 2008 </w:t>
      </w:r>
    </w:p>
    <w:p w14:paraId="47159F67" w14:textId="77777777" w:rsidR="00D75D4A" w:rsidRPr="00800D22" w:rsidRDefault="00D75D4A" w:rsidP="00D75D4A">
      <w:pPr>
        <w:jc w:val="center"/>
        <w:rPr>
          <w:rFonts w:eastAsia="新宋体" w:hint="eastAsia"/>
          <w:szCs w:val="21"/>
        </w:rPr>
      </w:pPr>
      <w:r w:rsidRPr="00800D22">
        <w:rPr>
          <w:rFonts w:eastAsia="新宋体" w:hint="eastAsia"/>
          <w:szCs w:val="21"/>
        </w:rPr>
        <w:t xml:space="preserve"> (Unit: billion dollar)</w:t>
      </w:r>
    </w:p>
    <w:p w14:paraId="23910477" w14:textId="77777777" w:rsidR="00D75D4A" w:rsidRPr="00800D22" w:rsidRDefault="00D75D4A" w:rsidP="00D75D4A">
      <w:pPr>
        <w:spacing w:afterLines="100" w:after="312"/>
        <w:ind w:firstLineChars="150" w:firstLine="270"/>
        <w:rPr>
          <w:rStyle w:val="af2"/>
          <w:b w:val="0"/>
          <w:bCs w:val="0"/>
          <w:sz w:val="18"/>
          <w:szCs w:val="18"/>
        </w:rPr>
      </w:pPr>
      <w:r w:rsidRPr="00800D22">
        <w:rPr>
          <w:rStyle w:val="af2"/>
          <w:b w:val="0"/>
          <w:bCs w:val="0"/>
          <w:sz w:val="18"/>
          <w:szCs w:val="18"/>
        </w:rPr>
        <w:t>数据来源：</w:t>
      </w:r>
      <w:smartTag w:uri="urn:schemas-microsoft-com:office:smarttags" w:element="place">
        <w:smartTag w:uri="urn:schemas-microsoft-com:office:smarttags" w:element="country-region">
          <w:r w:rsidRPr="00800D22">
            <w:rPr>
              <w:rStyle w:val="af3"/>
            </w:rPr>
            <w:t>Japan</w:t>
          </w:r>
        </w:smartTag>
      </w:smartTag>
      <w:r w:rsidRPr="00800D22">
        <w:rPr>
          <w:rStyle w:val="af3"/>
        </w:rPr>
        <w:t xml:space="preserve"> Securities Dealers Association</w:t>
      </w:r>
    </w:p>
    <w:p w14:paraId="0D651F1A" w14:textId="289BCB0C" w:rsidR="00D75D4A" w:rsidRPr="00800D22" w:rsidRDefault="00D75D4A" w:rsidP="00D75D4A">
      <w:pPr>
        <w:keepNext/>
        <w:jc w:val="center"/>
      </w:pPr>
      <w:r w:rsidRPr="00800D22">
        <w:rPr>
          <w:rStyle w:val="af2"/>
          <w:b w:val="0"/>
          <w:bCs w:val="0"/>
          <w:noProof/>
        </w:rPr>
        <w:drawing>
          <wp:inline distT="0" distB="0" distL="0" distR="0" wp14:anchorId="0454A5E5" wp14:editId="46EDB73F">
            <wp:extent cx="5270500" cy="2552700"/>
            <wp:effectExtent l="0" t="0" r="0" b="0"/>
            <wp:docPr id="8766703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552700"/>
                    </a:xfrm>
                    <a:prstGeom prst="rect">
                      <a:avLst/>
                    </a:prstGeom>
                    <a:noFill/>
                    <a:ln>
                      <a:noFill/>
                    </a:ln>
                  </pic:spPr>
                </pic:pic>
              </a:graphicData>
            </a:graphic>
          </wp:inline>
        </w:drawing>
      </w:r>
    </w:p>
    <w:p w14:paraId="7B66E210" w14:textId="77777777" w:rsidR="00D75D4A" w:rsidRPr="00800D22" w:rsidRDefault="00D75D4A" w:rsidP="00D75D4A">
      <w:pPr>
        <w:keepNext/>
        <w:ind w:firstLineChars="200" w:firstLine="420"/>
        <w:jc w:val="center"/>
        <w:rPr>
          <w:rStyle w:val="af2"/>
          <w:rFonts w:hint="eastAsia"/>
          <w:b w:val="0"/>
        </w:rPr>
      </w:pPr>
      <w:bookmarkStart w:id="12" w:name="_Toc256507099"/>
      <w:r w:rsidRPr="00800D22">
        <w:rPr>
          <w:rStyle w:val="af2"/>
          <w:rFonts w:hint="eastAsia"/>
          <w:b w:val="0"/>
        </w:rPr>
        <w:t>图</w:t>
      </w:r>
      <w:r w:rsidRPr="00800D22">
        <w:rPr>
          <w:rStyle w:val="af2"/>
          <w:rFonts w:hint="eastAsia"/>
          <w:b w:val="0"/>
        </w:rPr>
        <w:t>5.</w:t>
      </w:r>
      <w:r w:rsidRPr="00800D22">
        <w:rPr>
          <w:rStyle w:val="af2"/>
          <w:b w:val="0"/>
        </w:rPr>
        <w:fldChar w:fldCharType="begin"/>
      </w:r>
      <w:r w:rsidRPr="00800D22">
        <w:rPr>
          <w:rStyle w:val="af2"/>
          <w:b w:val="0"/>
        </w:rPr>
        <w:instrText xml:space="preserve"> </w:instrText>
      </w:r>
      <w:r w:rsidRPr="00800D22">
        <w:rPr>
          <w:rStyle w:val="af2"/>
          <w:rFonts w:hint="eastAsia"/>
          <w:b w:val="0"/>
        </w:rPr>
        <w:instrText xml:space="preserve">SEQ </w:instrText>
      </w:r>
      <w:r w:rsidRPr="00800D22">
        <w:rPr>
          <w:rStyle w:val="af2"/>
          <w:rFonts w:hint="eastAsia"/>
          <w:b w:val="0"/>
        </w:rPr>
        <w:instrText>图</w:instrText>
      </w:r>
      <w:r w:rsidRPr="00800D22">
        <w:rPr>
          <w:rStyle w:val="af2"/>
          <w:rFonts w:hint="eastAsia"/>
          <w:b w:val="0"/>
        </w:rPr>
        <w:instrText>5. \* ARABIC</w:instrText>
      </w:r>
      <w:r w:rsidRPr="00800D22">
        <w:rPr>
          <w:rStyle w:val="af2"/>
          <w:b w:val="0"/>
        </w:rPr>
        <w:instrText xml:space="preserve"> </w:instrText>
      </w:r>
      <w:r w:rsidRPr="00800D22">
        <w:rPr>
          <w:rStyle w:val="af2"/>
          <w:b w:val="0"/>
        </w:rPr>
        <w:fldChar w:fldCharType="separate"/>
      </w:r>
      <w:r w:rsidRPr="00800D22">
        <w:rPr>
          <w:rStyle w:val="af2"/>
          <w:b w:val="0"/>
          <w:noProof/>
        </w:rPr>
        <w:t>35</w:t>
      </w:r>
      <w:r w:rsidRPr="00800D22">
        <w:rPr>
          <w:rStyle w:val="af2"/>
          <w:b w:val="0"/>
        </w:rPr>
        <w:fldChar w:fldCharType="end"/>
      </w:r>
      <w:r w:rsidRPr="00800D22">
        <w:rPr>
          <w:rStyle w:val="af2"/>
          <w:rFonts w:hint="eastAsia"/>
          <w:b w:val="0"/>
        </w:rPr>
        <w:t xml:space="preserve">  2000-2008</w:t>
      </w:r>
      <w:r w:rsidRPr="00800D22">
        <w:rPr>
          <w:rStyle w:val="af2"/>
          <w:rFonts w:hint="eastAsia"/>
          <w:b w:val="0"/>
        </w:rPr>
        <w:t>年日本债券余额占</w:t>
      </w:r>
      <w:r w:rsidRPr="00800D22">
        <w:rPr>
          <w:rStyle w:val="af2"/>
          <w:rFonts w:hint="eastAsia"/>
          <w:b w:val="0"/>
        </w:rPr>
        <w:t>GDP</w:t>
      </w:r>
      <w:r w:rsidRPr="00800D22">
        <w:rPr>
          <w:rStyle w:val="af2"/>
          <w:rFonts w:hint="eastAsia"/>
          <w:b w:val="0"/>
        </w:rPr>
        <w:t>比重情况</w:t>
      </w:r>
      <w:bookmarkEnd w:id="12"/>
    </w:p>
    <w:p w14:paraId="34FB73CD" w14:textId="77777777" w:rsidR="00D75D4A" w:rsidRPr="00800D22" w:rsidRDefault="00D75D4A" w:rsidP="00D75D4A">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5.35  Proportions</w:t>
      </w:r>
      <w:proofErr w:type="gramEnd"/>
      <w:r w:rsidRPr="00800D22">
        <w:rPr>
          <w:rFonts w:eastAsia="新宋体" w:hint="eastAsia"/>
          <w:szCs w:val="21"/>
        </w:rPr>
        <w:t xml:space="preserve"> of the balance of </w:t>
      </w:r>
      <w:r w:rsidRPr="00800D22">
        <w:rPr>
          <w:rFonts w:eastAsia="新宋体"/>
          <w:szCs w:val="21"/>
        </w:rPr>
        <w:t>Japanese</w:t>
      </w:r>
      <w:r w:rsidRPr="00800D22">
        <w:rPr>
          <w:rFonts w:eastAsia="新宋体" w:hint="eastAsia"/>
          <w:szCs w:val="21"/>
        </w:rPr>
        <w:t xml:space="preserve"> bonds to GDP from 2000 to 2008</w:t>
      </w:r>
    </w:p>
    <w:p w14:paraId="2D966035" w14:textId="77777777" w:rsidR="00D75D4A" w:rsidRPr="00800D22" w:rsidRDefault="00D75D4A" w:rsidP="00D75D4A">
      <w:pPr>
        <w:spacing w:afterLines="50" w:after="156"/>
        <w:ind w:firstLineChars="200" w:firstLine="360"/>
        <w:rPr>
          <w:rFonts w:hint="eastAsia"/>
          <w:sz w:val="18"/>
          <w:szCs w:val="18"/>
        </w:rPr>
      </w:pPr>
      <w:r w:rsidRPr="00800D22">
        <w:rPr>
          <w:rStyle w:val="af2"/>
          <w:b w:val="0"/>
          <w:bCs w:val="0"/>
          <w:sz w:val="18"/>
          <w:szCs w:val="18"/>
        </w:rPr>
        <w:t>数据来源：</w:t>
      </w:r>
      <w:r w:rsidRPr="00800D22">
        <w:rPr>
          <w:rStyle w:val="af2"/>
          <w:b w:val="0"/>
          <w:bCs w:val="0"/>
          <w:sz w:val="18"/>
          <w:szCs w:val="18"/>
        </w:rPr>
        <w:t>The Bank for International Settlements</w:t>
      </w:r>
      <w:r w:rsidRPr="00800D22">
        <w:rPr>
          <w:rStyle w:val="af2"/>
          <w:b w:val="0"/>
          <w:bCs w:val="0"/>
          <w:sz w:val="18"/>
          <w:szCs w:val="18"/>
        </w:rPr>
        <w:t>，</w:t>
      </w:r>
      <w:r w:rsidRPr="00800D22">
        <w:rPr>
          <w:rStyle w:val="af3"/>
        </w:rPr>
        <w:t>Japan Securities Dealers Association</w:t>
      </w:r>
      <w:r w:rsidRPr="00800D22">
        <w:rPr>
          <w:sz w:val="18"/>
          <w:szCs w:val="18"/>
        </w:rPr>
        <w:t xml:space="preserve"> </w:t>
      </w:r>
      <w:r w:rsidRPr="00800D22">
        <w:rPr>
          <w:rFonts w:hint="eastAsia"/>
          <w:sz w:val="18"/>
          <w:szCs w:val="18"/>
        </w:rPr>
        <w:t>，</w:t>
      </w:r>
      <w:r w:rsidRPr="00800D22">
        <w:rPr>
          <w:sz w:val="18"/>
          <w:szCs w:val="18"/>
        </w:rPr>
        <w:t xml:space="preserve">The World Bank </w:t>
      </w:r>
    </w:p>
    <w:p w14:paraId="7CF597D5" w14:textId="3396F765" w:rsidR="00D75D4A" w:rsidRPr="00800D22" w:rsidRDefault="00D75D4A" w:rsidP="00D75D4A">
      <w:pPr>
        <w:rPr>
          <w:rStyle w:val="af2"/>
          <w:b w:val="0"/>
          <w:bCs w:val="0"/>
          <w:sz w:val="18"/>
          <w:szCs w:val="18"/>
        </w:rPr>
      </w:pPr>
      <w:r w:rsidRPr="00800D22">
        <w:rPr>
          <w:rStyle w:val="af2"/>
          <w:b w:val="0"/>
          <w:bCs w:val="0"/>
          <w:noProof/>
        </w:rPr>
        <w:lastRenderedPageBreak/>
        <w:drawing>
          <wp:inline distT="0" distB="0" distL="0" distR="0" wp14:anchorId="3E6CF2A2" wp14:editId="118EEFEC">
            <wp:extent cx="5270500" cy="2641600"/>
            <wp:effectExtent l="0" t="0" r="0" b="6350"/>
            <wp:docPr id="13392495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74CECAA0" w14:textId="77777777" w:rsidR="00D75D4A" w:rsidRPr="00800D22" w:rsidRDefault="00D75D4A" w:rsidP="00D75D4A">
      <w:pPr>
        <w:keepNext/>
        <w:jc w:val="center"/>
        <w:rPr>
          <w:rFonts w:hint="eastAsia"/>
          <w:szCs w:val="21"/>
        </w:rPr>
      </w:pPr>
      <w:bookmarkStart w:id="13" w:name="_Toc256507100"/>
      <w:r w:rsidRPr="00800D22">
        <w:rPr>
          <w:rFonts w:hint="eastAsia"/>
          <w:szCs w:val="21"/>
        </w:rPr>
        <w:t>图</w:t>
      </w:r>
      <w:r w:rsidRPr="00800D22">
        <w:rPr>
          <w:rFonts w:hint="eastAsia"/>
          <w:szCs w:val="21"/>
        </w:rPr>
        <w:t>5.</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图</w:instrText>
      </w:r>
      <w:r w:rsidRPr="00800D22">
        <w:rPr>
          <w:rFonts w:hint="eastAsia"/>
          <w:szCs w:val="21"/>
        </w:rPr>
        <w:instrText>5. \* ARABIC</w:instrText>
      </w:r>
      <w:r w:rsidRPr="00800D22">
        <w:rPr>
          <w:szCs w:val="21"/>
        </w:rPr>
        <w:instrText xml:space="preserve"> </w:instrText>
      </w:r>
      <w:r w:rsidRPr="00800D22">
        <w:rPr>
          <w:szCs w:val="21"/>
        </w:rPr>
        <w:fldChar w:fldCharType="separate"/>
      </w:r>
      <w:r w:rsidRPr="00800D22">
        <w:rPr>
          <w:noProof/>
          <w:szCs w:val="21"/>
        </w:rPr>
        <w:t>36</w:t>
      </w:r>
      <w:r w:rsidRPr="00800D22">
        <w:rPr>
          <w:szCs w:val="21"/>
        </w:rPr>
        <w:fldChar w:fldCharType="end"/>
      </w:r>
      <w:r w:rsidRPr="00800D22">
        <w:rPr>
          <w:rFonts w:hint="eastAsia"/>
          <w:szCs w:val="21"/>
        </w:rPr>
        <w:t xml:space="preserve">  </w:t>
      </w:r>
      <w:r w:rsidRPr="00800D22">
        <w:rPr>
          <w:rFonts w:hint="eastAsia"/>
          <w:szCs w:val="21"/>
        </w:rPr>
        <w:t>日本国债市场投资者结构</w:t>
      </w:r>
      <w:bookmarkEnd w:id="13"/>
    </w:p>
    <w:p w14:paraId="3C404CE5" w14:textId="77777777" w:rsidR="00D75D4A" w:rsidRPr="00800D22" w:rsidRDefault="00D75D4A" w:rsidP="00D75D4A">
      <w:pPr>
        <w:jc w:val="center"/>
        <w:rPr>
          <w:rFonts w:hint="eastAsia"/>
          <w:szCs w:val="21"/>
        </w:rPr>
      </w:pPr>
      <w:r w:rsidRPr="00800D22">
        <w:rPr>
          <w:rFonts w:eastAsia="新宋体" w:hAnsi="新宋体" w:hint="eastAsia"/>
          <w:bCs/>
          <w:kern w:val="0"/>
          <w:szCs w:val="21"/>
        </w:rPr>
        <w:t xml:space="preserve">Figure </w:t>
      </w:r>
      <w:proofErr w:type="gramStart"/>
      <w:r w:rsidRPr="00800D22">
        <w:rPr>
          <w:rFonts w:eastAsia="新宋体" w:hAnsi="新宋体" w:hint="eastAsia"/>
          <w:bCs/>
          <w:kern w:val="0"/>
          <w:szCs w:val="21"/>
        </w:rPr>
        <w:t xml:space="preserve">5.36  </w:t>
      </w:r>
      <w:r w:rsidRPr="00800D22">
        <w:rPr>
          <w:rFonts w:hint="eastAsia"/>
          <w:szCs w:val="21"/>
        </w:rPr>
        <w:t>Investors</w:t>
      </w:r>
      <w:proofErr w:type="gramEnd"/>
      <w:r w:rsidRPr="00800D22">
        <w:rPr>
          <w:rFonts w:hint="eastAsia"/>
          <w:szCs w:val="21"/>
        </w:rPr>
        <w:t xml:space="preserve"> </w:t>
      </w:r>
      <w:r w:rsidRPr="00800D22">
        <w:rPr>
          <w:szCs w:val="21"/>
        </w:rPr>
        <w:t>structure</w:t>
      </w:r>
      <w:r w:rsidRPr="00800D22">
        <w:rPr>
          <w:rFonts w:hint="eastAsia"/>
          <w:szCs w:val="21"/>
        </w:rPr>
        <w:t xml:space="preserve"> of Japanese bond market</w:t>
      </w:r>
    </w:p>
    <w:p w14:paraId="09D2AEE8" w14:textId="77777777" w:rsidR="00D75D4A" w:rsidRPr="00800D22" w:rsidRDefault="00D75D4A" w:rsidP="00D75D4A">
      <w:pPr>
        <w:spacing w:afterLines="100" w:after="312"/>
        <w:ind w:firstLineChars="200" w:firstLine="360"/>
        <w:rPr>
          <w:rFonts w:hint="eastAsia"/>
          <w:sz w:val="18"/>
          <w:szCs w:val="18"/>
        </w:rPr>
      </w:pPr>
      <w:r w:rsidRPr="00800D22">
        <w:rPr>
          <w:rFonts w:hint="eastAsia"/>
          <w:sz w:val="18"/>
          <w:szCs w:val="18"/>
        </w:rPr>
        <w:t>数据来源：冯光华</w:t>
      </w:r>
      <w:r w:rsidRPr="00800D22">
        <w:rPr>
          <w:rFonts w:hint="eastAsia"/>
          <w:sz w:val="18"/>
          <w:szCs w:val="18"/>
        </w:rPr>
        <w:t xml:space="preserve">. </w:t>
      </w:r>
      <w:r w:rsidRPr="00800D22">
        <w:rPr>
          <w:rFonts w:hint="eastAsia"/>
          <w:sz w:val="18"/>
          <w:szCs w:val="18"/>
        </w:rPr>
        <w:t>中国债券市场发展问题研究</w:t>
      </w:r>
      <w:r w:rsidRPr="00800D22">
        <w:rPr>
          <w:rFonts w:hint="eastAsia"/>
          <w:sz w:val="18"/>
          <w:szCs w:val="18"/>
        </w:rPr>
        <w:t>[M]</w:t>
      </w:r>
      <w:r w:rsidRPr="00800D22">
        <w:rPr>
          <w:rFonts w:hint="eastAsia"/>
          <w:sz w:val="18"/>
          <w:szCs w:val="18"/>
        </w:rPr>
        <w:t>，北京：中国金融出版社，</w:t>
      </w:r>
      <w:r w:rsidRPr="00800D22">
        <w:rPr>
          <w:rFonts w:hint="eastAsia"/>
          <w:sz w:val="18"/>
          <w:szCs w:val="18"/>
        </w:rPr>
        <w:t>2008</w:t>
      </w:r>
      <w:r w:rsidRPr="00800D22">
        <w:rPr>
          <w:rFonts w:hint="eastAsia"/>
          <w:sz w:val="18"/>
          <w:szCs w:val="18"/>
        </w:rPr>
        <w:t>，</w:t>
      </w:r>
      <w:r w:rsidRPr="00800D22">
        <w:rPr>
          <w:rFonts w:hint="eastAsia"/>
          <w:sz w:val="18"/>
          <w:szCs w:val="18"/>
        </w:rPr>
        <w:t>49-49.</w:t>
      </w:r>
    </w:p>
    <w:p w14:paraId="728CB938" w14:textId="77777777" w:rsidR="00D75D4A" w:rsidRPr="00800D22" w:rsidRDefault="00D75D4A" w:rsidP="00D75D4A">
      <w:pPr>
        <w:spacing w:line="440" w:lineRule="exact"/>
        <w:ind w:firstLineChars="200" w:firstLine="480"/>
        <w:rPr>
          <w:kern w:val="0"/>
          <w:sz w:val="24"/>
        </w:rPr>
      </w:pPr>
      <w:r w:rsidRPr="00800D22">
        <w:rPr>
          <w:kern w:val="0"/>
          <w:sz w:val="24"/>
        </w:rPr>
        <w:t>从日本各债券品种发行规模来看，国债</w:t>
      </w:r>
      <w:r w:rsidRPr="00800D22">
        <w:rPr>
          <w:rFonts w:hint="eastAsia"/>
          <w:kern w:val="0"/>
          <w:sz w:val="24"/>
        </w:rPr>
        <w:t>一类</w:t>
      </w:r>
      <w:r w:rsidRPr="00800D22">
        <w:rPr>
          <w:kern w:val="0"/>
          <w:sz w:val="24"/>
        </w:rPr>
        <w:t>高信用债券占主体地位</w:t>
      </w:r>
      <w:r w:rsidRPr="00800D22">
        <w:rPr>
          <w:rFonts w:hint="eastAsia"/>
          <w:kern w:val="0"/>
          <w:sz w:val="24"/>
        </w:rPr>
        <w:t>，</w:t>
      </w:r>
      <w:r w:rsidRPr="00800D22">
        <w:rPr>
          <w:kern w:val="0"/>
          <w:sz w:val="24"/>
        </w:rPr>
        <w:t>而高收益债券（含</w:t>
      </w:r>
      <w:r w:rsidRPr="00800D22">
        <w:rPr>
          <w:rFonts w:hint="eastAsia"/>
          <w:kern w:val="0"/>
          <w:sz w:val="24"/>
        </w:rPr>
        <w:t>资产</w:t>
      </w:r>
      <w:r w:rsidRPr="00800D22">
        <w:rPr>
          <w:kern w:val="0"/>
          <w:sz w:val="24"/>
        </w:rPr>
        <w:t>证券化产品）所占比例较小，约</w:t>
      </w:r>
      <w:r w:rsidRPr="00800D22">
        <w:rPr>
          <w:kern w:val="0"/>
          <w:sz w:val="24"/>
        </w:rPr>
        <w:t>10%</w:t>
      </w:r>
      <w:r w:rsidRPr="00800D22">
        <w:rPr>
          <w:kern w:val="0"/>
          <w:sz w:val="24"/>
        </w:rPr>
        <w:t>左右，远低于美国</w:t>
      </w:r>
      <w:r w:rsidRPr="00800D22">
        <w:rPr>
          <w:kern w:val="0"/>
          <w:sz w:val="24"/>
        </w:rPr>
        <w:t>50%</w:t>
      </w:r>
      <w:r w:rsidRPr="00800D22">
        <w:rPr>
          <w:kern w:val="0"/>
          <w:sz w:val="24"/>
        </w:rPr>
        <w:t>的水平（含</w:t>
      </w:r>
      <w:r w:rsidRPr="00800D22">
        <w:rPr>
          <w:rFonts w:hint="eastAsia"/>
          <w:kern w:val="0"/>
          <w:sz w:val="24"/>
        </w:rPr>
        <w:t>资产</w:t>
      </w:r>
      <w:r w:rsidRPr="00800D22">
        <w:rPr>
          <w:kern w:val="0"/>
          <w:sz w:val="24"/>
        </w:rPr>
        <w:t>证券化产品）。一方面是由于国债</w:t>
      </w:r>
      <w:r w:rsidRPr="00800D22">
        <w:rPr>
          <w:rFonts w:hint="eastAsia"/>
          <w:kern w:val="0"/>
          <w:sz w:val="24"/>
        </w:rPr>
        <w:t>一类</w:t>
      </w:r>
      <w:r w:rsidRPr="00800D22">
        <w:rPr>
          <w:kern w:val="0"/>
          <w:sz w:val="24"/>
        </w:rPr>
        <w:t>公共债券发行规模较大，另一方面是由于公司债券发行受到严格管制，自由化发展相对</w:t>
      </w:r>
      <w:r w:rsidRPr="00800D22">
        <w:rPr>
          <w:rFonts w:hint="eastAsia"/>
          <w:kern w:val="0"/>
          <w:sz w:val="24"/>
        </w:rPr>
        <w:t>于</w:t>
      </w:r>
      <w:r w:rsidRPr="00800D22">
        <w:rPr>
          <w:kern w:val="0"/>
          <w:sz w:val="24"/>
        </w:rPr>
        <w:t>其它发达国家来说较慢。</w:t>
      </w:r>
      <w:r w:rsidRPr="00800D22">
        <w:rPr>
          <w:kern w:val="0"/>
          <w:sz w:val="24"/>
        </w:rPr>
        <w:t>1980</w:t>
      </w:r>
      <w:r w:rsidRPr="00800D22">
        <w:rPr>
          <w:kern w:val="0"/>
          <w:sz w:val="24"/>
        </w:rPr>
        <w:t>年</w:t>
      </w:r>
      <w:r w:rsidRPr="00800D22">
        <w:rPr>
          <w:rFonts w:hint="eastAsia"/>
          <w:kern w:val="0"/>
          <w:sz w:val="24"/>
        </w:rPr>
        <w:t>以</w:t>
      </w:r>
      <w:r w:rsidRPr="00800D22">
        <w:rPr>
          <w:kern w:val="0"/>
          <w:sz w:val="24"/>
        </w:rPr>
        <w:t>前，为控制风险，日本公司债券发行都要求担保，实行严格的公司债券银行托管制度，并且日本企业倾向于在海外而不是在国内发行公司债券，从而导致日本公司债券市场呈空洞化。随后，日本政府开始逐步放松管制，同时借鉴了美国</w:t>
      </w:r>
      <w:r w:rsidRPr="00800D22">
        <w:rPr>
          <w:kern w:val="0"/>
          <w:sz w:val="24"/>
        </w:rPr>
        <w:t>1939</w:t>
      </w:r>
      <w:r w:rsidRPr="00800D22">
        <w:rPr>
          <w:kern w:val="0"/>
          <w:sz w:val="24"/>
        </w:rPr>
        <w:t>年《信托契约法》为附担保公司债券的发行专门制定了《附担保公司债券信托法》</w:t>
      </w:r>
      <w:r w:rsidRPr="00800D22">
        <w:rPr>
          <w:rFonts w:hint="eastAsia"/>
          <w:kern w:val="0"/>
          <w:sz w:val="24"/>
        </w:rPr>
        <w:t>（</w:t>
      </w:r>
      <w:r w:rsidRPr="00800D22">
        <w:rPr>
          <w:rFonts w:hint="eastAsia"/>
          <w:kern w:val="0"/>
          <w:sz w:val="24"/>
        </w:rPr>
        <w:t>1990</w:t>
      </w:r>
      <w:r w:rsidRPr="00800D22">
        <w:rPr>
          <w:rFonts w:hint="eastAsia"/>
          <w:kern w:val="0"/>
          <w:sz w:val="24"/>
        </w:rPr>
        <w:t>年生效）</w:t>
      </w:r>
      <w:r w:rsidRPr="00800D22">
        <w:rPr>
          <w:kern w:val="0"/>
          <w:sz w:val="24"/>
        </w:rPr>
        <w:t>，以此来保障债权人的利益。此外，日本还于</w:t>
      </w:r>
      <w:r w:rsidRPr="00800D22">
        <w:rPr>
          <w:kern w:val="0"/>
          <w:sz w:val="24"/>
        </w:rPr>
        <w:t>1993</w:t>
      </w:r>
      <w:r w:rsidRPr="00800D22">
        <w:rPr>
          <w:kern w:val="0"/>
          <w:sz w:val="24"/>
        </w:rPr>
        <w:t>年废除了公司债券的发行限额制度</w:t>
      </w:r>
      <w:r w:rsidRPr="00800D22">
        <w:rPr>
          <w:rFonts w:hint="eastAsia"/>
          <w:kern w:val="0"/>
          <w:sz w:val="24"/>
        </w:rPr>
        <w:t>和</w:t>
      </w:r>
      <w:r w:rsidRPr="00800D22">
        <w:rPr>
          <w:kern w:val="0"/>
          <w:sz w:val="24"/>
        </w:rPr>
        <w:t>公司债券托管制度，建立了公司债券管理公司制度；于</w:t>
      </w:r>
      <w:r w:rsidRPr="00800D22">
        <w:rPr>
          <w:kern w:val="0"/>
          <w:sz w:val="24"/>
        </w:rPr>
        <w:t>1996</w:t>
      </w:r>
      <w:r w:rsidRPr="00800D22">
        <w:rPr>
          <w:kern w:val="0"/>
          <w:sz w:val="24"/>
        </w:rPr>
        <w:t>年废除了限定公司债券发行企业范围的发债标准，使任何企业都能发行公司债券。公司债券市场从此开始自由发展，高收益债券所占比例也开始增加。而资产支持证券这类相对较新的债券品种在日本市场还处于发展阶段，由于缺乏完善的流通市场，市场价格机制难以建立，</w:t>
      </w:r>
      <w:r w:rsidRPr="00800D22">
        <w:rPr>
          <w:rFonts w:hint="eastAsia"/>
          <w:kern w:val="0"/>
          <w:sz w:val="24"/>
        </w:rPr>
        <w:t>从而</w:t>
      </w:r>
      <w:r w:rsidRPr="00800D22">
        <w:rPr>
          <w:kern w:val="0"/>
          <w:sz w:val="24"/>
        </w:rPr>
        <w:t>限制了其发展。</w:t>
      </w:r>
    </w:p>
    <w:p w14:paraId="1BAA895D" w14:textId="77777777" w:rsidR="00D75D4A" w:rsidRPr="00800D22" w:rsidRDefault="00D75D4A" w:rsidP="00D75D4A">
      <w:pPr>
        <w:spacing w:line="440" w:lineRule="exact"/>
        <w:ind w:firstLineChars="200" w:firstLine="480"/>
        <w:rPr>
          <w:rFonts w:hint="eastAsia"/>
          <w:kern w:val="0"/>
          <w:sz w:val="24"/>
        </w:rPr>
      </w:pPr>
      <w:r w:rsidRPr="00800D22">
        <w:rPr>
          <w:kern w:val="0"/>
          <w:sz w:val="24"/>
        </w:rPr>
        <w:t>从日本债券市场发展历程可以看出，政府在整个债券市场发展中扮演了重要的角色。为了优化债券的投资环境，担保作为其主要的增信手段由政府大力推动，</w:t>
      </w:r>
      <w:r w:rsidRPr="00800D22">
        <w:rPr>
          <w:rFonts w:hint="eastAsia"/>
          <w:kern w:val="0"/>
          <w:sz w:val="24"/>
        </w:rPr>
        <w:t>从而</w:t>
      </w:r>
      <w:r w:rsidRPr="00800D22">
        <w:rPr>
          <w:kern w:val="0"/>
          <w:sz w:val="24"/>
        </w:rPr>
        <w:t>形成了以担保为主要增信方式，银行</w:t>
      </w:r>
      <w:r w:rsidRPr="00800D22">
        <w:rPr>
          <w:rFonts w:hint="eastAsia"/>
          <w:kern w:val="0"/>
          <w:sz w:val="24"/>
        </w:rPr>
        <w:t>和</w:t>
      </w:r>
      <w:r w:rsidRPr="00800D22">
        <w:rPr>
          <w:kern w:val="0"/>
          <w:sz w:val="24"/>
        </w:rPr>
        <w:t>信托公司共同参与的增信体系。</w:t>
      </w:r>
    </w:p>
    <w:p w14:paraId="78647D8A" w14:textId="060270CB" w:rsidR="00D75D4A" w:rsidRPr="00800D22" w:rsidRDefault="00D75D4A" w:rsidP="00D75D4A">
      <w:pPr>
        <w:pStyle w:val="3"/>
        <w:adjustRightInd w:val="0"/>
        <w:spacing w:beforeLines="50" w:before="156" w:afterLines="50" w:after="156" w:line="440" w:lineRule="exact"/>
        <w:jc w:val="left"/>
        <w:rPr>
          <w:rFonts w:ascii="黑体" w:eastAsia="黑体"/>
          <w:b/>
          <w:sz w:val="28"/>
          <w:szCs w:val="28"/>
        </w:rPr>
      </w:pPr>
      <w:bookmarkStart w:id="14" w:name="_Toc238267514"/>
      <w:bookmarkStart w:id="15" w:name="_Toc238270157"/>
      <w:bookmarkStart w:id="16" w:name="_Toc238701450"/>
      <w:bookmarkStart w:id="17" w:name="_Toc239689224"/>
      <w:bookmarkStart w:id="18" w:name="_Toc247869843"/>
      <w:bookmarkStart w:id="19" w:name="_Toc256506278"/>
      <w:r>
        <w:rPr>
          <w:rFonts w:ascii="黑体" w:eastAsia="黑体" w:hint="eastAsia"/>
          <w:b/>
          <w:sz w:val="28"/>
          <w:szCs w:val="28"/>
        </w:rPr>
        <w:lastRenderedPageBreak/>
        <w:t>二、</w:t>
      </w:r>
      <w:r w:rsidRPr="00800D22">
        <w:rPr>
          <w:rFonts w:ascii="黑体" w:eastAsia="黑体"/>
          <w:b/>
          <w:sz w:val="28"/>
          <w:szCs w:val="28"/>
        </w:rPr>
        <w:t>法律制度环境</w:t>
      </w:r>
      <w:bookmarkEnd w:id="14"/>
      <w:bookmarkEnd w:id="15"/>
      <w:bookmarkEnd w:id="16"/>
      <w:bookmarkEnd w:id="17"/>
      <w:bookmarkEnd w:id="18"/>
      <w:bookmarkEnd w:id="19"/>
    </w:p>
    <w:p w14:paraId="4230FF49" w14:textId="47E42DF2" w:rsidR="00D75D4A" w:rsidRPr="00800D22" w:rsidRDefault="00D75D4A" w:rsidP="00D75D4A">
      <w:pPr>
        <w:spacing w:line="440" w:lineRule="exact"/>
        <w:ind w:firstLineChars="200" w:firstLine="480"/>
        <w:outlineLvl w:val="3"/>
        <w:rPr>
          <w:rFonts w:ascii="黑体" w:eastAsia="黑体" w:hAnsi="宋体" w:hint="eastAsia"/>
          <w:sz w:val="24"/>
        </w:rPr>
      </w:pPr>
      <w:r>
        <w:rPr>
          <w:rFonts w:ascii="黑体" w:eastAsia="黑体" w:hAnsi="宋体" w:hint="eastAsia"/>
          <w:sz w:val="24"/>
        </w:rPr>
        <w:t>1.</w:t>
      </w:r>
      <w:r w:rsidRPr="00800D22">
        <w:rPr>
          <w:rFonts w:ascii="黑体" w:eastAsia="黑体" w:hAnsi="宋体" w:hint="eastAsia"/>
          <w:sz w:val="24"/>
        </w:rPr>
        <w:t>证券市场法律制度环境</w:t>
      </w:r>
    </w:p>
    <w:p w14:paraId="6CBE5993" w14:textId="77777777" w:rsidR="00D75D4A" w:rsidRPr="00800D22" w:rsidRDefault="00D75D4A" w:rsidP="00D75D4A">
      <w:pPr>
        <w:spacing w:line="440" w:lineRule="exact"/>
        <w:ind w:firstLineChars="200" w:firstLine="480"/>
        <w:rPr>
          <w:sz w:val="24"/>
        </w:rPr>
      </w:pPr>
      <w:r w:rsidRPr="00800D22">
        <w:rPr>
          <w:sz w:val="24"/>
        </w:rPr>
        <w:t>日本的证券法律制度借鉴了美国的经验，其债券市场的相关法律体系也相当完善，有较为完备的</w:t>
      </w:r>
      <w:r w:rsidRPr="00800D22">
        <w:rPr>
          <w:rFonts w:hint="eastAsia"/>
          <w:sz w:val="24"/>
        </w:rPr>
        <w:t>《担保物权法》（</w:t>
      </w:r>
      <w:r w:rsidRPr="00800D22">
        <w:rPr>
          <w:rFonts w:hint="eastAsia"/>
          <w:sz w:val="24"/>
        </w:rPr>
        <w:t>2003</w:t>
      </w:r>
      <w:r w:rsidRPr="00800D22">
        <w:rPr>
          <w:rFonts w:hint="eastAsia"/>
          <w:sz w:val="24"/>
        </w:rPr>
        <w:t>年生效）、《企业担保法》（</w:t>
      </w:r>
      <w:r w:rsidRPr="00800D22">
        <w:rPr>
          <w:rFonts w:hint="eastAsia"/>
          <w:sz w:val="24"/>
        </w:rPr>
        <w:t>1958</w:t>
      </w:r>
      <w:r w:rsidRPr="00800D22">
        <w:rPr>
          <w:rFonts w:hint="eastAsia"/>
          <w:sz w:val="24"/>
        </w:rPr>
        <w:t>年生效）、</w:t>
      </w:r>
      <w:r w:rsidRPr="00800D22">
        <w:rPr>
          <w:sz w:val="24"/>
        </w:rPr>
        <w:t>《商法典》</w:t>
      </w:r>
      <w:r w:rsidRPr="00800D22">
        <w:rPr>
          <w:rFonts w:hint="eastAsia"/>
          <w:sz w:val="24"/>
        </w:rPr>
        <w:t>（</w:t>
      </w:r>
      <w:r w:rsidRPr="00800D22">
        <w:rPr>
          <w:rFonts w:hint="eastAsia"/>
          <w:sz w:val="24"/>
        </w:rPr>
        <w:t>1893</w:t>
      </w:r>
      <w:r w:rsidRPr="00800D22">
        <w:rPr>
          <w:rFonts w:hint="eastAsia"/>
          <w:sz w:val="24"/>
        </w:rPr>
        <w:t>年生效）</w:t>
      </w:r>
      <w:r w:rsidRPr="00800D22">
        <w:rPr>
          <w:sz w:val="24"/>
        </w:rPr>
        <w:t>、《公司法》</w:t>
      </w:r>
      <w:r w:rsidRPr="00800D22">
        <w:rPr>
          <w:rFonts w:hint="eastAsia"/>
          <w:sz w:val="24"/>
        </w:rPr>
        <w:t>（</w:t>
      </w:r>
      <w:r w:rsidRPr="00800D22">
        <w:rPr>
          <w:rFonts w:hint="eastAsia"/>
          <w:sz w:val="24"/>
        </w:rPr>
        <w:t>2006</w:t>
      </w:r>
      <w:r w:rsidRPr="00800D22">
        <w:rPr>
          <w:rFonts w:hint="eastAsia"/>
          <w:sz w:val="24"/>
        </w:rPr>
        <w:t>年生效）</w:t>
      </w:r>
      <w:r w:rsidRPr="00800D22">
        <w:rPr>
          <w:sz w:val="24"/>
        </w:rPr>
        <w:t>、《证券交易法》</w:t>
      </w:r>
      <w:r w:rsidRPr="00800D22">
        <w:rPr>
          <w:rFonts w:hint="eastAsia"/>
          <w:sz w:val="24"/>
        </w:rPr>
        <w:t>（</w:t>
      </w:r>
      <w:r w:rsidRPr="00800D22">
        <w:rPr>
          <w:rFonts w:hint="eastAsia"/>
          <w:sz w:val="24"/>
        </w:rPr>
        <w:t>1948</w:t>
      </w:r>
      <w:r w:rsidRPr="00800D22">
        <w:rPr>
          <w:rFonts w:hint="eastAsia"/>
          <w:sz w:val="24"/>
        </w:rPr>
        <w:t>年）、</w:t>
      </w:r>
      <w:r w:rsidRPr="00800D22">
        <w:rPr>
          <w:sz w:val="24"/>
        </w:rPr>
        <w:t>《资产证券化法》</w:t>
      </w:r>
      <w:r w:rsidRPr="00800D22">
        <w:rPr>
          <w:rFonts w:hint="eastAsia"/>
          <w:sz w:val="24"/>
        </w:rPr>
        <w:t>（</w:t>
      </w:r>
      <w:r w:rsidRPr="00800D22">
        <w:rPr>
          <w:rFonts w:hint="eastAsia"/>
          <w:sz w:val="24"/>
        </w:rPr>
        <w:t>2001</w:t>
      </w:r>
      <w:r w:rsidRPr="00800D22">
        <w:rPr>
          <w:rFonts w:hint="eastAsia"/>
          <w:sz w:val="24"/>
        </w:rPr>
        <w:t>年生效）及</w:t>
      </w:r>
      <w:r w:rsidRPr="00800D22">
        <w:rPr>
          <w:sz w:val="24"/>
        </w:rPr>
        <w:t>《信用</w:t>
      </w:r>
      <w:r w:rsidRPr="00800D22">
        <w:rPr>
          <w:rFonts w:hint="eastAsia"/>
          <w:sz w:val="24"/>
        </w:rPr>
        <w:t>保证</w:t>
      </w:r>
      <w:r w:rsidRPr="00800D22">
        <w:rPr>
          <w:sz w:val="24"/>
        </w:rPr>
        <w:t>协会法》</w:t>
      </w:r>
      <w:r w:rsidRPr="00800D22">
        <w:rPr>
          <w:rFonts w:hint="eastAsia"/>
          <w:sz w:val="24"/>
        </w:rPr>
        <w:t>（</w:t>
      </w:r>
      <w:r w:rsidRPr="00800D22">
        <w:rPr>
          <w:rFonts w:hint="eastAsia"/>
          <w:sz w:val="24"/>
        </w:rPr>
        <w:t>1958</w:t>
      </w:r>
      <w:r w:rsidRPr="00800D22">
        <w:rPr>
          <w:rFonts w:hint="eastAsia"/>
          <w:sz w:val="24"/>
        </w:rPr>
        <w:t>年生效）</w:t>
      </w:r>
      <w:r w:rsidRPr="00800D22">
        <w:rPr>
          <w:sz w:val="24"/>
        </w:rPr>
        <w:t>，同时借鉴美国《</w:t>
      </w:r>
      <w:r w:rsidRPr="00800D22">
        <w:rPr>
          <w:sz w:val="24"/>
        </w:rPr>
        <w:t>1939</w:t>
      </w:r>
      <w:r w:rsidRPr="00800D22">
        <w:rPr>
          <w:sz w:val="24"/>
        </w:rPr>
        <w:t>年信托契约法》为附担保公司债券发行专门制定了《附担保公司债券信托法》。此后附担保公司债券在日本得到了长足发展，而此种类型的增信方式也成为了日本公司债券增信的主要手段。</w:t>
      </w:r>
    </w:p>
    <w:p w14:paraId="5D7F563C" w14:textId="77777777" w:rsidR="00D75D4A" w:rsidRPr="00800D22" w:rsidRDefault="00D75D4A" w:rsidP="00D75D4A">
      <w:pPr>
        <w:spacing w:line="440" w:lineRule="exact"/>
        <w:ind w:firstLineChars="200" w:firstLine="480"/>
        <w:rPr>
          <w:sz w:val="24"/>
        </w:rPr>
      </w:pPr>
      <w:r w:rsidRPr="00800D22">
        <w:rPr>
          <w:sz w:val="24"/>
        </w:rPr>
        <w:t>随着资产证券化产品的陆续推出，日本对证券化法律法规的框架进行了重构，大大地促进了资产证券化业务的发展。日本证券化法律法规的改变主要体现在以下四个方面：第一，</w:t>
      </w:r>
      <w:r w:rsidRPr="00800D22">
        <w:rPr>
          <w:sz w:val="24"/>
        </w:rPr>
        <w:t>1993</w:t>
      </w:r>
      <w:r w:rsidRPr="00800D22">
        <w:rPr>
          <w:sz w:val="24"/>
        </w:rPr>
        <w:t>年通过了《</w:t>
      </w:r>
      <w:r w:rsidRPr="00800D22">
        <w:rPr>
          <w:sz w:val="24"/>
        </w:rPr>
        <w:t>MITI</w:t>
      </w:r>
      <w:r w:rsidRPr="00800D22">
        <w:rPr>
          <w:sz w:val="24"/>
        </w:rPr>
        <w:t>证券化法》，</w:t>
      </w:r>
      <w:r w:rsidRPr="00800D22">
        <w:rPr>
          <w:sz w:val="24"/>
        </w:rPr>
        <w:t>1998</w:t>
      </w:r>
      <w:r w:rsidRPr="00800D22">
        <w:rPr>
          <w:sz w:val="24"/>
        </w:rPr>
        <w:t>年通过了《优化法》，简化了日本民法繁琐的优化程序规定，在新的优化系统下，转让大笔金融资产，可通过以前的归档程序简单方便的完成；第二，通过了《特殊目的公司特定资产证券化法》，并加以修订，降低了特殊目的公司的设立和运作费用；第三，</w:t>
      </w:r>
      <w:r w:rsidRPr="00800D22">
        <w:rPr>
          <w:sz w:val="24"/>
        </w:rPr>
        <w:t>1998</w:t>
      </w:r>
      <w:r w:rsidRPr="00800D22">
        <w:rPr>
          <w:sz w:val="24"/>
        </w:rPr>
        <w:t>年，日本修订了《对外贸易和交易法》，以方便跨国交易；第四，日本通过了新的</w:t>
      </w:r>
      <w:r w:rsidRPr="00800D22">
        <w:rPr>
          <w:rFonts w:hint="eastAsia"/>
          <w:sz w:val="24"/>
        </w:rPr>
        <w:t>“</w:t>
      </w:r>
      <w:r w:rsidRPr="00800D22">
        <w:rPr>
          <w:sz w:val="24"/>
        </w:rPr>
        <w:t>服务商</w:t>
      </w:r>
      <w:r w:rsidRPr="00800D22">
        <w:rPr>
          <w:rFonts w:hint="eastAsia"/>
          <w:sz w:val="24"/>
        </w:rPr>
        <w:t>”</w:t>
      </w:r>
      <w:r w:rsidRPr="00800D22">
        <w:rPr>
          <w:sz w:val="24"/>
        </w:rPr>
        <w:t>法规，允许公司参与金融机构的不良贷款业务。该法规的通过促使一些国外大公司组建特殊目的公司，为不良贷款的处理提供服务，方便了国外投资者开展业务。</w:t>
      </w:r>
    </w:p>
    <w:p w14:paraId="791C231F" w14:textId="77777777" w:rsidR="00D75D4A" w:rsidRPr="00800D22" w:rsidRDefault="00D75D4A" w:rsidP="00D75D4A">
      <w:pPr>
        <w:spacing w:line="440" w:lineRule="exact"/>
        <w:ind w:firstLineChars="200" w:firstLine="480"/>
        <w:rPr>
          <w:sz w:val="24"/>
        </w:rPr>
      </w:pPr>
      <w:r w:rsidRPr="00800D22">
        <w:rPr>
          <w:sz w:val="24"/>
        </w:rPr>
        <w:t>日本大部分债券是在场外市场交易，场外市场的交易额占到整个市场交易总额的</w:t>
      </w:r>
      <w:r w:rsidRPr="00800D22">
        <w:rPr>
          <w:sz w:val="24"/>
        </w:rPr>
        <w:t>90%</w:t>
      </w:r>
      <w:r w:rsidRPr="00800D22">
        <w:rPr>
          <w:sz w:val="24"/>
        </w:rPr>
        <w:t>以上。为防止场外债券转让价格出现大幅波动，同时为了更有效的反映市场供求状况，</w:t>
      </w:r>
      <w:r w:rsidRPr="00800D22">
        <w:rPr>
          <w:sz w:val="24"/>
        </w:rPr>
        <w:t>JSDA</w:t>
      </w:r>
      <w:r w:rsidRPr="00800D22">
        <w:rPr>
          <w:sz w:val="24"/>
        </w:rPr>
        <w:t>（日本证券业协会）通过即时公布债券场外交易行情来引导债券交易价格。此外，日本场外交易均采用计算机联网系统，市场参与者能够随时了解交易行情，从而保证了场外交易更为活跃和连贯。</w:t>
      </w:r>
    </w:p>
    <w:p w14:paraId="477C489C" w14:textId="77777777" w:rsidR="00D75D4A" w:rsidRPr="00800D22" w:rsidRDefault="00D75D4A" w:rsidP="00D75D4A">
      <w:pPr>
        <w:spacing w:line="440" w:lineRule="exact"/>
        <w:ind w:firstLineChars="200" w:firstLine="480"/>
        <w:rPr>
          <w:sz w:val="24"/>
        </w:rPr>
      </w:pPr>
      <w:r w:rsidRPr="00800D22">
        <w:rPr>
          <w:sz w:val="24"/>
        </w:rPr>
        <w:t>综合来看，日本整个制度环境的优化促进了债券市场的快速发展，</w:t>
      </w:r>
      <w:r w:rsidRPr="00800D22">
        <w:rPr>
          <w:rFonts w:hint="eastAsia"/>
          <w:sz w:val="24"/>
        </w:rPr>
        <w:t>同时也</w:t>
      </w:r>
      <w:r w:rsidRPr="00800D22">
        <w:rPr>
          <w:sz w:val="24"/>
        </w:rPr>
        <w:t>为增信体系的构建和完善铺平了道路。</w:t>
      </w:r>
    </w:p>
    <w:p w14:paraId="05FA5554" w14:textId="11D877A9" w:rsidR="00D75D4A" w:rsidRPr="00800D22" w:rsidRDefault="00D75D4A" w:rsidP="00D75D4A">
      <w:pPr>
        <w:spacing w:line="440" w:lineRule="exact"/>
        <w:ind w:firstLineChars="200" w:firstLine="480"/>
        <w:outlineLvl w:val="3"/>
        <w:rPr>
          <w:rFonts w:ascii="黑体" w:eastAsia="黑体" w:hAnsi="宋体" w:hint="eastAsia"/>
          <w:sz w:val="24"/>
        </w:rPr>
      </w:pPr>
      <w:r>
        <w:rPr>
          <w:rFonts w:ascii="黑体" w:eastAsia="黑体" w:hAnsi="宋体" w:hint="eastAsia"/>
          <w:sz w:val="24"/>
        </w:rPr>
        <w:t>2.</w:t>
      </w:r>
      <w:r w:rsidRPr="00800D22">
        <w:rPr>
          <w:rFonts w:ascii="黑体" w:eastAsia="黑体" w:hAnsi="宋体" w:hint="eastAsia"/>
          <w:sz w:val="24"/>
        </w:rPr>
        <w:t>增信体系法律制度环境</w:t>
      </w:r>
    </w:p>
    <w:p w14:paraId="6FA82405" w14:textId="77777777" w:rsidR="00D75D4A" w:rsidRPr="00800D22" w:rsidRDefault="00D75D4A" w:rsidP="00D75D4A">
      <w:pPr>
        <w:spacing w:line="440" w:lineRule="exact"/>
        <w:ind w:firstLineChars="200" w:firstLine="480"/>
        <w:rPr>
          <w:rFonts w:hint="eastAsia"/>
          <w:sz w:val="24"/>
        </w:rPr>
      </w:pPr>
      <w:r w:rsidRPr="00800D22">
        <w:rPr>
          <w:rFonts w:hint="eastAsia"/>
          <w:sz w:val="24"/>
        </w:rPr>
        <w:t>《担保物权法》在日本增信体系的建设中起到了关键作用，其分别从法定担保物权、约定担保物权、变相担保和债权担保四个方面对担保制度进行了详细规定，是日本担保行业中最重要的法律之一。自上世纪</w:t>
      </w:r>
      <w:r w:rsidRPr="00800D22">
        <w:rPr>
          <w:rFonts w:hint="eastAsia"/>
          <w:sz w:val="24"/>
        </w:rPr>
        <w:t>90</w:t>
      </w:r>
      <w:r w:rsidRPr="00800D22">
        <w:rPr>
          <w:rFonts w:hint="eastAsia"/>
          <w:sz w:val="24"/>
        </w:rPr>
        <w:t>年代日本经济出现衰退以来，土地价格持续大幅下跌，不良债权不断出现，</w:t>
      </w:r>
      <w:r w:rsidRPr="00800D22">
        <w:rPr>
          <w:sz w:val="24"/>
        </w:rPr>
        <w:t>为了缓解这种经济衰退，日</w:t>
      </w:r>
      <w:r w:rsidRPr="00800D22">
        <w:rPr>
          <w:sz w:val="24"/>
        </w:rPr>
        <w:lastRenderedPageBreak/>
        <w:t>本的法律界开始试图改革原有法律体制，以助</w:t>
      </w:r>
      <w:hyperlink r:id="rId10" w:history="1">
        <w:r w:rsidRPr="00800D22">
          <w:rPr>
            <w:sz w:val="24"/>
          </w:rPr>
          <w:t>经济</w:t>
        </w:r>
      </w:hyperlink>
      <w:r w:rsidRPr="00800D22">
        <w:rPr>
          <w:sz w:val="24"/>
        </w:rPr>
        <w:t>走出低迷</w:t>
      </w:r>
      <w:r w:rsidRPr="00800D22">
        <w:rPr>
          <w:rFonts w:hint="eastAsia"/>
          <w:sz w:val="24"/>
        </w:rPr>
        <w:t>，其中，《担保物权法》就是改革的重点之一。该法案于</w:t>
      </w:r>
      <w:r w:rsidRPr="00800D22">
        <w:rPr>
          <w:rFonts w:hint="eastAsia"/>
          <w:sz w:val="24"/>
        </w:rPr>
        <w:t>2001</w:t>
      </w:r>
      <w:r w:rsidRPr="00800D22">
        <w:rPr>
          <w:rFonts w:hint="eastAsia"/>
          <w:sz w:val="24"/>
        </w:rPr>
        <w:t>年开始修改，于</w:t>
      </w:r>
      <w:smartTag w:uri="urn:schemas-microsoft-com:office:smarttags" w:element="chsdate">
        <w:smartTagPr>
          <w:attr w:name="IsROCDate" w:val="False"/>
          <w:attr w:name="IsLunarDate" w:val="False"/>
          <w:attr w:name="Day" w:val="25"/>
          <w:attr w:name="Month" w:val="7"/>
          <w:attr w:name="Year" w:val="2003"/>
        </w:smartTagPr>
        <w:r w:rsidRPr="00800D22">
          <w:rPr>
            <w:rFonts w:hint="eastAsia"/>
            <w:sz w:val="24"/>
          </w:rPr>
          <w:t>2003</w:t>
        </w:r>
        <w:r w:rsidRPr="00800D22">
          <w:rPr>
            <w:rFonts w:hint="eastAsia"/>
            <w:sz w:val="24"/>
          </w:rPr>
          <w:t>年</w:t>
        </w:r>
        <w:r w:rsidRPr="00800D22">
          <w:rPr>
            <w:rFonts w:hint="eastAsia"/>
            <w:sz w:val="24"/>
          </w:rPr>
          <w:t>7</w:t>
        </w:r>
        <w:r w:rsidRPr="00800D22">
          <w:rPr>
            <w:rFonts w:hint="eastAsia"/>
            <w:sz w:val="24"/>
          </w:rPr>
          <w:t>月</w:t>
        </w:r>
        <w:r w:rsidRPr="00800D22">
          <w:rPr>
            <w:rFonts w:hint="eastAsia"/>
            <w:sz w:val="24"/>
          </w:rPr>
          <w:t>25</w:t>
        </w:r>
        <w:r w:rsidRPr="00800D22">
          <w:rPr>
            <w:rFonts w:hint="eastAsia"/>
            <w:sz w:val="24"/>
          </w:rPr>
          <w:t>日</w:t>
        </w:r>
      </w:smartTag>
      <w:r w:rsidRPr="00800D22">
        <w:rPr>
          <w:rFonts w:hint="eastAsia"/>
          <w:sz w:val="24"/>
        </w:rPr>
        <w:t>获得国会通过。《</w:t>
      </w:r>
      <w:r w:rsidRPr="00800D22">
        <w:rPr>
          <w:sz w:val="24"/>
        </w:rPr>
        <w:t>担保物权法</w:t>
      </w:r>
      <w:r w:rsidRPr="00800D22">
        <w:rPr>
          <w:rFonts w:hint="eastAsia"/>
          <w:sz w:val="24"/>
        </w:rPr>
        <w:t>》</w:t>
      </w:r>
      <w:r w:rsidRPr="00800D22">
        <w:rPr>
          <w:sz w:val="24"/>
        </w:rPr>
        <w:t>的修改主要目的在于强化抵押权的效力，以助债权回收，减少不良债权数量，减轻金融机构负担。不良债权大量出现的一个重要原因是抵押物价格下跌，也就是所谓</w:t>
      </w:r>
      <w:r w:rsidRPr="00800D22">
        <w:rPr>
          <w:rFonts w:hint="eastAsia"/>
          <w:sz w:val="24"/>
        </w:rPr>
        <w:t>“</w:t>
      </w:r>
      <w:r w:rsidRPr="00800D22">
        <w:rPr>
          <w:sz w:val="24"/>
        </w:rPr>
        <w:t>土地神话</w:t>
      </w:r>
      <w:r w:rsidRPr="00800D22">
        <w:rPr>
          <w:rFonts w:hint="eastAsia"/>
          <w:sz w:val="24"/>
        </w:rPr>
        <w:t>”</w:t>
      </w:r>
      <w:r w:rsidRPr="00800D22">
        <w:rPr>
          <w:sz w:val="24"/>
        </w:rPr>
        <w:t>的破灭。为帮助债权人通过抵押权尽可能多地实现债权回收，日本最高裁判所（最高法院）首先采取行动，做出一系列判决，加强抵押权的效力。</w:t>
      </w:r>
      <w:r w:rsidRPr="00800D22">
        <w:rPr>
          <w:rFonts w:hint="eastAsia"/>
          <w:sz w:val="24"/>
        </w:rPr>
        <w:t>修改后的《</w:t>
      </w:r>
      <w:r w:rsidRPr="00800D22">
        <w:rPr>
          <w:sz w:val="24"/>
        </w:rPr>
        <w:t>担保物权法</w:t>
      </w:r>
      <w:r w:rsidRPr="00800D22">
        <w:rPr>
          <w:rFonts w:hint="eastAsia"/>
          <w:sz w:val="24"/>
        </w:rPr>
        <w:t>》更适合日本现实状况，进一步规范了日本担保业，同时也进一步完善了日本债券市场增信体系。</w:t>
      </w:r>
    </w:p>
    <w:p w14:paraId="207ACFFA" w14:textId="77777777" w:rsidR="00D75D4A" w:rsidRPr="00800D22" w:rsidRDefault="00D75D4A" w:rsidP="00D75D4A">
      <w:pPr>
        <w:spacing w:line="440" w:lineRule="exact"/>
        <w:ind w:firstLineChars="200" w:firstLine="480"/>
        <w:rPr>
          <w:rFonts w:hint="eastAsia"/>
          <w:sz w:val="24"/>
        </w:rPr>
      </w:pPr>
      <w:r w:rsidRPr="00800D22">
        <w:rPr>
          <w:rFonts w:hint="eastAsia"/>
          <w:sz w:val="24"/>
        </w:rPr>
        <w:t>另外，日本于</w:t>
      </w:r>
      <w:r w:rsidRPr="00800D22">
        <w:rPr>
          <w:rFonts w:ascii="宋体" w:hAnsi="宋体" w:cs="宋体"/>
          <w:kern w:val="0"/>
          <w:sz w:val="24"/>
        </w:rPr>
        <w:t>1958年以英国</w:t>
      </w:r>
      <w:r w:rsidRPr="00800D22">
        <w:rPr>
          <w:rFonts w:ascii="宋体" w:hAnsi="宋体" w:cs="宋体" w:hint="eastAsia"/>
          <w:kern w:val="0"/>
          <w:sz w:val="24"/>
        </w:rPr>
        <w:t>的</w:t>
      </w:r>
      <w:r w:rsidRPr="00800D22">
        <w:rPr>
          <w:rFonts w:ascii="宋体" w:hAnsi="宋体" w:cs="宋体"/>
          <w:kern w:val="0"/>
          <w:sz w:val="24"/>
        </w:rPr>
        <w:t>浮动</w:t>
      </w:r>
      <w:r w:rsidRPr="00800D22">
        <w:rPr>
          <w:rFonts w:ascii="宋体" w:hAnsi="宋体" w:cs="宋体" w:hint="eastAsia"/>
          <w:kern w:val="0"/>
          <w:sz w:val="24"/>
        </w:rPr>
        <w:t>抵押制度</w:t>
      </w:r>
      <w:r w:rsidRPr="00800D22">
        <w:rPr>
          <w:rFonts w:ascii="宋体" w:hAnsi="宋体" w:cs="宋体"/>
          <w:kern w:val="0"/>
          <w:sz w:val="24"/>
        </w:rPr>
        <w:t>为基础制定了《企业担保法》。根据日本《企业担保法》的规定，企业担保权是对于企业所属所有财产所设定的担保权，企业担保权人对于企业所属所有财产享有优先受偿权。</w:t>
      </w:r>
      <w:r w:rsidRPr="00800D22">
        <w:rPr>
          <w:rFonts w:ascii="宋体" w:hAnsi="宋体" w:cs="宋体" w:hint="eastAsia"/>
          <w:kern w:val="0"/>
          <w:sz w:val="24"/>
        </w:rPr>
        <w:t>但日本限定《企业担保法》只适用于股份有限公司，在一定程度上限制了第三方担保市场的发展。</w:t>
      </w:r>
    </w:p>
    <w:p w14:paraId="22895C8D" w14:textId="77777777" w:rsidR="00D75D4A" w:rsidRPr="00800D22" w:rsidRDefault="00D75D4A" w:rsidP="00D75D4A">
      <w:pPr>
        <w:spacing w:line="440" w:lineRule="exact"/>
        <w:ind w:firstLineChars="200" w:firstLine="480"/>
        <w:rPr>
          <w:sz w:val="24"/>
        </w:rPr>
      </w:pPr>
      <w:r w:rsidRPr="00800D22">
        <w:rPr>
          <w:sz w:val="24"/>
        </w:rPr>
        <w:t>综合来看，日本整个制度环境的优化促进了债券市场的快速发展，为增信体系的构建和完善铺平了道路。</w:t>
      </w:r>
    </w:p>
    <w:p w14:paraId="0AB03F94" w14:textId="6127817A" w:rsidR="00D75D4A" w:rsidRPr="00800D22" w:rsidRDefault="00D75D4A" w:rsidP="00D75D4A">
      <w:pPr>
        <w:pStyle w:val="3"/>
        <w:adjustRightInd w:val="0"/>
        <w:spacing w:beforeLines="50" w:before="156" w:afterLines="50" w:after="156" w:line="440" w:lineRule="exact"/>
        <w:jc w:val="left"/>
        <w:rPr>
          <w:rFonts w:ascii="黑体" w:eastAsia="黑体"/>
          <w:b/>
          <w:sz w:val="28"/>
          <w:szCs w:val="28"/>
        </w:rPr>
      </w:pPr>
      <w:bookmarkStart w:id="20" w:name="_Toc238267515"/>
      <w:bookmarkStart w:id="21" w:name="_Toc238270158"/>
      <w:bookmarkStart w:id="22" w:name="_Toc238701451"/>
      <w:bookmarkStart w:id="23" w:name="_Toc239689225"/>
      <w:bookmarkStart w:id="24" w:name="_Toc247869844"/>
      <w:bookmarkStart w:id="25" w:name="_Toc256506279"/>
      <w:r>
        <w:rPr>
          <w:rFonts w:ascii="黑体" w:eastAsia="黑体" w:hint="eastAsia"/>
          <w:b/>
          <w:sz w:val="28"/>
          <w:szCs w:val="28"/>
        </w:rPr>
        <w:t>三、</w:t>
      </w:r>
      <w:r w:rsidRPr="00800D22">
        <w:rPr>
          <w:rFonts w:ascii="黑体" w:eastAsia="黑体"/>
          <w:b/>
          <w:sz w:val="28"/>
          <w:szCs w:val="28"/>
        </w:rPr>
        <w:t>增信手段</w:t>
      </w:r>
      <w:bookmarkEnd w:id="20"/>
      <w:bookmarkEnd w:id="21"/>
      <w:bookmarkEnd w:id="22"/>
      <w:bookmarkEnd w:id="23"/>
      <w:bookmarkEnd w:id="24"/>
      <w:bookmarkEnd w:id="25"/>
    </w:p>
    <w:p w14:paraId="2683C6A4" w14:textId="3B026080" w:rsidR="00D75D4A" w:rsidRPr="00800D22" w:rsidRDefault="00D75D4A" w:rsidP="00D75D4A">
      <w:pPr>
        <w:spacing w:line="440" w:lineRule="exact"/>
        <w:ind w:firstLineChars="200" w:firstLine="480"/>
        <w:outlineLvl w:val="3"/>
        <w:rPr>
          <w:rFonts w:ascii="黑体" w:eastAsia="黑体" w:hAnsi="宋体"/>
          <w:sz w:val="24"/>
        </w:rPr>
      </w:pPr>
      <w:r>
        <w:rPr>
          <w:rFonts w:ascii="黑体" w:eastAsia="黑体" w:hAnsi="宋体" w:hint="eastAsia"/>
          <w:sz w:val="24"/>
        </w:rPr>
        <w:t>1.</w:t>
      </w:r>
      <w:r w:rsidRPr="00800D22">
        <w:rPr>
          <w:rFonts w:ascii="黑体" w:eastAsia="黑体" w:hAnsi="宋体"/>
          <w:sz w:val="24"/>
        </w:rPr>
        <w:t>第三方担保</w:t>
      </w:r>
    </w:p>
    <w:p w14:paraId="28684C0F" w14:textId="77777777" w:rsidR="00D75D4A" w:rsidRPr="00800D22" w:rsidRDefault="00D75D4A" w:rsidP="00D75D4A">
      <w:pPr>
        <w:widowControl/>
        <w:spacing w:line="440" w:lineRule="exact"/>
        <w:ind w:firstLineChars="200" w:firstLine="480"/>
        <w:rPr>
          <w:sz w:val="24"/>
        </w:rPr>
      </w:pPr>
      <w:r w:rsidRPr="00800D22">
        <w:rPr>
          <w:sz w:val="24"/>
        </w:rPr>
        <w:t>20</w:t>
      </w:r>
      <w:r w:rsidRPr="00800D22">
        <w:rPr>
          <w:sz w:val="24"/>
        </w:rPr>
        <w:t>世纪</w:t>
      </w:r>
      <w:r w:rsidRPr="00800D22">
        <w:rPr>
          <w:sz w:val="24"/>
        </w:rPr>
        <w:t>80</w:t>
      </w:r>
      <w:r w:rsidRPr="00800D22">
        <w:rPr>
          <w:sz w:val="24"/>
        </w:rPr>
        <w:t>年代之前，由于日本不允许发行无担保公司债券，因而为第三方担保的增信方式提供了市场基础，第三方担保成为公司债券的主要增信方式。此外，随着日本资产证券化步伐的加快，第三方担保在债券市场增信体系中的作用更加突出，在该时期，政府在担保中充当了重要的角色。但自从公司债券信托发展起来后，尤其是政府放开对担保的限制</w:t>
      </w:r>
      <w:r w:rsidRPr="00800D22">
        <w:rPr>
          <w:rFonts w:hint="eastAsia"/>
          <w:sz w:val="24"/>
        </w:rPr>
        <w:t>，</w:t>
      </w:r>
      <w:r w:rsidRPr="00800D22">
        <w:rPr>
          <w:sz w:val="24"/>
        </w:rPr>
        <w:t>允许发行无担保债券之后，第三方担保的地位有所下降，但至今为止依然是日本债券市场中重要的增信方式之一。</w:t>
      </w:r>
    </w:p>
    <w:p w14:paraId="443AA40E" w14:textId="1768FD8A" w:rsidR="00D75D4A" w:rsidRPr="00800D22" w:rsidRDefault="00D75D4A" w:rsidP="00D75D4A">
      <w:pPr>
        <w:spacing w:line="440" w:lineRule="exact"/>
        <w:ind w:firstLineChars="200" w:firstLine="480"/>
        <w:outlineLvl w:val="3"/>
        <w:rPr>
          <w:rFonts w:ascii="黑体" w:eastAsia="黑体" w:hAnsi="宋体"/>
          <w:sz w:val="24"/>
        </w:rPr>
      </w:pPr>
      <w:r>
        <w:rPr>
          <w:rFonts w:ascii="黑体" w:eastAsia="黑体" w:hAnsi="宋体" w:hint="eastAsia"/>
          <w:sz w:val="24"/>
        </w:rPr>
        <w:t>2.</w:t>
      </w:r>
      <w:r w:rsidRPr="00800D22">
        <w:rPr>
          <w:rFonts w:ascii="黑体" w:eastAsia="黑体" w:hAnsi="宋体"/>
          <w:sz w:val="24"/>
        </w:rPr>
        <w:t>债券信托</w:t>
      </w:r>
    </w:p>
    <w:p w14:paraId="18B4874D" w14:textId="77777777" w:rsidR="00D75D4A" w:rsidRPr="00800D22" w:rsidRDefault="00D75D4A" w:rsidP="00D75D4A">
      <w:pPr>
        <w:widowControl/>
        <w:spacing w:line="440" w:lineRule="exact"/>
        <w:ind w:firstLine="480"/>
        <w:rPr>
          <w:kern w:val="0"/>
          <w:sz w:val="24"/>
        </w:rPr>
      </w:pPr>
      <w:r w:rsidRPr="00800D22">
        <w:rPr>
          <w:sz w:val="24"/>
        </w:rPr>
        <w:t>日本债券信托主要运用于公司债券增信。日本信托业虽然是从欧美国家引入的一种制度，但迄今为止，日本已经是世界上信托业最发达的国家之一，</w:t>
      </w:r>
      <w:r w:rsidRPr="00800D22">
        <w:rPr>
          <w:rFonts w:hint="eastAsia"/>
          <w:sz w:val="24"/>
        </w:rPr>
        <w:t>从而</w:t>
      </w:r>
      <w:r w:rsidRPr="00800D22">
        <w:rPr>
          <w:sz w:val="24"/>
        </w:rPr>
        <w:t>为债券信托的发展提供了良好的发展环境。为了促进公司债券的发展，日本于</w:t>
      </w:r>
      <w:r w:rsidRPr="00800D22">
        <w:rPr>
          <w:sz w:val="24"/>
        </w:rPr>
        <w:t>1990</w:t>
      </w:r>
      <w:r w:rsidRPr="00800D22">
        <w:rPr>
          <w:sz w:val="24"/>
        </w:rPr>
        <w:t>年</w:t>
      </w:r>
      <w:r w:rsidRPr="00800D22">
        <w:rPr>
          <w:kern w:val="0"/>
          <w:sz w:val="24"/>
        </w:rPr>
        <w:t>借鉴了美国</w:t>
      </w:r>
      <w:r w:rsidRPr="00800D22">
        <w:rPr>
          <w:kern w:val="0"/>
          <w:sz w:val="24"/>
        </w:rPr>
        <w:t>1939</w:t>
      </w:r>
      <w:r w:rsidRPr="00800D22">
        <w:rPr>
          <w:kern w:val="0"/>
          <w:sz w:val="24"/>
        </w:rPr>
        <w:t>年《信托契约法》为附担保公司债券的发行专门制定了《附担保公司债券信托法》</w:t>
      </w:r>
      <w:r w:rsidRPr="00800D22">
        <w:rPr>
          <w:rFonts w:hint="eastAsia"/>
          <w:kern w:val="0"/>
          <w:sz w:val="24"/>
        </w:rPr>
        <w:t>。</w:t>
      </w:r>
      <w:r w:rsidRPr="00800D22">
        <w:rPr>
          <w:kern w:val="0"/>
          <w:sz w:val="24"/>
        </w:rPr>
        <w:t>从此债券信托不断发展，目前已成为了公司债券增信的重要方式之一。随后日本还成立了专门从事债券信托业务的机构，如株式会社日本债券信托银行，进一步促进了债券信托的发展。</w:t>
      </w:r>
    </w:p>
    <w:p w14:paraId="60B7631F" w14:textId="77777777" w:rsidR="00D75D4A" w:rsidRPr="00800D22" w:rsidRDefault="00D75D4A" w:rsidP="00D75D4A">
      <w:pPr>
        <w:widowControl/>
        <w:spacing w:line="440" w:lineRule="exact"/>
        <w:ind w:firstLineChars="200" w:firstLine="480"/>
        <w:rPr>
          <w:sz w:val="24"/>
        </w:rPr>
      </w:pPr>
      <w:r w:rsidRPr="00800D22">
        <w:rPr>
          <w:kern w:val="0"/>
          <w:sz w:val="24"/>
        </w:rPr>
        <w:lastRenderedPageBreak/>
        <w:t>通过债券信托，日本发债公司可顺利地发行附担保公司债券，从而达到筹资的目的，同时</w:t>
      </w:r>
      <w:r w:rsidRPr="00800D22">
        <w:rPr>
          <w:rFonts w:hint="eastAsia"/>
          <w:kern w:val="0"/>
          <w:sz w:val="24"/>
        </w:rPr>
        <w:t>有利于</w:t>
      </w:r>
      <w:r w:rsidRPr="00800D22">
        <w:rPr>
          <w:kern w:val="0"/>
          <w:sz w:val="24"/>
        </w:rPr>
        <w:t>投资者规避部分或全部的偿付风险。与资产证券化相比，由于构成资产证券化的资产池要求是有稳定现金流的资产，而债券信托则无此限制，因此债券信托比资产证券化的应用范围要广，适合更多的行业和企业。债券信托的这些优点使得其在日本市场上受到了各参与主体的</w:t>
      </w:r>
      <w:r w:rsidRPr="00800D22">
        <w:rPr>
          <w:rFonts w:hint="eastAsia"/>
          <w:kern w:val="0"/>
          <w:sz w:val="24"/>
        </w:rPr>
        <w:t>青睐</w:t>
      </w:r>
      <w:r w:rsidRPr="00800D22">
        <w:rPr>
          <w:kern w:val="0"/>
          <w:sz w:val="24"/>
        </w:rPr>
        <w:t>。</w:t>
      </w:r>
    </w:p>
    <w:p w14:paraId="76628768" w14:textId="44CCAF1C" w:rsidR="00D75D4A" w:rsidRPr="00800D22" w:rsidRDefault="00D75D4A" w:rsidP="00D75D4A">
      <w:pPr>
        <w:spacing w:line="440" w:lineRule="exact"/>
        <w:ind w:firstLineChars="200" w:firstLine="480"/>
        <w:outlineLvl w:val="3"/>
        <w:rPr>
          <w:rFonts w:ascii="黑体" w:eastAsia="黑体" w:hAnsi="宋体"/>
          <w:sz w:val="24"/>
        </w:rPr>
      </w:pPr>
      <w:r>
        <w:rPr>
          <w:rFonts w:ascii="黑体" w:eastAsia="黑体" w:hAnsi="宋体" w:hint="eastAsia"/>
          <w:sz w:val="24"/>
        </w:rPr>
        <w:t>3.</w:t>
      </w:r>
      <w:r w:rsidRPr="00800D22">
        <w:rPr>
          <w:rFonts w:ascii="黑体" w:eastAsia="黑体" w:hAnsi="宋体"/>
          <w:sz w:val="24"/>
        </w:rPr>
        <w:t>偿债基金</w:t>
      </w:r>
    </w:p>
    <w:p w14:paraId="3CF1973E" w14:textId="77777777" w:rsidR="00D75D4A" w:rsidRPr="00800D22" w:rsidRDefault="00D75D4A" w:rsidP="00D75D4A">
      <w:pPr>
        <w:widowControl/>
        <w:spacing w:line="440" w:lineRule="exact"/>
        <w:ind w:firstLineChars="200" w:firstLine="480"/>
        <w:rPr>
          <w:sz w:val="24"/>
        </w:rPr>
      </w:pPr>
      <w:r w:rsidRPr="00800D22">
        <w:rPr>
          <w:sz w:val="24"/>
        </w:rPr>
        <w:t>日本偿债基金制度是专门针对地方公债而设立的一</w:t>
      </w:r>
      <w:r w:rsidRPr="00800D22">
        <w:rPr>
          <w:rFonts w:hint="eastAsia"/>
          <w:sz w:val="24"/>
        </w:rPr>
        <w:t>种</w:t>
      </w:r>
      <w:r w:rsidRPr="00800D22">
        <w:rPr>
          <w:sz w:val="24"/>
        </w:rPr>
        <w:t>增信制度。日本的政治体制与美国有所不同，属于中央集权程度较高的国家，</w:t>
      </w:r>
      <w:r w:rsidRPr="00800D22">
        <w:rPr>
          <w:rFonts w:hint="eastAsia"/>
          <w:sz w:val="24"/>
        </w:rPr>
        <w:t>从而</w:t>
      </w:r>
      <w:r w:rsidRPr="00800D22">
        <w:rPr>
          <w:sz w:val="24"/>
        </w:rPr>
        <w:t>形成了自身较为独特的市政债券增信体系。日本的市政债券统称为地方公债，可以划分为普通债和公用企业债券两大类。普通债由日本政府直接发行；公用企业债券由一些特殊的国营法人发行，例如公社</w:t>
      </w:r>
      <w:r w:rsidRPr="00800D22">
        <w:rPr>
          <w:sz w:val="24"/>
        </w:rPr>
        <w:t>(</w:t>
      </w:r>
      <w:r w:rsidRPr="00800D22">
        <w:rPr>
          <w:sz w:val="24"/>
        </w:rPr>
        <w:t>如</w:t>
      </w:r>
      <w:r w:rsidRPr="00800D22">
        <w:rPr>
          <w:rFonts w:hint="eastAsia"/>
          <w:sz w:val="24"/>
        </w:rPr>
        <w:t>“</w:t>
      </w:r>
      <w:r w:rsidRPr="00800D22">
        <w:rPr>
          <w:sz w:val="24"/>
        </w:rPr>
        <w:t>专卖公社</w:t>
      </w:r>
      <w:r w:rsidRPr="00800D22">
        <w:rPr>
          <w:rFonts w:hint="eastAsia"/>
          <w:sz w:val="24"/>
        </w:rPr>
        <w:t>”和“</w:t>
      </w:r>
      <w:r w:rsidRPr="00800D22">
        <w:rPr>
          <w:sz w:val="24"/>
        </w:rPr>
        <w:t>电信电话公社</w:t>
      </w:r>
      <w:r w:rsidRPr="00800D22">
        <w:rPr>
          <w:rFonts w:hint="eastAsia"/>
          <w:sz w:val="24"/>
        </w:rPr>
        <w:t>”</w:t>
      </w:r>
      <w:r w:rsidRPr="00800D22">
        <w:rPr>
          <w:sz w:val="24"/>
        </w:rPr>
        <w:t>)</w:t>
      </w:r>
      <w:r w:rsidRPr="00800D22">
        <w:rPr>
          <w:sz w:val="24"/>
        </w:rPr>
        <w:t>、公库</w:t>
      </w:r>
      <w:r w:rsidRPr="00800D22">
        <w:rPr>
          <w:sz w:val="24"/>
        </w:rPr>
        <w:t>(</w:t>
      </w:r>
      <w:r w:rsidRPr="00800D22">
        <w:rPr>
          <w:sz w:val="24"/>
        </w:rPr>
        <w:t>如住宅金融公库</w:t>
      </w:r>
      <w:r w:rsidRPr="00800D22">
        <w:rPr>
          <w:sz w:val="24"/>
        </w:rPr>
        <w:t>)</w:t>
      </w:r>
      <w:r w:rsidRPr="00800D22">
        <w:rPr>
          <w:rFonts w:hint="eastAsia"/>
          <w:sz w:val="24"/>
        </w:rPr>
        <w:t>和</w:t>
      </w:r>
      <w:r w:rsidRPr="00800D22">
        <w:rPr>
          <w:sz w:val="24"/>
        </w:rPr>
        <w:t>公团</w:t>
      </w:r>
      <w:r w:rsidRPr="00800D22">
        <w:rPr>
          <w:sz w:val="24"/>
        </w:rPr>
        <w:t>(</w:t>
      </w:r>
      <w:r w:rsidRPr="00800D22">
        <w:rPr>
          <w:sz w:val="24"/>
        </w:rPr>
        <w:t>如住宅公团</w:t>
      </w:r>
      <w:r w:rsidRPr="00800D22">
        <w:rPr>
          <w:sz w:val="24"/>
        </w:rPr>
        <w:t>)</w:t>
      </w:r>
      <w:r w:rsidRPr="00800D22">
        <w:rPr>
          <w:sz w:val="24"/>
        </w:rPr>
        <w:t>等公营企业</w:t>
      </w:r>
      <w:r w:rsidRPr="00800D22">
        <w:rPr>
          <w:rFonts w:hint="eastAsia"/>
          <w:sz w:val="24"/>
        </w:rPr>
        <w:t>。</w:t>
      </w:r>
      <w:r w:rsidRPr="00800D22">
        <w:rPr>
          <w:sz w:val="24"/>
        </w:rPr>
        <w:t>公用企业债券一般由政府担保支付本息，故又称政府保证债券。</w:t>
      </w:r>
    </w:p>
    <w:p w14:paraId="1B44061C" w14:textId="77777777" w:rsidR="00D75D4A" w:rsidRPr="00800D22" w:rsidRDefault="00D75D4A" w:rsidP="00D75D4A">
      <w:pPr>
        <w:widowControl/>
        <w:spacing w:line="440" w:lineRule="exact"/>
        <w:ind w:firstLineChars="200" w:firstLine="480"/>
        <w:rPr>
          <w:sz w:val="24"/>
        </w:rPr>
      </w:pPr>
      <w:r w:rsidRPr="00800D22">
        <w:rPr>
          <w:sz w:val="24"/>
        </w:rPr>
        <w:t>为保障地方政府发行及担保的公债按时还本付息，便设立了偿债基金制度，其操作原理为：政府每年都必须从国库中拨出</w:t>
      </w:r>
      <w:proofErr w:type="gramStart"/>
      <w:r w:rsidRPr="00800D22">
        <w:rPr>
          <w:sz w:val="24"/>
        </w:rPr>
        <w:t>一</w:t>
      </w:r>
      <w:proofErr w:type="gramEnd"/>
      <w:r w:rsidRPr="00800D22">
        <w:rPr>
          <w:sz w:val="24"/>
        </w:rPr>
        <w:t>笔资金交由特定的机构管理，以专作公债偿付之用。有时政府也会在发行债券的时候以偿债基金作为担保，以此来提高公众对政府的信任。日本政府规定，偿债基金可以通过三种方式获得</w:t>
      </w:r>
      <w:r w:rsidRPr="00800D22">
        <w:rPr>
          <w:rFonts w:hint="eastAsia"/>
          <w:sz w:val="24"/>
        </w:rPr>
        <w:t>资金</w:t>
      </w:r>
      <w:r w:rsidRPr="00800D22">
        <w:rPr>
          <w:sz w:val="24"/>
        </w:rPr>
        <w:t>：</w:t>
      </w:r>
      <w:r w:rsidRPr="00800D22">
        <w:rPr>
          <w:rFonts w:ascii="宋体" w:hAnsi="宋体" w:cs="宋体" w:hint="eastAsia"/>
          <w:sz w:val="24"/>
        </w:rPr>
        <w:t>①</w:t>
      </w:r>
      <w:r w:rsidRPr="00800D22">
        <w:rPr>
          <w:sz w:val="24"/>
        </w:rPr>
        <w:t>固定比率转入，即提取上年初公债余额的</w:t>
      </w:r>
      <w:r w:rsidRPr="00800D22">
        <w:rPr>
          <w:sz w:val="24"/>
        </w:rPr>
        <w:t>1.6</w:t>
      </w:r>
      <w:r w:rsidRPr="00800D22">
        <w:rPr>
          <w:sz w:val="24"/>
        </w:rPr>
        <w:t>％的资金转入</w:t>
      </w:r>
      <w:r w:rsidRPr="00800D22">
        <w:rPr>
          <w:rFonts w:hint="eastAsia"/>
          <w:sz w:val="24"/>
        </w:rPr>
        <w:t>偿债</w:t>
      </w:r>
      <w:r w:rsidRPr="00800D22">
        <w:rPr>
          <w:sz w:val="24"/>
        </w:rPr>
        <w:t>基金；</w:t>
      </w:r>
      <w:r w:rsidRPr="00800D22">
        <w:rPr>
          <w:rFonts w:ascii="宋体" w:hAnsi="宋体" w:cs="宋体" w:hint="eastAsia"/>
          <w:sz w:val="24"/>
        </w:rPr>
        <w:t>②</w:t>
      </w:r>
      <w:r w:rsidRPr="00800D22">
        <w:rPr>
          <w:sz w:val="24"/>
        </w:rPr>
        <w:t>将一般财务决算结余的一部分资金转入</w:t>
      </w:r>
      <w:r w:rsidRPr="00800D22">
        <w:rPr>
          <w:rFonts w:hint="eastAsia"/>
          <w:sz w:val="24"/>
        </w:rPr>
        <w:t>偿债</w:t>
      </w:r>
      <w:r w:rsidRPr="00800D22">
        <w:rPr>
          <w:sz w:val="24"/>
        </w:rPr>
        <w:t>基金，比例高低可根据具体情况确定，过去多为</w:t>
      </w:r>
      <w:r w:rsidRPr="00800D22">
        <w:rPr>
          <w:sz w:val="24"/>
        </w:rPr>
        <w:t>50</w:t>
      </w:r>
      <w:r w:rsidRPr="00800D22">
        <w:rPr>
          <w:sz w:val="24"/>
        </w:rPr>
        <w:t>％；</w:t>
      </w:r>
      <w:r w:rsidRPr="00800D22">
        <w:rPr>
          <w:rFonts w:ascii="宋体" w:hAnsi="宋体" w:cs="宋体" w:hint="eastAsia"/>
          <w:sz w:val="24"/>
        </w:rPr>
        <w:t>③</w:t>
      </w:r>
      <w:r w:rsidRPr="00800D22">
        <w:rPr>
          <w:sz w:val="24"/>
        </w:rPr>
        <w:t>在年度预算中安排一定款项的资金转入</w:t>
      </w:r>
      <w:r w:rsidRPr="00800D22">
        <w:rPr>
          <w:rFonts w:hint="eastAsia"/>
          <w:sz w:val="24"/>
        </w:rPr>
        <w:t>偿债</w:t>
      </w:r>
      <w:r w:rsidRPr="00800D22">
        <w:rPr>
          <w:sz w:val="24"/>
        </w:rPr>
        <w:t>基金。偿债基金主要用于债券本金的偿还，而利息则以每年财政的经常预算支付。</w:t>
      </w:r>
    </w:p>
    <w:p w14:paraId="1BAB18D2" w14:textId="77777777" w:rsidR="00D75D4A" w:rsidRPr="00800D22" w:rsidRDefault="00D75D4A" w:rsidP="00D75D4A">
      <w:pPr>
        <w:widowControl/>
        <w:spacing w:line="440" w:lineRule="exact"/>
        <w:ind w:firstLineChars="196" w:firstLine="470"/>
        <w:rPr>
          <w:kern w:val="0"/>
          <w:sz w:val="24"/>
        </w:rPr>
      </w:pPr>
      <w:r w:rsidRPr="00800D22">
        <w:rPr>
          <w:sz w:val="24"/>
        </w:rPr>
        <w:t>通过统一运作和严格管理，日本建立了较为规范的公债偿还机制，风险得到了有效控制，有力</w:t>
      </w:r>
      <w:r w:rsidRPr="00800D22">
        <w:rPr>
          <w:rFonts w:hint="eastAsia"/>
          <w:sz w:val="24"/>
        </w:rPr>
        <w:t>地</w:t>
      </w:r>
      <w:r w:rsidRPr="00800D22">
        <w:rPr>
          <w:sz w:val="24"/>
        </w:rPr>
        <w:t>促进了地方公债的发展。</w:t>
      </w:r>
    </w:p>
    <w:p w14:paraId="0DE3F00E" w14:textId="746668FF" w:rsidR="00D75D4A" w:rsidRPr="00800D22" w:rsidRDefault="00D75D4A" w:rsidP="00D75D4A">
      <w:pPr>
        <w:spacing w:line="440" w:lineRule="exact"/>
        <w:ind w:firstLineChars="200" w:firstLine="480"/>
        <w:outlineLvl w:val="3"/>
        <w:rPr>
          <w:rFonts w:ascii="黑体" w:eastAsia="黑体" w:hAnsi="宋体"/>
          <w:bCs/>
          <w:sz w:val="24"/>
        </w:rPr>
      </w:pPr>
      <w:r>
        <w:rPr>
          <w:rFonts w:ascii="黑体" w:eastAsia="黑体" w:hAnsi="宋体" w:hint="eastAsia"/>
          <w:bCs/>
          <w:sz w:val="24"/>
        </w:rPr>
        <w:t>4.</w:t>
      </w:r>
      <w:r w:rsidRPr="00800D22">
        <w:rPr>
          <w:rFonts w:ascii="黑体" w:eastAsia="黑体" w:hAnsi="宋体"/>
          <w:bCs/>
          <w:sz w:val="24"/>
        </w:rPr>
        <w:t>优先/次级结构和抵押担保</w:t>
      </w:r>
    </w:p>
    <w:p w14:paraId="7C7D12AA" w14:textId="77777777" w:rsidR="00D75D4A" w:rsidRPr="00800D22" w:rsidRDefault="00D75D4A" w:rsidP="00D75D4A">
      <w:pPr>
        <w:widowControl/>
        <w:spacing w:line="440" w:lineRule="exact"/>
        <w:ind w:firstLineChars="200" w:firstLine="480"/>
        <w:rPr>
          <w:sz w:val="24"/>
        </w:rPr>
      </w:pPr>
      <w:r w:rsidRPr="00800D22">
        <w:rPr>
          <w:sz w:val="24"/>
        </w:rPr>
        <w:t>在日本，优先</w:t>
      </w:r>
      <w:r w:rsidRPr="00800D22">
        <w:rPr>
          <w:sz w:val="24"/>
        </w:rPr>
        <w:t>/</w:t>
      </w:r>
      <w:r w:rsidRPr="00800D22">
        <w:rPr>
          <w:sz w:val="24"/>
        </w:rPr>
        <w:t>次级结构与抵押担保的增信方式主要运用于资产证券化产品的增信，是资产证券化产品的两种主要增信方式。但由于日本资产证券化市场规模偏小，且发展缓慢，因此，这两种增信方式在日本并未得到良好的推广。</w:t>
      </w:r>
    </w:p>
    <w:p w14:paraId="6541EBD5" w14:textId="77777777" w:rsidR="00D75D4A" w:rsidRPr="00800D22" w:rsidRDefault="00D75D4A" w:rsidP="00D75D4A">
      <w:pPr>
        <w:widowControl/>
        <w:spacing w:line="440" w:lineRule="exact"/>
        <w:ind w:firstLineChars="200" w:firstLine="480"/>
        <w:rPr>
          <w:sz w:val="24"/>
        </w:rPr>
      </w:pPr>
      <w:r w:rsidRPr="00800D22">
        <w:rPr>
          <w:sz w:val="24"/>
        </w:rPr>
        <w:t>另外，公司债券除了采用债券信托和第三方担保的增信方式外，还有部分采用了抵押担保的增信方式，但相比于前两种方式，抵押担保所占市场份额较小。</w:t>
      </w:r>
    </w:p>
    <w:p w14:paraId="5F42EA0E" w14:textId="77777777" w:rsidR="00D75D4A" w:rsidRPr="00D75D4A" w:rsidRDefault="00D75D4A">
      <w:pPr>
        <w:rPr>
          <w:rFonts w:hint="eastAsia"/>
        </w:rPr>
      </w:pPr>
    </w:p>
    <w:sectPr w:rsidR="00D75D4A" w:rsidRPr="00D75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5759" w14:textId="77777777" w:rsidR="001C0748" w:rsidRDefault="001C0748" w:rsidP="00D75D4A">
      <w:pPr>
        <w:rPr>
          <w:rFonts w:hint="eastAsia"/>
        </w:rPr>
      </w:pPr>
      <w:r>
        <w:separator/>
      </w:r>
    </w:p>
  </w:endnote>
  <w:endnote w:type="continuationSeparator" w:id="0">
    <w:p w14:paraId="79BA2DC5" w14:textId="77777777" w:rsidR="001C0748" w:rsidRDefault="001C0748" w:rsidP="00D75D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93A9" w14:textId="77777777" w:rsidR="001C0748" w:rsidRDefault="001C0748" w:rsidP="00D75D4A">
      <w:pPr>
        <w:rPr>
          <w:rFonts w:hint="eastAsia"/>
        </w:rPr>
      </w:pPr>
      <w:r>
        <w:separator/>
      </w:r>
    </w:p>
  </w:footnote>
  <w:footnote w:type="continuationSeparator" w:id="0">
    <w:p w14:paraId="067C4E3B" w14:textId="77777777" w:rsidR="001C0748" w:rsidRDefault="001C0748" w:rsidP="00D75D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78"/>
    <w:rsid w:val="001229D8"/>
    <w:rsid w:val="001B4656"/>
    <w:rsid w:val="001C0748"/>
    <w:rsid w:val="0025005C"/>
    <w:rsid w:val="0026744F"/>
    <w:rsid w:val="00341F2B"/>
    <w:rsid w:val="0072271E"/>
    <w:rsid w:val="008D0AC4"/>
    <w:rsid w:val="008F0B78"/>
    <w:rsid w:val="00D75D4A"/>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hsdate"/>
  <w:shapeDefaults>
    <o:shapedefaults v:ext="edit" spidmax="2050"/>
    <o:shapelayout v:ext="edit">
      <o:idmap v:ext="edit" data="2"/>
    </o:shapelayout>
  </w:shapeDefaults>
  <w:decimalSymbol w:val="."/>
  <w:listSeparator w:val=","/>
  <w14:docId w14:val="464D87F1"/>
  <w15:chartTrackingRefBased/>
  <w15:docId w15:val="{877A1FFF-2446-4659-BDE0-66ABBD8C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D4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F0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F0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F0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B7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B7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B7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F0B7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B78"/>
    <w:rPr>
      <w:rFonts w:cstheme="majorBidi"/>
      <w:color w:val="2F5496" w:themeColor="accent1" w:themeShade="BF"/>
      <w:sz w:val="28"/>
      <w:szCs w:val="28"/>
    </w:rPr>
  </w:style>
  <w:style w:type="character" w:customStyle="1" w:styleId="50">
    <w:name w:val="标题 5 字符"/>
    <w:basedOn w:val="a0"/>
    <w:link w:val="5"/>
    <w:uiPriority w:val="9"/>
    <w:semiHidden/>
    <w:rsid w:val="008F0B78"/>
    <w:rPr>
      <w:rFonts w:cstheme="majorBidi"/>
      <w:color w:val="2F5496" w:themeColor="accent1" w:themeShade="BF"/>
      <w:sz w:val="24"/>
    </w:rPr>
  </w:style>
  <w:style w:type="character" w:customStyle="1" w:styleId="60">
    <w:name w:val="标题 6 字符"/>
    <w:basedOn w:val="a0"/>
    <w:link w:val="6"/>
    <w:uiPriority w:val="9"/>
    <w:semiHidden/>
    <w:rsid w:val="008F0B78"/>
    <w:rPr>
      <w:rFonts w:cstheme="majorBidi"/>
      <w:b/>
      <w:bCs/>
      <w:color w:val="2F5496" w:themeColor="accent1" w:themeShade="BF"/>
    </w:rPr>
  </w:style>
  <w:style w:type="character" w:customStyle="1" w:styleId="70">
    <w:name w:val="标题 7 字符"/>
    <w:basedOn w:val="a0"/>
    <w:link w:val="7"/>
    <w:uiPriority w:val="9"/>
    <w:semiHidden/>
    <w:rsid w:val="008F0B78"/>
    <w:rPr>
      <w:rFonts w:cstheme="majorBidi"/>
      <w:b/>
      <w:bCs/>
      <w:color w:val="595959" w:themeColor="text1" w:themeTint="A6"/>
    </w:rPr>
  </w:style>
  <w:style w:type="character" w:customStyle="1" w:styleId="80">
    <w:name w:val="标题 8 字符"/>
    <w:basedOn w:val="a0"/>
    <w:link w:val="8"/>
    <w:uiPriority w:val="9"/>
    <w:semiHidden/>
    <w:rsid w:val="008F0B78"/>
    <w:rPr>
      <w:rFonts w:cstheme="majorBidi"/>
      <w:color w:val="595959" w:themeColor="text1" w:themeTint="A6"/>
    </w:rPr>
  </w:style>
  <w:style w:type="character" w:customStyle="1" w:styleId="90">
    <w:name w:val="标题 9 字符"/>
    <w:basedOn w:val="a0"/>
    <w:link w:val="9"/>
    <w:uiPriority w:val="9"/>
    <w:semiHidden/>
    <w:rsid w:val="008F0B78"/>
    <w:rPr>
      <w:rFonts w:eastAsiaTheme="majorEastAsia" w:cstheme="majorBidi"/>
      <w:color w:val="595959" w:themeColor="text1" w:themeTint="A6"/>
    </w:rPr>
  </w:style>
  <w:style w:type="paragraph" w:styleId="a3">
    <w:name w:val="Title"/>
    <w:basedOn w:val="a"/>
    <w:next w:val="a"/>
    <w:link w:val="a4"/>
    <w:uiPriority w:val="10"/>
    <w:qFormat/>
    <w:rsid w:val="008F0B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B78"/>
    <w:pPr>
      <w:spacing w:before="160"/>
      <w:jc w:val="center"/>
    </w:pPr>
    <w:rPr>
      <w:i/>
      <w:iCs/>
      <w:color w:val="404040" w:themeColor="text1" w:themeTint="BF"/>
    </w:rPr>
  </w:style>
  <w:style w:type="character" w:customStyle="1" w:styleId="a8">
    <w:name w:val="引用 字符"/>
    <w:basedOn w:val="a0"/>
    <w:link w:val="a7"/>
    <w:uiPriority w:val="29"/>
    <w:rsid w:val="008F0B78"/>
    <w:rPr>
      <w:i/>
      <w:iCs/>
      <w:color w:val="404040" w:themeColor="text1" w:themeTint="BF"/>
    </w:rPr>
  </w:style>
  <w:style w:type="paragraph" w:styleId="a9">
    <w:name w:val="List Paragraph"/>
    <w:basedOn w:val="a"/>
    <w:uiPriority w:val="34"/>
    <w:qFormat/>
    <w:rsid w:val="008F0B78"/>
    <w:pPr>
      <w:ind w:left="720"/>
      <w:contextualSpacing/>
    </w:pPr>
  </w:style>
  <w:style w:type="character" w:styleId="aa">
    <w:name w:val="Intense Emphasis"/>
    <w:basedOn w:val="a0"/>
    <w:uiPriority w:val="21"/>
    <w:qFormat/>
    <w:rsid w:val="008F0B78"/>
    <w:rPr>
      <w:i/>
      <w:iCs/>
      <w:color w:val="2F5496" w:themeColor="accent1" w:themeShade="BF"/>
    </w:rPr>
  </w:style>
  <w:style w:type="paragraph" w:styleId="ab">
    <w:name w:val="Intense Quote"/>
    <w:basedOn w:val="a"/>
    <w:next w:val="a"/>
    <w:link w:val="ac"/>
    <w:uiPriority w:val="30"/>
    <w:qFormat/>
    <w:rsid w:val="008F0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B78"/>
    <w:rPr>
      <w:i/>
      <w:iCs/>
      <w:color w:val="2F5496" w:themeColor="accent1" w:themeShade="BF"/>
    </w:rPr>
  </w:style>
  <w:style w:type="character" w:styleId="ad">
    <w:name w:val="Intense Reference"/>
    <w:basedOn w:val="a0"/>
    <w:uiPriority w:val="32"/>
    <w:qFormat/>
    <w:rsid w:val="008F0B78"/>
    <w:rPr>
      <w:b/>
      <w:bCs/>
      <w:smallCaps/>
      <w:color w:val="2F5496" w:themeColor="accent1" w:themeShade="BF"/>
      <w:spacing w:val="5"/>
    </w:rPr>
  </w:style>
  <w:style w:type="paragraph" w:styleId="ae">
    <w:name w:val="header"/>
    <w:basedOn w:val="a"/>
    <w:link w:val="af"/>
    <w:uiPriority w:val="99"/>
    <w:unhideWhenUsed/>
    <w:rsid w:val="00D75D4A"/>
    <w:pPr>
      <w:tabs>
        <w:tab w:val="center" w:pos="4153"/>
        <w:tab w:val="right" w:pos="8306"/>
      </w:tabs>
      <w:snapToGrid w:val="0"/>
      <w:jc w:val="center"/>
    </w:pPr>
    <w:rPr>
      <w:sz w:val="18"/>
      <w:szCs w:val="18"/>
    </w:rPr>
  </w:style>
  <w:style w:type="character" w:customStyle="1" w:styleId="af">
    <w:name w:val="页眉 字符"/>
    <w:basedOn w:val="a0"/>
    <w:link w:val="ae"/>
    <w:uiPriority w:val="99"/>
    <w:rsid w:val="00D75D4A"/>
    <w:rPr>
      <w:sz w:val="18"/>
      <w:szCs w:val="18"/>
    </w:rPr>
  </w:style>
  <w:style w:type="paragraph" w:styleId="af0">
    <w:name w:val="footer"/>
    <w:basedOn w:val="a"/>
    <w:link w:val="af1"/>
    <w:uiPriority w:val="99"/>
    <w:unhideWhenUsed/>
    <w:rsid w:val="00D75D4A"/>
    <w:pPr>
      <w:tabs>
        <w:tab w:val="center" w:pos="4153"/>
        <w:tab w:val="right" w:pos="8306"/>
      </w:tabs>
      <w:snapToGrid w:val="0"/>
    </w:pPr>
    <w:rPr>
      <w:sz w:val="18"/>
      <w:szCs w:val="18"/>
    </w:rPr>
  </w:style>
  <w:style w:type="character" w:customStyle="1" w:styleId="af1">
    <w:name w:val="页脚 字符"/>
    <w:basedOn w:val="a0"/>
    <w:link w:val="af0"/>
    <w:uiPriority w:val="99"/>
    <w:rsid w:val="00D75D4A"/>
    <w:rPr>
      <w:sz w:val="18"/>
      <w:szCs w:val="18"/>
    </w:rPr>
  </w:style>
  <w:style w:type="character" w:customStyle="1" w:styleId="3Char">
    <w:name w:val="标题 3 Char"/>
    <w:rsid w:val="00D75D4A"/>
    <w:rPr>
      <w:rFonts w:eastAsia="宋体"/>
      <w:b/>
      <w:bCs/>
      <w:kern w:val="2"/>
      <w:sz w:val="32"/>
      <w:szCs w:val="32"/>
      <w:lang w:val="en-US" w:eastAsia="zh-CN" w:bidi="ar-SA"/>
    </w:rPr>
  </w:style>
  <w:style w:type="character" w:styleId="af2">
    <w:name w:val="Strong"/>
    <w:qFormat/>
    <w:rsid w:val="00D75D4A"/>
    <w:rPr>
      <w:b/>
      <w:bCs/>
    </w:rPr>
  </w:style>
  <w:style w:type="character" w:styleId="af3">
    <w:name w:val="Emphasis"/>
    <w:qFormat/>
    <w:rsid w:val="00D75D4A"/>
    <w:rPr>
      <w:b w:val="0"/>
      <w:bCs w:val="0"/>
      <w:i w:val="0"/>
      <w:iCs w:val="0"/>
      <w:color w:val="CC0033"/>
    </w:rPr>
  </w:style>
  <w:style w:type="paragraph" w:styleId="af4">
    <w:name w:val="caption"/>
    <w:basedOn w:val="a"/>
    <w:next w:val="a"/>
    <w:qFormat/>
    <w:rsid w:val="00D75D4A"/>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kantsuu.com/news1/list_139.shtml" TargetMode="Externa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2025-10-21T09:01:00Z</dcterms:created>
  <dcterms:modified xsi:type="dcterms:W3CDTF">2025-10-21T09:03:00Z</dcterms:modified>
</cp:coreProperties>
</file>