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30E324">
      <w:pPr>
        <w:spacing w:before="156" w:beforeLines="50" w:after="156" w:afterLines="50" w:line="432" w:lineRule="exact"/>
        <w:jc w:val="center"/>
        <w:outlineLvl w:val="1"/>
        <w:rPr>
          <w:rFonts w:hint="eastAsia" w:ascii="黑体" w:eastAsia="黑体"/>
          <w:bCs/>
          <w:sz w:val="32"/>
          <w:szCs w:val="32"/>
          <w:lang w:val="en-US" w:eastAsia="zh-CN"/>
        </w:rPr>
      </w:pPr>
      <w:bookmarkStart w:id="0" w:name="_Toc256506358"/>
      <w:r>
        <w:rPr>
          <w:rFonts w:hint="eastAsia" w:ascii="黑体" w:eastAsia="黑体"/>
          <w:bCs/>
          <w:sz w:val="32"/>
          <w:szCs w:val="32"/>
        </w:rPr>
        <w:t>全覆盖债券增信</w:t>
      </w:r>
      <w:bookmarkEnd w:id="0"/>
      <w:r>
        <w:rPr>
          <w:rFonts w:hint="eastAsia" w:ascii="黑体" w:eastAsia="黑体"/>
          <w:bCs/>
          <w:sz w:val="32"/>
          <w:szCs w:val="32"/>
          <w:lang w:val="en-US" w:eastAsia="zh-CN"/>
        </w:rPr>
        <w:t>研究</w:t>
      </w:r>
      <w:bookmarkStart w:id="27" w:name="_GoBack"/>
      <w:bookmarkEnd w:id="27"/>
    </w:p>
    <w:p w14:paraId="78A1E6B1">
      <w:pPr>
        <w:autoSpaceDE w:val="0"/>
        <w:autoSpaceDN w:val="0"/>
        <w:adjustRightInd w:val="0"/>
        <w:spacing w:line="432" w:lineRule="exact"/>
        <w:ind w:firstLine="480" w:firstLineChars="200"/>
        <w:rPr>
          <w:sz w:val="24"/>
        </w:rPr>
      </w:pPr>
    </w:p>
    <w:p w14:paraId="4F38ADEA">
      <w:pPr>
        <w:autoSpaceDE w:val="0"/>
        <w:autoSpaceDN w:val="0"/>
        <w:adjustRightInd w:val="0"/>
        <w:spacing w:line="432" w:lineRule="exact"/>
        <w:ind w:firstLine="480" w:firstLineChars="200"/>
        <w:rPr>
          <w:sz w:val="24"/>
        </w:rPr>
      </w:pPr>
    </w:p>
    <w:p w14:paraId="79868E94">
      <w:pPr>
        <w:autoSpaceDE w:val="0"/>
        <w:autoSpaceDN w:val="0"/>
        <w:adjustRightInd w:val="0"/>
        <w:spacing w:line="432" w:lineRule="exact"/>
        <w:ind w:firstLine="480" w:firstLineChars="200"/>
        <w:rPr>
          <w:sz w:val="24"/>
        </w:rPr>
      </w:pPr>
      <w:r>
        <w:rPr>
          <w:sz w:val="24"/>
        </w:rPr>
        <w:t>全覆盖债券的实质是资产抵押债券，但和一般债券的资产抵押增信方式有较大的区别，全覆盖债券的增信是通过法律框架和产品结构的设计将增信方式嵌入到全覆盖债券产品本身之中，投资者的权益受到双重保护（除对抵押资产池有优先求偿权外，还拥有对发行银行的追索权），因此，绝大多数的全覆盖债券信用</w:t>
      </w:r>
      <w:r>
        <w:rPr>
          <w:rFonts w:hint="eastAsia"/>
          <w:sz w:val="24"/>
        </w:rPr>
        <w:t>等级</w:t>
      </w:r>
      <w:r>
        <w:rPr>
          <w:sz w:val="24"/>
        </w:rPr>
        <w:t>为AAA。</w:t>
      </w:r>
    </w:p>
    <w:p w14:paraId="3A18ADF1">
      <w:pPr>
        <w:spacing w:line="432" w:lineRule="exact"/>
        <w:ind w:firstLine="602" w:firstLineChars="200"/>
        <w:rPr>
          <w:rFonts w:hint="eastAsia" w:asciiTheme="majorEastAsia" w:hAnsiTheme="majorEastAsia" w:eastAsiaTheme="majorEastAsia"/>
          <w:sz w:val="30"/>
          <w:szCs w:val="30"/>
        </w:rPr>
      </w:pPr>
      <w:r>
        <w:rPr>
          <w:rFonts w:hint="eastAsia" w:asciiTheme="majorEastAsia" w:hAnsiTheme="majorEastAsia" w:eastAsiaTheme="majorEastAsia"/>
          <w:b/>
          <w:sz w:val="30"/>
          <w:szCs w:val="30"/>
        </w:rPr>
        <w:t>一、</w:t>
      </w:r>
      <w:r>
        <w:rPr>
          <w:rFonts w:asciiTheme="majorEastAsia" w:hAnsiTheme="majorEastAsia" w:eastAsiaTheme="majorEastAsia"/>
          <w:b/>
          <w:sz w:val="30"/>
          <w:szCs w:val="30"/>
        </w:rPr>
        <w:t>法律框架</w:t>
      </w:r>
      <w:r>
        <w:rPr>
          <w:rStyle w:val="17"/>
          <w:rFonts w:asciiTheme="majorEastAsia" w:hAnsiTheme="majorEastAsia" w:eastAsiaTheme="majorEastAsia"/>
          <w:b/>
          <w:sz w:val="30"/>
          <w:szCs w:val="30"/>
        </w:rPr>
        <w:footnoteReference w:id="0"/>
      </w:r>
    </w:p>
    <w:p w14:paraId="5FD5B8DC">
      <w:pPr>
        <w:spacing w:line="432" w:lineRule="exact"/>
        <w:ind w:firstLine="470" w:firstLineChars="196"/>
        <w:rPr>
          <w:sz w:val="24"/>
        </w:rPr>
      </w:pPr>
      <w:r>
        <w:rPr>
          <w:sz w:val="24"/>
        </w:rPr>
        <w:t>全覆盖债券的法律框架从法律上对投资者的权益进行了有效的保障</w:t>
      </w:r>
      <w:r>
        <w:rPr>
          <w:rFonts w:hint="eastAsia"/>
          <w:sz w:val="24"/>
        </w:rPr>
        <w:t>。</w:t>
      </w:r>
      <w:r>
        <w:rPr>
          <w:sz w:val="24"/>
        </w:rPr>
        <w:t>欧洲全覆盖债券的法律基础主要有《可转让证券集合投资法令》（Undertakings for Collective Investments in Transferable Securities</w:t>
      </w:r>
      <w:r>
        <w:rPr>
          <w:rFonts w:hint="eastAsia"/>
          <w:sz w:val="24"/>
        </w:rPr>
        <w:t>，简称“</w:t>
      </w:r>
      <w:r>
        <w:rPr>
          <w:sz w:val="24"/>
        </w:rPr>
        <w:t>UCITS</w:t>
      </w:r>
      <w:r>
        <w:rPr>
          <w:rFonts w:hint="eastAsia"/>
          <w:sz w:val="24"/>
        </w:rPr>
        <w:t>”</w:t>
      </w:r>
      <w:r>
        <w:rPr>
          <w:sz w:val="24"/>
        </w:rPr>
        <w:t>）与《资本要求法令 》（CRD）。全覆盖债券的特点在《可转换证券集合投资事业法令》（1998）中有明确的规定。该法令的第22（4）条定义了全覆盖债券的最低要求，为欧洲各国金融市场在特别对待全覆盖债券的监管的问题上提供了一个基础。简单地说，该条款要求：全覆盖债券的发行人必须为信用机构；全覆盖债券的发行必须有专门的法律框架管理；发行机构须接受专门的和谨慎的公共监督；担保资产的合格性由法律规定；在整个债券存续期内，担保资产池必须提供足额的抵押以覆盖债券持有人的权益；在发行人违约时，必须满足债券持有人对资产池的资产优先求偿权。符合上述要求的全覆盖债券可被视为特别安全的投资产品。</w:t>
      </w:r>
      <w:bookmarkStart w:id="1" w:name="_Toc196843530"/>
      <w:bookmarkStart w:id="2" w:name="_Toc217581277"/>
      <w:bookmarkStart w:id="3" w:name="_Toc217963435"/>
    </w:p>
    <w:p w14:paraId="2521C69C">
      <w:pPr>
        <w:spacing w:line="432" w:lineRule="exact"/>
        <w:ind w:firstLine="470" w:firstLineChars="196"/>
        <w:rPr>
          <w:sz w:val="24"/>
        </w:rPr>
      </w:pPr>
      <w:r>
        <w:rPr>
          <w:sz w:val="24"/>
        </w:rPr>
        <w:t>CRD</w:t>
      </w:r>
      <w:bookmarkEnd w:id="1"/>
      <w:r>
        <w:rPr>
          <w:sz w:val="24"/>
        </w:rPr>
        <w:t>（</w:t>
      </w:r>
      <w:r>
        <w:rPr>
          <w:rFonts w:hint="eastAsia"/>
          <w:sz w:val="24"/>
        </w:rPr>
        <w:t>《</w:t>
      </w:r>
      <w:r>
        <w:rPr>
          <w:sz w:val="24"/>
        </w:rPr>
        <w:t>欧盟金融业资本要求指令</w:t>
      </w:r>
      <w:r>
        <w:rPr>
          <w:rFonts w:hint="eastAsia"/>
          <w:sz w:val="24"/>
        </w:rPr>
        <w:t>》</w:t>
      </w:r>
      <w:r>
        <w:rPr>
          <w:sz w:val="24"/>
        </w:rPr>
        <w:t>）</w:t>
      </w:r>
      <w:bookmarkEnd w:id="2"/>
      <w:bookmarkEnd w:id="3"/>
      <w:r>
        <w:rPr>
          <w:sz w:val="24"/>
        </w:rPr>
        <w:t>是在欧盟框架下执行巴塞尔协议对银行的监管要求。CRD</w:t>
      </w:r>
      <w:r>
        <w:rPr>
          <w:rFonts w:hint="eastAsia"/>
          <w:sz w:val="24"/>
        </w:rPr>
        <w:t>规定</w:t>
      </w:r>
      <w:r>
        <w:rPr>
          <w:sz w:val="24"/>
        </w:rPr>
        <w:t xml:space="preserve">，仅当全覆盖债券满足以下要求时，它们才能获益于特许的信用风险权重： </w:t>
      </w:r>
      <w:bookmarkStart w:id="4" w:name="_Toc196836765"/>
      <w:r>
        <w:rPr>
          <w:sz w:val="24"/>
        </w:rPr>
        <w:fldChar w:fldCharType="begin"/>
      </w:r>
      <w:r>
        <w:rPr>
          <w:sz w:val="24"/>
        </w:rPr>
        <w:instrText xml:space="preserve"> = 1 \* GB3 </w:instrText>
      </w:r>
      <w:r>
        <w:rPr>
          <w:sz w:val="24"/>
        </w:rPr>
        <w:fldChar w:fldCharType="separate"/>
      </w:r>
      <w:r>
        <w:rPr>
          <w:sz w:val="24"/>
        </w:rPr>
        <w:t>①</w:t>
      </w:r>
      <w:r>
        <w:rPr>
          <w:sz w:val="24"/>
        </w:rPr>
        <w:fldChar w:fldCharType="end"/>
      </w:r>
      <w:r>
        <w:rPr>
          <w:sz w:val="24"/>
        </w:rPr>
        <w:t>遵守Article 22(4) of Directive 85/611/EEC (UCITS)标准</w:t>
      </w:r>
      <w:bookmarkEnd w:id="4"/>
      <w:bookmarkStart w:id="5" w:name="_Toc196836766"/>
      <w:r>
        <w:rPr>
          <w:sz w:val="24"/>
        </w:rPr>
        <w:t>；</w:t>
      </w:r>
      <w:r>
        <w:rPr>
          <w:sz w:val="24"/>
        </w:rPr>
        <w:fldChar w:fldCharType="begin"/>
      </w:r>
      <w:r>
        <w:rPr>
          <w:sz w:val="24"/>
        </w:rPr>
        <w:instrText xml:space="preserve"> = 2 \* GB3 </w:instrText>
      </w:r>
      <w:r>
        <w:rPr>
          <w:sz w:val="24"/>
        </w:rPr>
        <w:fldChar w:fldCharType="separate"/>
      </w:r>
      <w:r>
        <w:rPr>
          <w:sz w:val="24"/>
        </w:rPr>
        <w:t>②</w:t>
      </w:r>
      <w:r>
        <w:rPr>
          <w:sz w:val="24"/>
        </w:rPr>
        <w:fldChar w:fldCharType="end"/>
      </w:r>
      <w:r>
        <w:rPr>
          <w:sz w:val="24"/>
        </w:rPr>
        <w:t>为全覆盖债券提供担保的资产池必须且仅由特别定义的类型和信用质量的资产组成</w:t>
      </w:r>
      <w:bookmarkEnd w:id="5"/>
      <w:r>
        <w:rPr>
          <w:sz w:val="24"/>
        </w:rPr>
        <w:t>。能作为全覆盖债券的合格抵押资产类型的综合清单如下：向公共部门实体的贷款；向机构的贷款；（商业和个人）抵押贷款；证券化公司发行的高级抵押支持证券；船舶抵押贷款；</w:t>
      </w:r>
      <w:bookmarkStart w:id="6" w:name="_Toc196836767"/>
      <w:r>
        <w:rPr>
          <w:sz w:val="24"/>
        </w:rPr>
        <w:fldChar w:fldCharType="begin"/>
      </w:r>
      <w:r>
        <w:rPr>
          <w:sz w:val="24"/>
        </w:rPr>
        <w:instrText xml:space="preserve"> = 3 \* GB3 </w:instrText>
      </w:r>
      <w:r>
        <w:rPr>
          <w:sz w:val="24"/>
        </w:rPr>
        <w:fldChar w:fldCharType="separate"/>
      </w:r>
      <w:r>
        <w:rPr>
          <w:sz w:val="24"/>
        </w:rPr>
        <w:t>③</w:t>
      </w:r>
      <w:r>
        <w:rPr>
          <w:sz w:val="24"/>
        </w:rPr>
        <w:fldChar w:fldCharType="end"/>
      </w:r>
      <w:r>
        <w:rPr>
          <w:sz w:val="24"/>
        </w:rPr>
        <w:t>对某些种类的全覆盖资产设定了新的数量限制</w:t>
      </w:r>
      <w:bookmarkEnd w:id="6"/>
      <w:r>
        <w:rPr>
          <w:sz w:val="24"/>
        </w:rPr>
        <w:t>；</w:t>
      </w:r>
      <w:bookmarkStart w:id="7" w:name="_Toc196836768"/>
      <w:r>
        <w:rPr>
          <w:sz w:val="24"/>
        </w:rPr>
        <w:fldChar w:fldCharType="begin"/>
      </w:r>
      <w:r>
        <w:rPr>
          <w:sz w:val="24"/>
        </w:rPr>
        <w:instrText xml:space="preserve"> = 4 \* GB3 </w:instrText>
      </w:r>
      <w:r>
        <w:rPr>
          <w:sz w:val="24"/>
        </w:rPr>
        <w:fldChar w:fldCharType="separate"/>
      </w:r>
      <w:r>
        <w:rPr>
          <w:sz w:val="24"/>
        </w:rPr>
        <w:t>④</w:t>
      </w:r>
      <w:r>
        <w:rPr>
          <w:sz w:val="24"/>
        </w:rPr>
        <w:fldChar w:fldCharType="end"/>
      </w:r>
      <w:r>
        <w:rPr>
          <w:sz w:val="24"/>
        </w:rPr>
        <w:t>由抵押贷款担保的全覆盖债券发行人必须满足抵押财产价值和监督的最低要求</w:t>
      </w:r>
      <w:bookmarkEnd w:id="7"/>
      <w:r>
        <w:rPr>
          <w:sz w:val="24"/>
        </w:rPr>
        <w:t>。</w:t>
      </w:r>
    </w:p>
    <w:p w14:paraId="1BCD1DB9">
      <w:pPr>
        <w:autoSpaceDE w:val="0"/>
        <w:autoSpaceDN w:val="0"/>
        <w:adjustRightInd w:val="0"/>
        <w:spacing w:line="432" w:lineRule="exact"/>
        <w:ind w:firstLine="480" w:firstLineChars="200"/>
        <w:rPr>
          <w:sz w:val="24"/>
        </w:rPr>
      </w:pPr>
      <w:r>
        <w:rPr>
          <w:sz w:val="24"/>
        </w:rPr>
        <w:t>绝大多数的国家有全覆盖债券的专门法律，包括丹麦、德国、法国、爱尔兰、意大利、拉脱维亚、卢森堡、荷兰、奥地利、波兰、葡萄牙、芬兰、瑞典、乌克兰、瑞士</w:t>
      </w:r>
      <w:r>
        <w:rPr>
          <w:rFonts w:hint="eastAsia"/>
          <w:sz w:val="24"/>
        </w:rPr>
        <w:t>和</w:t>
      </w:r>
      <w:r>
        <w:rPr>
          <w:sz w:val="24"/>
        </w:rPr>
        <w:t>罗马尼亚。而意大利CDP</w:t>
      </w:r>
      <w:r>
        <w:rPr>
          <w:rFonts w:hint="eastAsia"/>
          <w:sz w:val="24"/>
        </w:rPr>
        <w:t>（</w:t>
      </w:r>
      <w:r>
        <w:rPr>
          <w:sz w:val="24"/>
        </w:rPr>
        <w:t>Cassa Depositi</w:t>
      </w:r>
      <w:r>
        <w:rPr>
          <w:rFonts w:hint="eastAsia"/>
          <w:sz w:val="24"/>
        </w:rPr>
        <w:t xml:space="preserve"> </w:t>
      </w:r>
      <w:r>
        <w:rPr>
          <w:sz w:val="24"/>
        </w:rPr>
        <w:t>e Prestiti</w:t>
      </w:r>
      <w:r>
        <w:rPr>
          <w:rFonts w:hint="eastAsia"/>
          <w:sz w:val="24"/>
        </w:rPr>
        <w:t>）</w:t>
      </w:r>
      <w:r>
        <w:rPr>
          <w:sz w:val="24"/>
        </w:rPr>
        <w:t>（一个意大利政府绝对控股的联合股份公司）、荷兰、英国和法国BNPP（法国巴黎银行）应用合同安排。两种框架下都有关于全覆盖债券重要特征的规定，包括：合格资产、专门的资产估值规则、资产负债管理指引</w:t>
      </w:r>
      <w:r>
        <w:rPr>
          <w:rFonts w:hint="eastAsia"/>
          <w:sz w:val="24"/>
        </w:rPr>
        <w:t>和</w:t>
      </w:r>
      <w:r>
        <w:rPr>
          <w:sz w:val="24"/>
        </w:rPr>
        <w:t>透明度要求等。</w:t>
      </w:r>
    </w:p>
    <w:p w14:paraId="26FA0DE3">
      <w:pPr>
        <w:autoSpaceDE w:val="0"/>
        <w:autoSpaceDN w:val="0"/>
        <w:adjustRightInd w:val="0"/>
        <w:spacing w:line="432" w:lineRule="exact"/>
        <w:ind w:firstLine="480" w:firstLineChars="200"/>
        <w:rPr>
          <w:sz w:val="24"/>
        </w:rPr>
      </w:pPr>
      <w:r>
        <w:rPr>
          <w:sz w:val="24"/>
        </w:rPr>
        <w:t>全覆盖债券发行人的法定破产认定非常重要。认定可能由一般的</w:t>
      </w:r>
      <w:r>
        <w:rPr>
          <w:rFonts w:hint="eastAsia"/>
          <w:sz w:val="24"/>
        </w:rPr>
        <w:t>《</w:t>
      </w:r>
      <w:r>
        <w:rPr>
          <w:sz w:val="24"/>
        </w:rPr>
        <w:t>破产法</w:t>
      </w:r>
      <w:r>
        <w:rPr>
          <w:rFonts w:hint="eastAsia"/>
          <w:sz w:val="24"/>
        </w:rPr>
        <w:t>》</w:t>
      </w:r>
      <w:r>
        <w:rPr>
          <w:sz w:val="24"/>
        </w:rPr>
        <w:t>限定（如拉脱维亚、荷兰、瑞典和英国），也可能由特定的全覆盖债券法律进行限定（如丹麦、德国、法国、爱尔兰、意大利、卢森堡、匈牙利、奥地利、波兰、葡萄牙、芬兰、乌克兰、瑞士和罗马尼亚）。</w:t>
      </w:r>
    </w:p>
    <w:p w14:paraId="61F38279">
      <w:pPr>
        <w:spacing w:line="432" w:lineRule="exact"/>
        <w:ind w:firstLine="602" w:firstLineChars="200"/>
        <w:rPr>
          <w:rFonts w:hint="eastAsia" w:asciiTheme="majorEastAsia" w:hAnsiTheme="majorEastAsia" w:eastAsiaTheme="majorEastAsia"/>
          <w:sz w:val="30"/>
          <w:szCs w:val="30"/>
        </w:rPr>
      </w:pPr>
      <w:bookmarkStart w:id="8" w:name="_Toc217963439"/>
      <w:bookmarkStart w:id="9" w:name="_Toc196843536"/>
      <w:bookmarkStart w:id="10" w:name="_Toc217581281"/>
      <w:r>
        <w:rPr>
          <w:rFonts w:hint="eastAsia" w:asciiTheme="majorEastAsia" w:hAnsiTheme="majorEastAsia" w:eastAsiaTheme="majorEastAsia"/>
          <w:b/>
          <w:sz w:val="30"/>
          <w:szCs w:val="30"/>
        </w:rPr>
        <w:t>二、</w:t>
      </w:r>
      <w:r>
        <w:rPr>
          <w:rFonts w:asciiTheme="majorEastAsia" w:hAnsiTheme="majorEastAsia" w:eastAsiaTheme="majorEastAsia"/>
          <w:b/>
          <w:sz w:val="30"/>
          <w:szCs w:val="30"/>
        </w:rPr>
        <w:t>合格抵押资产</w:t>
      </w:r>
      <w:bookmarkEnd w:id="8"/>
      <w:bookmarkEnd w:id="9"/>
      <w:bookmarkEnd w:id="10"/>
      <w:r>
        <w:rPr>
          <w:rStyle w:val="17"/>
          <w:rFonts w:asciiTheme="majorEastAsia" w:hAnsiTheme="majorEastAsia" w:eastAsiaTheme="majorEastAsia"/>
          <w:b/>
          <w:sz w:val="30"/>
          <w:szCs w:val="30"/>
        </w:rPr>
        <w:footnoteReference w:id="1"/>
      </w:r>
    </w:p>
    <w:p w14:paraId="6F9DF53B">
      <w:pPr>
        <w:autoSpaceDE w:val="0"/>
        <w:autoSpaceDN w:val="0"/>
        <w:adjustRightInd w:val="0"/>
        <w:spacing w:line="432" w:lineRule="exact"/>
        <w:ind w:firstLine="480" w:firstLineChars="200"/>
        <w:rPr>
          <w:rFonts w:hint="eastAsia"/>
          <w:sz w:val="24"/>
        </w:rPr>
      </w:pPr>
      <w:r>
        <w:rPr>
          <w:sz w:val="24"/>
        </w:rPr>
        <w:t>合格资产由新的CRD中有关全覆盖债券的部分规定：公共部门实体贷款、抵押贷款、信用机构贷款、证券化机构发行的优先MBS和船舶贷款。某些国家对常规的覆盖资产（通常包括抵押贷款、公共部门贷款、船舶贷款和优先MBS）和其他资产进行了区分，其他资产常常受一定的数量限制。</w:t>
      </w:r>
      <w:bookmarkStart w:id="11" w:name="_Toc196843537"/>
      <w:bookmarkStart w:id="12" w:name="_Toc217581282"/>
      <w:bookmarkStart w:id="13" w:name="_Toc217963440"/>
    </w:p>
    <w:p w14:paraId="19D5BC51">
      <w:pPr>
        <w:autoSpaceDE w:val="0"/>
        <w:autoSpaceDN w:val="0"/>
        <w:adjustRightInd w:val="0"/>
        <w:spacing w:line="432" w:lineRule="exact"/>
        <w:ind w:firstLine="480" w:firstLineChars="200"/>
        <w:rPr>
          <w:sz w:val="24"/>
        </w:rPr>
      </w:pPr>
      <w:r>
        <w:rPr>
          <w:sz w:val="24"/>
        </w:rPr>
        <w:t>一般，发行银行对所有发行的全覆盖债券设定一个资产池，不存在某一特定的资产池或某一单笔贷款与某次发行之间的一一对应关系，发行的全覆盖债券由资产池中所有的资产整体担保。如果资产池中的资产不再满足法定条件或发行约定的条款，它就会被其他合格的资产替换，以保证整个资产池的质量。只要发行人仍有偿付能力，都将保持对资产池中资产的管理和控制。一旦资产池不能覆盖全覆盖债券余额，并且发行人不能通过替代、增加资产或回购全覆盖债券等方式保持对全覆盖债券余额的全覆盖，全覆盖债券将提前到期。总之，由高质量资产组成的动态资产池为全覆盖债券的高信用等级提供了保障。</w:t>
      </w:r>
    </w:p>
    <w:bookmarkEnd w:id="11"/>
    <w:p w14:paraId="568F07C1">
      <w:pPr>
        <w:autoSpaceDE w:val="0"/>
        <w:autoSpaceDN w:val="0"/>
        <w:adjustRightInd w:val="0"/>
        <w:spacing w:line="432" w:lineRule="exact"/>
        <w:ind w:firstLine="602" w:firstLineChars="200"/>
        <w:jc w:val="left"/>
        <w:rPr>
          <w:rFonts w:asciiTheme="majorEastAsia" w:hAnsiTheme="majorEastAsia" w:eastAsiaTheme="majorEastAsia"/>
          <w:b/>
          <w:sz w:val="30"/>
          <w:szCs w:val="30"/>
        </w:rPr>
      </w:pPr>
      <w:bookmarkStart w:id="14" w:name="_Toc196843538"/>
      <w:r>
        <w:rPr>
          <w:rFonts w:hint="eastAsia" w:asciiTheme="majorEastAsia" w:hAnsiTheme="majorEastAsia" w:eastAsiaTheme="majorEastAsia"/>
          <w:b/>
          <w:sz w:val="30"/>
          <w:szCs w:val="30"/>
        </w:rPr>
        <w:t>三、</w:t>
      </w:r>
      <w:r>
        <w:rPr>
          <w:rFonts w:asciiTheme="majorEastAsia" w:hAnsiTheme="majorEastAsia" w:eastAsiaTheme="majorEastAsia"/>
          <w:b/>
          <w:sz w:val="30"/>
          <w:szCs w:val="30"/>
        </w:rPr>
        <w:t>抵押资产池的评估及LTV标准</w:t>
      </w:r>
      <w:bookmarkEnd w:id="14"/>
      <w:r>
        <w:rPr>
          <w:rFonts w:asciiTheme="majorEastAsia" w:hAnsiTheme="majorEastAsia" w:eastAsiaTheme="majorEastAsia"/>
          <w:b/>
          <w:sz w:val="30"/>
          <w:szCs w:val="30"/>
        </w:rPr>
        <w:t>（贷款额与房价款比例）</w:t>
      </w:r>
      <w:bookmarkEnd w:id="12"/>
      <w:bookmarkEnd w:id="13"/>
    </w:p>
    <w:p w14:paraId="25B4449A">
      <w:pPr>
        <w:autoSpaceDE w:val="0"/>
        <w:autoSpaceDN w:val="0"/>
        <w:adjustRightInd w:val="0"/>
        <w:spacing w:line="432" w:lineRule="exact"/>
        <w:ind w:firstLine="480" w:firstLineChars="200"/>
        <w:jc w:val="left"/>
        <w:rPr>
          <w:sz w:val="24"/>
        </w:rPr>
      </w:pPr>
      <w:r>
        <w:rPr>
          <w:sz w:val="24"/>
        </w:rPr>
        <w:t>欧洲国家的全覆盖债券体系在这方面基本相同。大多数国家有关于财产估值的法定条款或公认准则，主要基于抵押贷款价值或基于谨慎原则的市场价值。对单一资产的LTV限制也很相似。如限定住房抵押贷款的比率为60%--80%。某些国家还有基于投资组合的LTV限制。</w:t>
      </w:r>
      <w:bookmarkStart w:id="15" w:name="_Toc196843539"/>
      <w:bookmarkStart w:id="16" w:name="_Toc217963441"/>
      <w:bookmarkStart w:id="17" w:name="_Toc217581283"/>
    </w:p>
    <w:bookmarkEnd w:id="15"/>
    <w:p w14:paraId="74F3A839">
      <w:pPr>
        <w:autoSpaceDE w:val="0"/>
        <w:autoSpaceDN w:val="0"/>
        <w:adjustRightInd w:val="0"/>
        <w:spacing w:line="432" w:lineRule="exact"/>
        <w:ind w:firstLine="602" w:firstLineChars="200"/>
        <w:jc w:val="left"/>
        <w:rPr>
          <w:rFonts w:asciiTheme="majorEastAsia" w:hAnsiTheme="majorEastAsia" w:eastAsiaTheme="majorEastAsia"/>
          <w:b/>
          <w:sz w:val="30"/>
          <w:szCs w:val="30"/>
        </w:rPr>
      </w:pPr>
      <w:bookmarkStart w:id="18" w:name="_Toc196843540"/>
      <w:r>
        <w:rPr>
          <w:rFonts w:hint="eastAsia" w:asciiTheme="majorEastAsia" w:hAnsiTheme="majorEastAsia" w:eastAsiaTheme="majorEastAsia"/>
          <w:b/>
          <w:sz w:val="30"/>
          <w:szCs w:val="30"/>
        </w:rPr>
        <w:t>四、</w:t>
      </w:r>
      <w:r>
        <w:rPr>
          <w:rFonts w:asciiTheme="majorEastAsia" w:hAnsiTheme="majorEastAsia" w:eastAsiaTheme="majorEastAsia"/>
          <w:b/>
          <w:sz w:val="30"/>
          <w:szCs w:val="30"/>
        </w:rPr>
        <w:t>资产负债管理指导</w:t>
      </w:r>
      <w:bookmarkEnd w:id="16"/>
      <w:bookmarkEnd w:id="17"/>
      <w:bookmarkEnd w:id="18"/>
    </w:p>
    <w:p w14:paraId="428983ED">
      <w:pPr>
        <w:autoSpaceDE w:val="0"/>
        <w:autoSpaceDN w:val="0"/>
        <w:adjustRightInd w:val="0"/>
        <w:spacing w:line="432" w:lineRule="exact"/>
        <w:ind w:firstLine="480" w:firstLineChars="200"/>
        <w:jc w:val="left"/>
        <w:rPr>
          <w:sz w:val="24"/>
        </w:rPr>
      </w:pPr>
      <w:r>
        <w:rPr>
          <w:sz w:val="24"/>
        </w:rPr>
        <w:t>大多数的全覆盖体系都有资产负债匹配指引，但在技术细节和确定的规则（如通过法律、监管者、发行者的公司章程、合同条款</w:t>
      </w:r>
      <w:r>
        <w:rPr>
          <w:rFonts w:hint="eastAsia"/>
          <w:sz w:val="24"/>
        </w:rPr>
        <w:t>和</w:t>
      </w:r>
      <w:r>
        <w:rPr>
          <w:sz w:val="24"/>
        </w:rPr>
        <w:t>经营方针等）方面有很大的不同。一个常用的规则是</w:t>
      </w:r>
      <w:r>
        <w:rPr>
          <w:rFonts w:hint="eastAsia"/>
          <w:sz w:val="24"/>
        </w:rPr>
        <w:t>“</w:t>
      </w:r>
      <w:r>
        <w:rPr>
          <w:sz w:val="24"/>
        </w:rPr>
        <w:t>覆盖原理</w:t>
      </w:r>
      <w:r>
        <w:rPr>
          <w:rFonts w:hint="eastAsia"/>
          <w:sz w:val="24"/>
        </w:rPr>
        <w:t>”</w:t>
      </w:r>
      <w:r>
        <w:rPr>
          <w:sz w:val="24"/>
        </w:rPr>
        <w:t>，要求全覆盖债券的存量必须一直由覆盖池中的资产予以担保，并且覆盖资产的价值至少等于债券的名义价值，且能够产生足够支付债券利息的现金流。某些全覆盖体系有隐含的甚至明确的资产负债净现值匹配的规则。</w:t>
      </w:r>
    </w:p>
    <w:p w14:paraId="48390FA5">
      <w:pPr>
        <w:autoSpaceDE w:val="0"/>
        <w:autoSpaceDN w:val="0"/>
        <w:adjustRightInd w:val="0"/>
        <w:spacing w:line="432" w:lineRule="exact"/>
        <w:ind w:firstLine="480" w:firstLineChars="200"/>
        <w:jc w:val="left"/>
        <w:rPr>
          <w:sz w:val="24"/>
        </w:rPr>
      </w:pPr>
      <w:r>
        <w:rPr>
          <w:sz w:val="24"/>
        </w:rPr>
        <w:t>强制的超额抵押是某些全覆盖债券体系重要的缓冲工具。衍生工具也已成为全覆盖债券的资产负债管理中日益重要的风险缓冲工具。在许多全覆盖债券体系中，出于缓冲风险考虑，明确允许衍生工具包括在资产池中。</w:t>
      </w:r>
      <w:bookmarkStart w:id="19" w:name="_Toc196843541"/>
      <w:bookmarkStart w:id="20" w:name="_Toc217963442"/>
      <w:bookmarkStart w:id="21" w:name="_Toc217581284"/>
    </w:p>
    <w:bookmarkEnd w:id="19"/>
    <w:p w14:paraId="2726108E">
      <w:pPr>
        <w:autoSpaceDE w:val="0"/>
        <w:autoSpaceDN w:val="0"/>
        <w:adjustRightInd w:val="0"/>
        <w:spacing w:line="432" w:lineRule="exact"/>
        <w:ind w:firstLine="602" w:firstLineChars="200"/>
        <w:jc w:val="left"/>
        <w:rPr>
          <w:b/>
          <w:sz w:val="30"/>
          <w:szCs w:val="30"/>
        </w:rPr>
      </w:pPr>
      <w:bookmarkStart w:id="22" w:name="_Toc196843542"/>
      <w:r>
        <w:rPr>
          <w:rFonts w:hint="eastAsia"/>
          <w:b/>
          <w:sz w:val="30"/>
          <w:szCs w:val="30"/>
        </w:rPr>
        <w:t>五、</w:t>
      </w:r>
      <w:r>
        <w:rPr>
          <w:b/>
          <w:sz w:val="30"/>
          <w:szCs w:val="30"/>
        </w:rPr>
        <w:t>抵押资产池监督及银行监管</w:t>
      </w:r>
      <w:bookmarkEnd w:id="20"/>
      <w:bookmarkEnd w:id="21"/>
      <w:bookmarkEnd w:id="22"/>
    </w:p>
    <w:p w14:paraId="7A55E37C">
      <w:pPr>
        <w:autoSpaceDE w:val="0"/>
        <w:autoSpaceDN w:val="0"/>
        <w:adjustRightInd w:val="0"/>
        <w:spacing w:line="432" w:lineRule="exact"/>
        <w:ind w:firstLine="480" w:firstLineChars="200"/>
        <w:jc w:val="left"/>
        <w:rPr>
          <w:b/>
          <w:kern w:val="0"/>
          <w:sz w:val="24"/>
        </w:rPr>
      </w:pPr>
      <w:r>
        <w:rPr>
          <w:kern w:val="0"/>
          <w:sz w:val="24"/>
        </w:rPr>
        <w:t>大多数国家的全覆盖债券体系确立了一个外部</w:t>
      </w:r>
      <w:r>
        <w:rPr>
          <w:rFonts w:hint="eastAsia"/>
          <w:kern w:val="0"/>
          <w:sz w:val="24"/>
        </w:rPr>
        <w:t>和</w:t>
      </w:r>
      <w:r>
        <w:rPr>
          <w:kern w:val="0"/>
          <w:sz w:val="24"/>
        </w:rPr>
        <w:t>独立的资产池监督人，监督人必须拥有相应的资质。而且，在大多数国家，国际银行业监管者为了执行《可转让证券集合投资法令》法令第22（4）条而履行对全覆盖债券的特殊监管</w:t>
      </w:r>
      <w:r>
        <w:rPr>
          <w:b/>
          <w:kern w:val="0"/>
          <w:sz w:val="24"/>
        </w:rPr>
        <w:t>。</w:t>
      </w:r>
      <w:bookmarkStart w:id="23" w:name="_Toc217963443"/>
      <w:bookmarkStart w:id="24" w:name="_Toc217581285"/>
      <w:bookmarkStart w:id="25" w:name="_Toc196843543"/>
    </w:p>
    <w:p w14:paraId="4C050C53">
      <w:pPr>
        <w:autoSpaceDE w:val="0"/>
        <w:autoSpaceDN w:val="0"/>
        <w:adjustRightInd w:val="0"/>
        <w:spacing w:line="432" w:lineRule="exact"/>
        <w:ind w:firstLine="590" w:firstLineChars="196"/>
        <w:jc w:val="left"/>
        <w:rPr>
          <w:b/>
          <w:sz w:val="30"/>
          <w:szCs w:val="30"/>
        </w:rPr>
      </w:pPr>
      <w:r>
        <w:rPr>
          <w:rFonts w:hint="eastAsia"/>
          <w:b/>
          <w:sz w:val="30"/>
          <w:szCs w:val="30"/>
        </w:rPr>
        <w:t>六、</w:t>
      </w:r>
      <w:r>
        <w:rPr>
          <w:b/>
          <w:sz w:val="30"/>
          <w:szCs w:val="30"/>
        </w:rPr>
        <w:t>资产隔离与破产隔离</w:t>
      </w:r>
      <w:bookmarkEnd w:id="23"/>
      <w:bookmarkEnd w:id="24"/>
      <w:bookmarkEnd w:id="25"/>
    </w:p>
    <w:p w14:paraId="78B6A4CA">
      <w:pPr>
        <w:autoSpaceDE w:val="0"/>
        <w:autoSpaceDN w:val="0"/>
        <w:adjustRightInd w:val="0"/>
        <w:spacing w:line="432" w:lineRule="exact"/>
        <w:ind w:firstLine="480" w:firstLineChars="200"/>
        <w:jc w:val="left"/>
        <w:rPr>
          <w:kern w:val="0"/>
          <w:sz w:val="24"/>
        </w:rPr>
      </w:pPr>
      <w:r>
        <w:rPr>
          <w:kern w:val="0"/>
          <w:sz w:val="24"/>
        </w:rPr>
        <w:t>发行人破产后，欧洲全覆盖债券体系使用不同技术保护全覆盖债券持有人债权。某些国家通过法律或合同将全覆盖债券和覆盖池从一般破产财产隔离出来（丹麦、德国、爱尔兰、意大利、卢森堡、荷兰、奥地利、葡萄牙、芬兰、瑞典、英国、乌克兰、瑞士和罗马尼亚）</w:t>
      </w:r>
      <w:r>
        <w:rPr>
          <w:rFonts w:hint="eastAsia"/>
          <w:kern w:val="0"/>
          <w:sz w:val="24"/>
        </w:rPr>
        <w:t>，</w:t>
      </w:r>
      <w:r>
        <w:rPr>
          <w:kern w:val="0"/>
          <w:sz w:val="24"/>
        </w:rPr>
        <w:t>其他国家则通过规定全覆盖债券持有人对一般破产财产的优先求偿权对其进行保护（法国和波兰）。</w:t>
      </w:r>
    </w:p>
    <w:p w14:paraId="11DCD505">
      <w:pPr>
        <w:autoSpaceDE w:val="0"/>
        <w:autoSpaceDN w:val="0"/>
        <w:adjustRightInd w:val="0"/>
        <w:spacing w:line="432" w:lineRule="exact"/>
        <w:ind w:firstLine="537" w:firstLineChars="224"/>
        <w:jc w:val="left"/>
        <w:rPr>
          <w:kern w:val="0"/>
          <w:sz w:val="24"/>
        </w:rPr>
      </w:pPr>
      <w:r>
        <w:rPr>
          <w:kern w:val="0"/>
          <w:sz w:val="24"/>
        </w:rPr>
        <w:t>一个共同的特征是，17个参与国的全覆盖债券不会因发行人破产而自动到期（罗马利亚除外）。某些全覆盖债券体系中，一旦覆盖池的支付违约，债券持有者对发行人的破产财产拥有追索权（这种追索权等同于无担保债权人，甚至优于无担保债权人）</w:t>
      </w:r>
    </w:p>
    <w:p w14:paraId="5FE4C933">
      <w:pPr>
        <w:autoSpaceDE w:val="0"/>
        <w:autoSpaceDN w:val="0"/>
        <w:adjustRightInd w:val="0"/>
        <w:spacing w:line="432" w:lineRule="exact"/>
        <w:ind w:firstLine="480" w:firstLineChars="200"/>
        <w:jc w:val="left"/>
        <w:rPr>
          <w:kern w:val="0"/>
          <w:sz w:val="24"/>
        </w:rPr>
      </w:pPr>
      <w:r>
        <w:rPr>
          <w:kern w:val="0"/>
          <w:sz w:val="24"/>
        </w:rPr>
        <w:t>从比较分析中可以得出全覆盖债券的一般特征，无论在</w:t>
      </w:r>
      <w:r>
        <w:rPr>
          <w:rFonts w:hint="eastAsia"/>
          <w:kern w:val="0"/>
          <w:sz w:val="24"/>
        </w:rPr>
        <w:t>“</w:t>
      </w:r>
      <w:r>
        <w:rPr>
          <w:kern w:val="0"/>
          <w:sz w:val="24"/>
        </w:rPr>
        <w:t>一般法</w:t>
      </w:r>
      <w:r>
        <w:rPr>
          <w:rFonts w:hint="eastAsia"/>
          <w:kern w:val="0"/>
          <w:sz w:val="24"/>
        </w:rPr>
        <w:t>”</w:t>
      </w:r>
      <w:r>
        <w:rPr>
          <w:kern w:val="0"/>
          <w:sz w:val="24"/>
        </w:rPr>
        <w:t>的框架下还是在</w:t>
      </w:r>
      <w:r>
        <w:rPr>
          <w:rFonts w:hint="eastAsia"/>
          <w:kern w:val="0"/>
          <w:sz w:val="24"/>
        </w:rPr>
        <w:t>“</w:t>
      </w:r>
      <w:r>
        <w:rPr>
          <w:kern w:val="0"/>
          <w:sz w:val="24"/>
        </w:rPr>
        <w:t>具体法</w:t>
      </w:r>
      <w:r>
        <w:rPr>
          <w:rFonts w:hint="eastAsia"/>
          <w:kern w:val="0"/>
          <w:sz w:val="24"/>
        </w:rPr>
        <w:t>”</w:t>
      </w:r>
      <w:r>
        <w:rPr>
          <w:kern w:val="0"/>
          <w:sz w:val="24"/>
        </w:rPr>
        <w:t>的框架下，全覆盖债券拥有如下基本特征：</w:t>
      </w:r>
      <w:r>
        <w:rPr>
          <w:rFonts w:hint="eastAsia" w:ascii="宋体" w:hAnsi="宋体"/>
          <w:kern w:val="0"/>
          <w:sz w:val="24"/>
        </w:rPr>
        <w:t>①</w:t>
      </w:r>
      <w:r>
        <w:rPr>
          <w:kern w:val="0"/>
          <w:sz w:val="24"/>
        </w:rPr>
        <w:t>全覆盖债券由一个受公共监督的信用机构发行，或债券持有人对其有完全的追索权；</w:t>
      </w:r>
      <w:r>
        <w:rPr>
          <w:rFonts w:hint="eastAsia" w:ascii="宋体" w:hAnsi="宋体"/>
          <w:kern w:val="0"/>
          <w:sz w:val="24"/>
        </w:rPr>
        <w:t>②</w:t>
      </w:r>
      <w:r>
        <w:rPr>
          <w:kern w:val="0"/>
          <w:sz w:val="24"/>
        </w:rPr>
        <w:t>与发行人的无担保债权人相比，全覆盖债券持有人对覆盖池中资产有优先求偿权；</w:t>
      </w:r>
      <w:r>
        <w:rPr>
          <w:rFonts w:hint="eastAsia" w:ascii="宋体" w:hAnsi="宋体"/>
          <w:kern w:val="0"/>
          <w:sz w:val="24"/>
        </w:rPr>
        <w:t>③</w:t>
      </w:r>
      <w:r>
        <w:rPr>
          <w:kern w:val="0"/>
          <w:sz w:val="24"/>
        </w:rPr>
        <w:t>信用机构有义务一直维持覆盖池中有足够的资产以满足债券持有者随时可能提出的偿付要求；</w:t>
      </w:r>
      <w:r>
        <w:rPr>
          <w:rFonts w:hint="eastAsia" w:ascii="宋体" w:hAnsi="宋体"/>
          <w:kern w:val="0"/>
          <w:sz w:val="24"/>
        </w:rPr>
        <w:t>④</w:t>
      </w:r>
      <w:r>
        <w:rPr>
          <w:kern w:val="0"/>
          <w:sz w:val="24"/>
        </w:rPr>
        <w:t>信贷机构对覆盖池的义务接受公共或其他独立机构的监督。</w:t>
      </w:r>
    </w:p>
    <w:p w14:paraId="1FEE142A">
      <w:pPr>
        <w:spacing w:before="156" w:beforeLines="50" w:line="440" w:lineRule="exact"/>
        <w:ind w:firstLine="480" w:firstLineChars="200"/>
        <w:rPr>
          <w:kern w:val="0"/>
          <w:sz w:val="24"/>
        </w:rPr>
      </w:pPr>
      <w:bookmarkStart w:id="26" w:name="_Toc256506549"/>
      <w:r>
        <w:rPr>
          <w:kern w:val="0"/>
          <w:sz w:val="24"/>
        </w:rPr>
        <w:t>从</w:t>
      </w:r>
      <w:r>
        <w:rPr>
          <w:rFonts w:hint="eastAsia"/>
          <w:kern w:val="0"/>
          <w:sz w:val="24"/>
        </w:rPr>
        <w:t>下</w:t>
      </w:r>
      <w:r>
        <w:rPr>
          <w:kern w:val="0"/>
          <w:sz w:val="24"/>
        </w:rPr>
        <w:t>表可以看出，如今欧洲有关全覆盖债券的法律会申明以下几个基本方面：哪些资产可以为全覆盖债券提供担保；对这些担保资产的最低质量要求，如贷款价值比率；对于未偿付债券需要多少资产提供担保；如何对资产池进行监测；最重要的是，如果发</w:t>
      </w:r>
      <w:r>
        <w:rPr>
          <w:rFonts w:hint="eastAsia"/>
          <w:kern w:val="0"/>
          <w:sz w:val="24"/>
        </w:rPr>
        <w:t>现</w:t>
      </w:r>
      <w:r>
        <w:rPr>
          <w:kern w:val="0"/>
          <w:sz w:val="24"/>
        </w:rPr>
        <w:t>银行破产，如何保护投资者的利益。</w:t>
      </w:r>
    </w:p>
    <w:p w14:paraId="6707A60E">
      <w:pPr>
        <w:pStyle w:val="11"/>
        <w:spacing w:before="312" w:beforeLines="100"/>
        <w:jc w:val="center"/>
        <w:rPr>
          <w:rFonts w:hint="eastAsia" w:ascii="Times New Roman" w:hAnsi="新宋体" w:eastAsia="新宋体" w:cs="Times New Roman"/>
          <w:sz w:val="21"/>
          <w:szCs w:val="21"/>
        </w:rPr>
      </w:pPr>
      <w:r>
        <w:rPr>
          <w:rFonts w:hint="eastAsia" w:ascii="Times New Roman" w:hAnsi="新宋体" w:eastAsia="新宋体" w:cs="Times New Roman"/>
          <w:sz w:val="21"/>
          <w:szCs w:val="21"/>
        </w:rPr>
        <w:t>表1  欧洲部分国家全覆盖债券法律框架比较表</w:t>
      </w:r>
      <w:bookmarkEnd w:id="26"/>
    </w:p>
    <w:p w14:paraId="2B7A62F2">
      <w:pPr>
        <w:jc w:val="center"/>
        <w:rPr>
          <w:rFonts w:hint="eastAsia"/>
          <w:szCs w:val="21"/>
        </w:rPr>
      </w:pPr>
      <w:r>
        <w:rPr>
          <w:rFonts w:hint="eastAsia"/>
          <w:szCs w:val="21"/>
        </w:rPr>
        <w:t>T</w:t>
      </w:r>
      <w:r>
        <w:rPr>
          <w:szCs w:val="21"/>
        </w:rPr>
        <w:t>able</w:t>
      </w:r>
      <w:r>
        <w:rPr>
          <w:rFonts w:hint="eastAsia"/>
          <w:szCs w:val="21"/>
        </w:rPr>
        <w:t xml:space="preserve"> 12.2  C</w:t>
      </w:r>
      <w:r>
        <w:rPr>
          <w:szCs w:val="21"/>
        </w:rPr>
        <w:t>omparative table</w:t>
      </w:r>
      <w:r>
        <w:rPr>
          <w:rFonts w:hint="eastAsia"/>
          <w:szCs w:val="21"/>
        </w:rPr>
        <w:t xml:space="preserve"> of </w:t>
      </w:r>
      <w:r>
        <w:rPr>
          <w:szCs w:val="21"/>
        </w:rPr>
        <w:t>the legal framework</w:t>
      </w:r>
      <w:r>
        <w:rPr>
          <w:rFonts w:hint="eastAsia"/>
          <w:szCs w:val="21"/>
        </w:rPr>
        <w:t xml:space="preserve"> of covered bond in some E</w:t>
      </w:r>
      <w:r>
        <w:rPr>
          <w:szCs w:val="21"/>
        </w:rPr>
        <w:t>uropean countries</w:t>
      </w:r>
    </w:p>
    <w:tbl>
      <w:tblPr>
        <w:tblStyle w:val="15"/>
        <w:tblW w:w="8568"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08"/>
        <w:gridCol w:w="1080"/>
        <w:gridCol w:w="1080"/>
        <w:gridCol w:w="1080"/>
        <w:gridCol w:w="1080"/>
        <w:gridCol w:w="1080"/>
        <w:gridCol w:w="1080"/>
        <w:gridCol w:w="1080"/>
      </w:tblGrid>
      <w:tr w14:paraId="5818603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08" w:type="dxa"/>
            <w:tcBorders>
              <w:top w:val="single" w:color="auto" w:sz="4" w:space="0"/>
              <w:bottom w:val="single" w:color="auto" w:sz="4" w:space="0"/>
            </w:tcBorders>
            <w:vAlign w:val="center"/>
          </w:tcPr>
          <w:p w14:paraId="11329B0F">
            <w:pPr>
              <w:spacing w:line="310" w:lineRule="exact"/>
              <w:rPr>
                <w:rFonts w:eastAsia="新宋体"/>
                <w:bCs/>
                <w:szCs w:val="21"/>
              </w:rPr>
            </w:pPr>
          </w:p>
        </w:tc>
        <w:tc>
          <w:tcPr>
            <w:tcW w:w="1080" w:type="dxa"/>
            <w:tcBorders>
              <w:top w:val="single" w:color="auto" w:sz="4" w:space="0"/>
              <w:bottom w:val="single" w:color="auto" w:sz="4" w:space="0"/>
            </w:tcBorders>
            <w:vAlign w:val="center"/>
          </w:tcPr>
          <w:p w14:paraId="5D734A51">
            <w:pPr>
              <w:spacing w:line="310" w:lineRule="exact"/>
              <w:rPr>
                <w:rFonts w:eastAsia="新宋体"/>
                <w:bCs/>
                <w:szCs w:val="21"/>
              </w:rPr>
            </w:pPr>
            <w:r>
              <w:rPr>
                <w:rFonts w:eastAsia="新宋体"/>
                <w:bCs/>
                <w:szCs w:val="21"/>
              </w:rPr>
              <w:t>法国</w:t>
            </w:r>
          </w:p>
        </w:tc>
        <w:tc>
          <w:tcPr>
            <w:tcW w:w="1080" w:type="dxa"/>
            <w:tcBorders>
              <w:top w:val="single" w:color="auto" w:sz="4" w:space="0"/>
              <w:bottom w:val="single" w:color="auto" w:sz="4" w:space="0"/>
            </w:tcBorders>
            <w:vAlign w:val="center"/>
          </w:tcPr>
          <w:p w14:paraId="2AF6E449">
            <w:pPr>
              <w:spacing w:line="310" w:lineRule="exact"/>
              <w:rPr>
                <w:rFonts w:eastAsia="新宋体"/>
                <w:bCs/>
                <w:szCs w:val="21"/>
              </w:rPr>
            </w:pPr>
            <w:r>
              <w:rPr>
                <w:rFonts w:eastAsia="新宋体"/>
                <w:bCs/>
                <w:szCs w:val="21"/>
              </w:rPr>
              <w:t>德国</w:t>
            </w:r>
          </w:p>
        </w:tc>
        <w:tc>
          <w:tcPr>
            <w:tcW w:w="1080" w:type="dxa"/>
            <w:tcBorders>
              <w:top w:val="single" w:color="auto" w:sz="4" w:space="0"/>
              <w:bottom w:val="single" w:color="auto" w:sz="4" w:space="0"/>
            </w:tcBorders>
            <w:vAlign w:val="center"/>
          </w:tcPr>
          <w:p w14:paraId="5CA09CB5">
            <w:pPr>
              <w:spacing w:line="310" w:lineRule="exact"/>
              <w:rPr>
                <w:rFonts w:eastAsia="新宋体"/>
                <w:bCs/>
                <w:szCs w:val="21"/>
              </w:rPr>
            </w:pPr>
            <w:r>
              <w:rPr>
                <w:rFonts w:eastAsia="新宋体"/>
                <w:bCs/>
                <w:szCs w:val="21"/>
              </w:rPr>
              <w:t>爱尔兰</w:t>
            </w:r>
          </w:p>
        </w:tc>
        <w:tc>
          <w:tcPr>
            <w:tcW w:w="1080" w:type="dxa"/>
            <w:tcBorders>
              <w:top w:val="single" w:color="auto" w:sz="4" w:space="0"/>
              <w:bottom w:val="single" w:color="auto" w:sz="4" w:space="0"/>
            </w:tcBorders>
            <w:vAlign w:val="center"/>
          </w:tcPr>
          <w:p w14:paraId="18A8C3F1">
            <w:pPr>
              <w:spacing w:line="310" w:lineRule="exact"/>
              <w:rPr>
                <w:rFonts w:eastAsia="新宋体"/>
                <w:bCs/>
                <w:szCs w:val="21"/>
              </w:rPr>
            </w:pPr>
            <w:r>
              <w:rPr>
                <w:rFonts w:eastAsia="新宋体"/>
                <w:bCs/>
                <w:szCs w:val="21"/>
              </w:rPr>
              <w:t>意大利</w:t>
            </w:r>
          </w:p>
        </w:tc>
        <w:tc>
          <w:tcPr>
            <w:tcW w:w="1080" w:type="dxa"/>
            <w:tcBorders>
              <w:top w:val="single" w:color="auto" w:sz="4" w:space="0"/>
              <w:bottom w:val="single" w:color="auto" w:sz="4" w:space="0"/>
            </w:tcBorders>
            <w:vAlign w:val="center"/>
          </w:tcPr>
          <w:p w14:paraId="1D71B584">
            <w:pPr>
              <w:spacing w:line="310" w:lineRule="exact"/>
              <w:rPr>
                <w:rFonts w:eastAsia="新宋体"/>
                <w:bCs/>
                <w:szCs w:val="21"/>
              </w:rPr>
            </w:pPr>
            <w:r>
              <w:rPr>
                <w:rFonts w:eastAsia="新宋体"/>
                <w:bCs/>
                <w:szCs w:val="21"/>
              </w:rPr>
              <w:t>卢森堡</w:t>
            </w:r>
          </w:p>
        </w:tc>
        <w:tc>
          <w:tcPr>
            <w:tcW w:w="1080" w:type="dxa"/>
            <w:tcBorders>
              <w:top w:val="single" w:color="auto" w:sz="4" w:space="0"/>
              <w:bottom w:val="single" w:color="auto" w:sz="4" w:space="0"/>
            </w:tcBorders>
            <w:vAlign w:val="center"/>
          </w:tcPr>
          <w:p w14:paraId="2E4D4EF0">
            <w:pPr>
              <w:spacing w:line="310" w:lineRule="exact"/>
              <w:rPr>
                <w:rFonts w:eastAsia="新宋体"/>
                <w:bCs/>
                <w:szCs w:val="21"/>
              </w:rPr>
            </w:pPr>
            <w:r>
              <w:rPr>
                <w:rFonts w:eastAsia="新宋体"/>
                <w:bCs/>
                <w:szCs w:val="21"/>
              </w:rPr>
              <w:t>葡萄牙</w:t>
            </w:r>
          </w:p>
        </w:tc>
        <w:tc>
          <w:tcPr>
            <w:tcW w:w="1080" w:type="dxa"/>
            <w:tcBorders>
              <w:top w:val="single" w:color="auto" w:sz="4" w:space="0"/>
              <w:bottom w:val="single" w:color="auto" w:sz="4" w:space="0"/>
            </w:tcBorders>
            <w:vAlign w:val="center"/>
          </w:tcPr>
          <w:p w14:paraId="66DA19B0">
            <w:pPr>
              <w:spacing w:line="310" w:lineRule="exact"/>
              <w:rPr>
                <w:rFonts w:eastAsia="新宋体"/>
                <w:bCs/>
                <w:szCs w:val="21"/>
              </w:rPr>
            </w:pPr>
            <w:r>
              <w:rPr>
                <w:rFonts w:eastAsia="新宋体"/>
                <w:bCs/>
                <w:szCs w:val="21"/>
              </w:rPr>
              <w:t>西班牙</w:t>
            </w:r>
          </w:p>
        </w:tc>
      </w:tr>
      <w:tr w14:paraId="5309114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5" w:hRule="atLeast"/>
        </w:trPr>
        <w:tc>
          <w:tcPr>
            <w:tcW w:w="1008" w:type="dxa"/>
            <w:tcBorders>
              <w:top w:val="single" w:color="auto" w:sz="4" w:space="0"/>
            </w:tcBorders>
            <w:vAlign w:val="center"/>
          </w:tcPr>
          <w:p w14:paraId="3A30BBD5">
            <w:pPr>
              <w:spacing w:line="310" w:lineRule="exact"/>
              <w:rPr>
                <w:rFonts w:eastAsia="新宋体"/>
                <w:bCs/>
                <w:sz w:val="18"/>
                <w:szCs w:val="18"/>
              </w:rPr>
            </w:pPr>
            <w:r>
              <w:rPr>
                <w:rFonts w:eastAsia="新宋体"/>
                <w:bCs/>
                <w:sz w:val="18"/>
                <w:szCs w:val="18"/>
              </w:rPr>
              <w:t>全覆盖债券名称</w:t>
            </w:r>
          </w:p>
        </w:tc>
        <w:tc>
          <w:tcPr>
            <w:tcW w:w="1080" w:type="dxa"/>
            <w:tcBorders>
              <w:top w:val="single" w:color="auto" w:sz="4" w:space="0"/>
            </w:tcBorders>
            <w:vAlign w:val="center"/>
          </w:tcPr>
          <w:p w14:paraId="7AA2B2A4">
            <w:pPr>
              <w:spacing w:line="310" w:lineRule="exact"/>
              <w:rPr>
                <w:rFonts w:eastAsia="新宋体"/>
                <w:bCs/>
                <w:sz w:val="18"/>
                <w:szCs w:val="18"/>
              </w:rPr>
            </w:pPr>
            <w:r>
              <w:rPr>
                <w:rFonts w:eastAsia="新宋体"/>
                <w:bCs/>
                <w:sz w:val="18"/>
                <w:szCs w:val="18"/>
              </w:rPr>
              <w:t>Obligations foncières</w:t>
            </w:r>
          </w:p>
        </w:tc>
        <w:tc>
          <w:tcPr>
            <w:tcW w:w="1080" w:type="dxa"/>
            <w:tcBorders>
              <w:top w:val="single" w:color="auto" w:sz="4" w:space="0"/>
            </w:tcBorders>
            <w:vAlign w:val="center"/>
          </w:tcPr>
          <w:p w14:paraId="4EAC3CBB">
            <w:pPr>
              <w:spacing w:line="310" w:lineRule="exact"/>
              <w:rPr>
                <w:rFonts w:eastAsia="新宋体"/>
                <w:bCs/>
                <w:sz w:val="18"/>
                <w:szCs w:val="18"/>
                <w:lang w:val="de-DE"/>
              </w:rPr>
            </w:pPr>
            <w:r>
              <w:rPr>
                <w:rFonts w:eastAsia="新宋体"/>
                <w:bCs/>
                <w:sz w:val="18"/>
                <w:szCs w:val="18"/>
                <w:lang w:val="de-DE"/>
              </w:rPr>
              <w:t>Hypotheken</w:t>
            </w:r>
            <w:r>
              <w:rPr>
                <w:rFonts w:eastAsia="新宋体"/>
                <w:bCs/>
                <w:sz w:val="18"/>
                <w:szCs w:val="18"/>
                <w:lang w:val="de-DE"/>
              </w:rPr>
              <w:softHyphen/>
            </w:r>
            <w:r>
              <w:rPr>
                <w:rFonts w:eastAsia="新宋体"/>
                <w:bCs/>
                <w:sz w:val="18"/>
                <w:szCs w:val="18"/>
                <w:lang w:val="de-DE"/>
              </w:rPr>
              <w:t>pfandbrief (HP)/Öffentli</w:t>
            </w:r>
            <w:r>
              <w:rPr>
                <w:rFonts w:eastAsia="新宋体"/>
                <w:bCs/>
                <w:sz w:val="18"/>
                <w:szCs w:val="18"/>
                <w:lang w:val="de-DE"/>
              </w:rPr>
              <w:softHyphen/>
            </w:r>
            <w:r>
              <w:rPr>
                <w:rFonts w:eastAsia="新宋体"/>
                <w:bCs/>
                <w:sz w:val="18"/>
                <w:szCs w:val="18"/>
                <w:lang w:val="de-DE"/>
              </w:rPr>
              <w:t>cher Pfand</w:t>
            </w:r>
            <w:r>
              <w:rPr>
                <w:rFonts w:eastAsia="新宋体"/>
                <w:bCs/>
                <w:sz w:val="18"/>
                <w:szCs w:val="18"/>
                <w:lang w:val="de-DE"/>
              </w:rPr>
              <w:softHyphen/>
            </w:r>
            <w:r>
              <w:rPr>
                <w:rFonts w:eastAsia="新宋体"/>
                <w:bCs/>
                <w:sz w:val="18"/>
                <w:szCs w:val="18"/>
                <w:lang w:val="de-DE"/>
              </w:rPr>
              <w:t>brief (ÖP)</w:t>
            </w:r>
          </w:p>
        </w:tc>
        <w:tc>
          <w:tcPr>
            <w:tcW w:w="1080" w:type="dxa"/>
            <w:tcBorders>
              <w:top w:val="single" w:color="auto" w:sz="4" w:space="0"/>
            </w:tcBorders>
            <w:vAlign w:val="center"/>
          </w:tcPr>
          <w:p w14:paraId="40A2B537">
            <w:pPr>
              <w:spacing w:line="310" w:lineRule="exact"/>
              <w:rPr>
                <w:rFonts w:eastAsia="新宋体"/>
                <w:bCs/>
                <w:sz w:val="18"/>
                <w:szCs w:val="18"/>
              </w:rPr>
            </w:pPr>
            <w:r>
              <w:rPr>
                <w:rFonts w:eastAsia="新宋体"/>
                <w:bCs/>
                <w:sz w:val="18"/>
                <w:szCs w:val="18"/>
              </w:rPr>
              <w:t>Asset-covered securities</w:t>
            </w:r>
          </w:p>
        </w:tc>
        <w:tc>
          <w:tcPr>
            <w:tcW w:w="1080" w:type="dxa"/>
            <w:tcBorders>
              <w:top w:val="single" w:color="auto" w:sz="4" w:space="0"/>
            </w:tcBorders>
            <w:vAlign w:val="center"/>
          </w:tcPr>
          <w:p w14:paraId="3D0ECC4F">
            <w:pPr>
              <w:spacing w:line="310" w:lineRule="exact"/>
              <w:rPr>
                <w:rFonts w:eastAsia="新宋体"/>
                <w:bCs/>
                <w:sz w:val="18"/>
                <w:szCs w:val="18"/>
              </w:rPr>
            </w:pPr>
            <w:r>
              <w:rPr>
                <w:rFonts w:eastAsia="新宋体"/>
                <w:bCs/>
                <w:sz w:val="18"/>
                <w:szCs w:val="18"/>
              </w:rPr>
              <w:t>Obbligazioni bancarie garantite</w:t>
            </w:r>
          </w:p>
        </w:tc>
        <w:tc>
          <w:tcPr>
            <w:tcW w:w="1080" w:type="dxa"/>
            <w:tcBorders>
              <w:top w:val="single" w:color="auto" w:sz="4" w:space="0"/>
            </w:tcBorders>
            <w:vAlign w:val="center"/>
          </w:tcPr>
          <w:p w14:paraId="7BC0B78E">
            <w:pPr>
              <w:spacing w:line="310" w:lineRule="exact"/>
              <w:rPr>
                <w:rFonts w:eastAsia="新宋体"/>
                <w:bCs/>
                <w:sz w:val="18"/>
                <w:szCs w:val="18"/>
                <w:lang w:val="fr-FR"/>
              </w:rPr>
            </w:pPr>
            <w:r>
              <w:rPr>
                <w:rFonts w:eastAsia="新宋体"/>
                <w:bCs/>
                <w:sz w:val="18"/>
                <w:szCs w:val="18"/>
                <w:lang w:val="fr-FR"/>
              </w:rPr>
              <w:t>Lettres de gage hypo</w:t>
            </w:r>
            <w:r>
              <w:rPr>
                <w:rFonts w:eastAsia="新宋体"/>
                <w:bCs/>
                <w:sz w:val="18"/>
                <w:szCs w:val="18"/>
                <w:lang w:val="fr-FR"/>
              </w:rPr>
              <w:softHyphen/>
            </w:r>
            <w:r>
              <w:rPr>
                <w:rFonts w:eastAsia="新宋体"/>
                <w:bCs/>
                <w:sz w:val="18"/>
                <w:szCs w:val="18"/>
                <w:lang w:val="fr-FR"/>
              </w:rPr>
              <w:t>thécaire (LGH) ou publique (LGP)</w:t>
            </w:r>
          </w:p>
        </w:tc>
        <w:tc>
          <w:tcPr>
            <w:tcW w:w="1080" w:type="dxa"/>
            <w:tcBorders>
              <w:top w:val="single" w:color="auto" w:sz="4" w:space="0"/>
            </w:tcBorders>
            <w:vAlign w:val="center"/>
          </w:tcPr>
          <w:p w14:paraId="2B4EC004">
            <w:pPr>
              <w:spacing w:line="310" w:lineRule="exact"/>
              <w:rPr>
                <w:rFonts w:eastAsia="新宋体"/>
                <w:bCs/>
                <w:sz w:val="18"/>
                <w:szCs w:val="18"/>
                <w:lang w:val="pt-BR"/>
              </w:rPr>
            </w:pPr>
            <w:r>
              <w:rPr>
                <w:rFonts w:eastAsia="新宋体"/>
                <w:bCs/>
                <w:sz w:val="18"/>
                <w:szCs w:val="18"/>
                <w:lang w:val="pt-BR"/>
              </w:rPr>
              <w:t>Obrigações hipotecárias (OH) sobre o sector público (OP)</w:t>
            </w:r>
          </w:p>
        </w:tc>
        <w:tc>
          <w:tcPr>
            <w:tcW w:w="1080" w:type="dxa"/>
            <w:tcBorders>
              <w:top w:val="single" w:color="auto" w:sz="4" w:space="0"/>
            </w:tcBorders>
            <w:vAlign w:val="center"/>
          </w:tcPr>
          <w:p w14:paraId="072935FE">
            <w:pPr>
              <w:spacing w:line="310" w:lineRule="exact"/>
              <w:rPr>
                <w:rFonts w:eastAsia="新宋体"/>
                <w:bCs/>
                <w:sz w:val="18"/>
                <w:szCs w:val="18"/>
                <w:lang w:val="pt-BR"/>
              </w:rPr>
            </w:pPr>
            <w:r>
              <w:rPr>
                <w:rFonts w:eastAsia="新宋体"/>
                <w:bCs/>
                <w:sz w:val="18"/>
                <w:szCs w:val="18"/>
                <w:lang w:val="pt-BR"/>
              </w:rPr>
              <w:t>Cédulas hipotecarias (CH)/Cédulas territoriales (CT)</w:t>
            </w:r>
          </w:p>
        </w:tc>
      </w:tr>
      <w:tr w14:paraId="45604CB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trPr>
        <w:tc>
          <w:tcPr>
            <w:tcW w:w="1008" w:type="dxa"/>
            <w:vAlign w:val="center"/>
          </w:tcPr>
          <w:p w14:paraId="1DE815D4">
            <w:pPr>
              <w:spacing w:line="310" w:lineRule="exact"/>
              <w:rPr>
                <w:rFonts w:eastAsia="新宋体"/>
                <w:bCs/>
                <w:sz w:val="18"/>
                <w:szCs w:val="18"/>
              </w:rPr>
            </w:pPr>
            <w:r>
              <w:rPr>
                <w:rFonts w:eastAsia="新宋体"/>
                <w:bCs/>
                <w:sz w:val="18"/>
                <w:szCs w:val="18"/>
              </w:rPr>
              <w:t>遵循专业银行原则</w:t>
            </w:r>
          </w:p>
        </w:tc>
        <w:tc>
          <w:tcPr>
            <w:tcW w:w="1080" w:type="dxa"/>
            <w:vAlign w:val="center"/>
          </w:tcPr>
          <w:p w14:paraId="6B9A1B5D">
            <w:pPr>
              <w:spacing w:line="310" w:lineRule="exact"/>
              <w:rPr>
                <w:rFonts w:eastAsia="新宋体"/>
                <w:bCs/>
                <w:sz w:val="18"/>
                <w:szCs w:val="18"/>
              </w:rPr>
            </w:pPr>
            <w:r>
              <w:rPr>
                <w:rFonts w:eastAsia="新宋体"/>
                <w:bCs/>
                <w:sz w:val="18"/>
                <w:szCs w:val="18"/>
              </w:rPr>
              <w:t>是</w:t>
            </w:r>
          </w:p>
        </w:tc>
        <w:tc>
          <w:tcPr>
            <w:tcW w:w="1080" w:type="dxa"/>
            <w:vAlign w:val="center"/>
          </w:tcPr>
          <w:p w14:paraId="1218A537">
            <w:pPr>
              <w:spacing w:line="310" w:lineRule="exact"/>
              <w:rPr>
                <w:rFonts w:eastAsia="新宋体"/>
                <w:bCs/>
                <w:sz w:val="18"/>
                <w:szCs w:val="18"/>
              </w:rPr>
            </w:pPr>
            <w:r>
              <w:rPr>
                <w:rFonts w:eastAsia="新宋体"/>
                <w:bCs/>
                <w:sz w:val="18"/>
                <w:szCs w:val="18"/>
              </w:rPr>
              <w:t>否</w:t>
            </w:r>
          </w:p>
        </w:tc>
        <w:tc>
          <w:tcPr>
            <w:tcW w:w="1080" w:type="dxa"/>
            <w:vAlign w:val="center"/>
          </w:tcPr>
          <w:p w14:paraId="5686EE25">
            <w:pPr>
              <w:spacing w:line="310" w:lineRule="exact"/>
              <w:rPr>
                <w:rFonts w:eastAsia="新宋体"/>
                <w:bCs/>
                <w:sz w:val="18"/>
                <w:szCs w:val="18"/>
              </w:rPr>
            </w:pPr>
            <w:r>
              <w:rPr>
                <w:rFonts w:eastAsia="新宋体"/>
                <w:bCs/>
                <w:sz w:val="18"/>
                <w:szCs w:val="18"/>
              </w:rPr>
              <w:t>是</w:t>
            </w:r>
          </w:p>
        </w:tc>
        <w:tc>
          <w:tcPr>
            <w:tcW w:w="1080" w:type="dxa"/>
            <w:vAlign w:val="center"/>
          </w:tcPr>
          <w:p w14:paraId="116AE001">
            <w:pPr>
              <w:spacing w:line="310" w:lineRule="exact"/>
              <w:rPr>
                <w:rFonts w:eastAsia="新宋体"/>
                <w:bCs/>
                <w:sz w:val="18"/>
                <w:szCs w:val="18"/>
              </w:rPr>
            </w:pPr>
            <w:r>
              <w:rPr>
                <w:rFonts w:eastAsia="新宋体"/>
                <w:bCs/>
                <w:sz w:val="18"/>
                <w:szCs w:val="18"/>
              </w:rPr>
              <w:t>否</w:t>
            </w:r>
          </w:p>
        </w:tc>
        <w:tc>
          <w:tcPr>
            <w:tcW w:w="1080" w:type="dxa"/>
            <w:vAlign w:val="center"/>
          </w:tcPr>
          <w:p w14:paraId="4C2042AE">
            <w:pPr>
              <w:spacing w:line="310" w:lineRule="exact"/>
              <w:rPr>
                <w:rFonts w:eastAsia="新宋体"/>
                <w:bCs/>
                <w:sz w:val="18"/>
                <w:szCs w:val="18"/>
              </w:rPr>
            </w:pPr>
            <w:r>
              <w:rPr>
                <w:rFonts w:eastAsia="新宋体"/>
                <w:bCs/>
                <w:sz w:val="18"/>
                <w:szCs w:val="18"/>
              </w:rPr>
              <w:t>是</w:t>
            </w:r>
          </w:p>
        </w:tc>
        <w:tc>
          <w:tcPr>
            <w:tcW w:w="1080" w:type="dxa"/>
            <w:vAlign w:val="center"/>
          </w:tcPr>
          <w:p w14:paraId="0CAAEF85">
            <w:pPr>
              <w:spacing w:line="310" w:lineRule="exact"/>
              <w:rPr>
                <w:rFonts w:eastAsia="新宋体"/>
                <w:bCs/>
                <w:sz w:val="18"/>
                <w:szCs w:val="18"/>
              </w:rPr>
            </w:pPr>
            <w:r>
              <w:rPr>
                <w:rFonts w:eastAsia="新宋体"/>
                <w:bCs/>
                <w:sz w:val="18"/>
                <w:szCs w:val="18"/>
              </w:rPr>
              <w:t>否</w:t>
            </w:r>
          </w:p>
        </w:tc>
        <w:tc>
          <w:tcPr>
            <w:tcW w:w="1080" w:type="dxa"/>
            <w:vAlign w:val="center"/>
          </w:tcPr>
          <w:p w14:paraId="14B380C9">
            <w:pPr>
              <w:spacing w:line="310" w:lineRule="exact"/>
              <w:rPr>
                <w:rFonts w:eastAsia="新宋体"/>
                <w:bCs/>
                <w:sz w:val="18"/>
                <w:szCs w:val="18"/>
              </w:rPr>
            </w:pPr>
            <w:r>
              <w:rPr>
                <w:rFonts w:eastAsia="新宋体"/>
                <w:bCs/>
                <w:sz w:val="18"/>
                <w:szCs w:val="18"/>
              </w:rPr>
              <w:t>否</w:t>
            </w:r>
          </w:p>
        </w:tc>
      </w:tr>
      <w:tr w14:paraId="777389E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1008" w:type="dxa"/>
            <w:vAlign w:val="center"/>
          </w:tcPr>
          <w:p w14:paraId="1A6C4DC5">
            <w:pPr>
              <w:spacing w:line="310" w:lineRule="exact"/>
              <w:rPr>
                <w:rFonts w:eastAsia="新宋体"/>
                <w:bCs/>
                <w:sz w:val="18"/>
                <w:szCs w:val="18"/>
              </w:rPr>
            </w:pPr>
            <w:r>
              <w:rPr>
                <w:rFonts w:eastAsia="新宋体"/>
                <w:bCs/>
                <w:sz w:val="18"/>
                <w:szCs w:val="18"/>
              </w:rPr>
              <w:t>覆盖资产1</w:t>
            </w:r>
          </w:p>
        </w:tc>
        <w:tc>
          <w:tcPr>
            <w:tcW w:w="1080" w:type="dxa"/>
            <w:vAlign w:val="center"/>
          </w:tcPr>
          <w:p w14:paraId="47F03C02">
            <w:pPr>
              <w:spacing w:line="310" w:lineRule="exact"/>
              <w:rPr>
                <w:rFonts w:eastAsia="新宋体"/>
                <w:bCs/>
                <w:sz w:val="18"/>
                <w:szCs w:val="18"/>
              </w:rPr>
            </w:pPr>
            <w:r>
              <w:rPr>
                <w:rFonts w:eastAsia="新宋体"/>
                <w:bCs/>
                <w:sz w:val="18"/>
                <w:szCs w:val="18"/>
              </w:rPr>
              <w:t>m/p</w:t>
            </w:r>
          </w:p>
        </w:tc>
        <w:tc>
          <w:tcPr>
            <w:tcW w:w="1080" w:type="dxa"/>
            <w:vAlign w:val="center"/>
          </w:tcPr>
          <w:p w14:paraId="663AF077">
            <w:pPr>
              <w:spacing w:line="310" w:lineRule="exact"/>
              <w:rPr>
                <w:rFonts w:eastAsia="新宋体"/>
                <w:bCs/>
                <w:sz w:val="18"/>
                <w:szCs w:val="18"/>
              </w:rPr>
            </w:pPr>
            <w:r>
              <w:rPr>
                <w:rFonts w:eastAsia="新宋体"/>
                <w:bCs/>
                <w:sz w:val="18"/>
                <w:szCs w:val="18"/>
              </w:rPr>
              <w:t>HP:m</w:t>
            </w:r>
          </w:p>
          <w:p w14:paraId="7E27F9F7">
            <w:pPr>
              <w:spacing w:line="310" w:lineRule="exact"/>
              <w:rPr>
                <w:rFonts w:eastAsia="新宋体"/>
                <w:bCs/>
                <w:sz w:val="18"/>
                <w:szCs w:val="18"/>
              </w:rPr>
            </w:pPr>
            <w:r>
              <w:rPr>
                <w:rFonts w:eastAsia="新宋体"/>
                <w:bCs/>
                <w:sz w:val="18"/>
                <w:szCs w:val="18"/>
              </w:rPr>
              <w:t>ÖP:p</w:t>
            </w:r>
          </w:p>
        </w:tc>
        <w:tc>
          <w:tcPr>
            <w:tcW w:w="1080" w:type="dxa"/>
            <w:vAlign w:val="center"/>
          </w:tcPr>
          <w:p w14:paraId="5EAD78C8">
            <w:pPr>
              <w:spacing w:line="310" w:lineRule="exact"/>
              <w:rPr>
                <w:rFonts w:eastAsia="新宋体"/>
                <w:bCs/>
                <w:sz w:val="18"/>
                <w:szCs w:val="18"/>
              </w:rPr>
            </w:pPr>
            <w:r>
              <w:rPr>
                <w:rFonts w:eastAsia="新宋体"/>
                <w:bCs/>
                <w:sz w:val="18"/>
                <w:szCs w:val="18"/>
              </w:rPr>
              <w:t>m/p</w:t>
            </w:r>
          </w:p>
        </w:tc>
        <w:tc>
          <w:tcPr>
            <w:tcW w:w="1080" w:type="dxa"/>
            <w:vAlign w:val="center"/>
          </w:tcPr>
          <w:p w14:paraId="3FFF7AD4">
            <w:pPr>
              <w:spacing w:line="310" w:lineRule="exact"/>
              <w:rPr>
                <w:rFonts w:eastAsia="新宋体"/>
                <w:bCs/>
                <w:sz w:val="18"/>
                <w:szCs w:val="18"/>
              </w:rPr>
            </w:pPr>
            <w:r>
              <w:rPr>
                <w:rFonts w:eastAsia="新宋体"/>
                <w:bCs/>
                <w:sz w:val="18"/>
                <w:szCs w:val="18"/>
              </w:rPr>
              <w:t>m/p</w:t>
            </w:r>
          </w:p>
        </w:tc>
        <w:tc>
          <w:tcPr>
            <w:tcW w:w="1080" w:type="dxa"/>
            <w:vAlign w:val="center"/>
          </w:tcPr>
          <w:p w14:paraId="4717FF9E">
            <w:pPr>
              <w:spacing w:line="310" w:lineRule="exact"/>
              <w:rPr>
                <w:rFonts w:eastAsia="新宋体"/>
                <w:bCs/>
                <w:sz w:val="18"/>
                <w:szCs w:val="18"/>
              </w:rPr>
            </w:pPr>
            <w:r>
              <w:rPr>
                <w:rFonts w:eastAsia="新宋体"/>
                <w:bCs/>
                <w:sz w:val="18"/>
                <w:szCs w:val="18"/>
              </w:rPr>
              <w:t>LGH:m</w:t>
            </w:r>
          </w:p>
          <w:p w14:paraId="7EB619C0">
            <w:pPr>
              <w:spacing w:line="310" w:lineRule="exact"/>
              <w:rPr>
                <w:rFonts w:eastAsia="新宋体"/>
                <w:bCs/>
                <w:sz w:val="18"/>
                <w:szCs w:val="18"/>
              </w:rPr>
            </w:pPr>
            <w:r>
              <w:rPr>
                <w:rFonts w:eastAsia="新宋体"/>
                <w:bCs/>
                <w:sz w:val="18"/>
                <w:szCs w:val="18"/>
              </w:rPr>
              <w:t>LGP:p</w:t>
            </w:r>
          </w:p>
        </w:tc>
        <w:tc>
          <w:tcPr>
            <w:tcW w:w="1080" w:type="dxa"/>
            <w:vAlign w:val="center"/>
          </w:tcPr>
          <w:p w14:paraId="2B06D449">
            <w:pPr>
              <w:spacing w:line="310" w:lineRule="exact"/>
              <w:rPr>
                <w:rFonts w:eastAsia="新宋体"/>
                <w:bCs/>
                <w:sz w:val="18"/>
                <w:szCs w:val="18"/>
              </w:rPr>
            </w:pPr>
            <w:r>
              <w:rPr>
                <w:rFonts w:eastAsia="新宋体"/>
                <w:bCs/>
                <w:sz w:val="18"/>
                <w:szCs w:val="18"/>
              </w:rPr>
              <w:t>OH:m OP:p</w:t>
            </w:r>
          </w:p>
        </w:tc>
        <w:tc>
          <w:tcPr>
            <w:tcW w:w="1080" w:type="dxa"/>
            <w:vAlign w:val="center"/>
          </w:tcPr>
          <w:p w14:paraId="400ABFF9">
            <w:pPr>
              <w:spacing w:line="310" w:lineRule="exact"/>
              <w:rPr>
                <w:rFonts w:eastAsia="新宋体"/>
                <w:bCs/>
                <w:sz w:val="18"/>
                <w:szCs w:val="18"/>
              </w:rPr>
            </w:pPr>
            <w:r>
              <w:rPr>
                <w:rFonts w:eastAsia="新宋体"/>
                <w:bCs/>
                <w:sz w:val="18"/>
                <w:szCs w:val="18"/>
              </w:rPr>
              <w:t>CH:m CT:p</w:t>
            </w:r>
          </w:p>
        </w:tc>
      </w:tr>
      <w:tr w14:paraId="0066983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5" w:hRule="atLeast"/>
        </w:trPr>
        <w:tc>
          <w:tcPr>
            <w:tcW w:w="1008" w:type="dxa"/>
            <w:vAlign w:val="center"/>
          </w:tcPr>
          <w:p w14:paraId="267F141A">
            <w:pPr>
              <w:spacing w:line="310" w:lineRule="exact"/>
              <w:rPr>
                <w:rFonts w:eastAsia="新宋体"/>
                <w:bCs/>
                <w:sz w:val="18"/>
                <w:szCs w:val="18"/>
              </w:rPr>
            </w:pPr>
            <w:r>
              <w:rPr>
                <w:rFonts w:eastAsia="新宋体"/>
                <w:bCs/>
                <w:sz w:val="18"/>
                <w:szCs w:val="18"/>
              </w:rPr>
              <w:t>资产池结构</w:t>
            </w:r>
          </w:p>
        </w:tc>
        <w:tc>
          <w:tcPr>
            <w:tcW w:w="1080" w:type="dxa"/>
            <w:vAlign w:val="center"/>
          </w:tcPr>
          <w:p w14:paraId="7432FC8A">
            <w:pPr>
              <w:spacing w:line="310" w:lineRule="exact"/>
              <w:rPr>
                <w:rFonts w:eastAsia="新宋体"/>
                <w:bCs/>
                <w:sz w:val="18"/>
                <w:szCs w:val="18"/>
              </w:rPr>
            </w:pPr>
            <w:r>
              <w:rPr>
                <w:rFonts w:eastAsia="新宋体"/>
                <w:bCs/>
                <w:sz w:val="18"/>
                <w:szCs w:val="18"/>
              </w:rPr>
              <w:t>登记，但仍在资产负债表上</w:t>
            </w:r>
          </w:p>
        </w:tc>
        <w:tc>
          <w:tcPr>
            <w:tcW w:w="1080" w:type="dxa"/>
            <w:vAlign w:val="center"/>
          </w:tcPr>
          <w:p w14:paraId="630F24D4">
            <w:pPr>
              <w:spacing w:line="310" w:lineRule="exact"/>
              <w:rPr>
                <w:rFonts w:eastAsia="新宋体"/>
                <w:bCs/>
                <w:sz w:val="18"/>
                <w:szCs w:val="18"/>
              </w:rPr>
            </w:pPr>
            <w:r>
              <w:rPr>
                <w:rFonts w:eastAsia="新宋体"/>
                <w:bCs/>
                <w:sz w:val="18"/>
                <w:szCs w:val="18"/>
              </w:rPr>
              <w:t>登记，但仍在资产负债表上</w:t>
            </w:r>
          </w:p>
        </w:tc>
        <w:tc>
          <w:tcPr>
            <w:tcW w:w="1080" w:type="dxa"/>
            <w:vAlign w:val="center"/>
          </w:tcPr>
          <w:p w14:paraId="5704CC08">
            <w:pPr>
              <w:spacing w:line="310" w:lineRule="exact"/>
              <w:rPr>
                <w:rFonts w:eastAsia="新宋体"/>
                <w:bCs/>
                <w:sz w:val="18"/>
                <w:szCs w:val="18"/>
              </w:rPr>
            </w:pPr>
            <w:r>
              <w:rPr>
                <w:rFonts w:eastAsia="新宋体"/>
                <w:bCs/>
                <w:sz w:val="18"/>
                <w:szCs w:val="18"/>
              </w:rPr>
              <w:t>登记，但仍在资产负债表上</w:t>
            </w:r>
          </w:p>
        </w:tc>
        <w:tc>
          <w:tcPr>
            <w:tcW w:w="1080" w:type="dxa"/>
            <w:vAlign w:val="center"/>
          </w:tcPr>
          <w:p w14:paraId="6E1421C6">
            <w:pPr>
              <w:spacing w:line="310" w:lineRule="exact"/>
              <w:rPr>
                <w:rFonts w:eastAsia="新宋体"/>
                <w:bCs/>
                <w:sz w:val="18"/>
                <w:szCs w:val="18"/>
              </w:rPr>
            </w:pPr>
            <w:r>
              <w:rPr>
                <w:rFonts w:eastAsia="新宋体"/>
                <w:bCs/>
                <w:sz w:val="18"/>
                <w:szCs w:val="18"/>
              </w:rPr>
              <w:t>转给了SPV</w:t>
            </w:r>
          </w:p>
        </w:tc>
        <w:tc>
          <w:tcPr>
            <w:tcW w:w="1080" w:type="dxa"/>
            <w:vAlign w:val="center"/>
          </w:tcPr>
          <w:p w14:paraId="1560A517">
            <w:pPr>
              <w:spacing w:line="310" w:lineRule="exact"/>
              <w:rPr>
                <w:rFonts w:eastAsia="新宋体"/>
                <w:bCs/>
                <w:sz w:val="18"/>
                <w:szCs w:val="18"/>
              </w:rPr>
            </w:pPr>
            <w:r>
              <w:rPr>
                <w:rFonts w:eastAsia="新宋体"/>
                <w:bCs/>
                <w:sz w:val="18"/>
                <w:szCs w:val="18"/>
              </w:rPr>
              <w:t>登记，但仍在资产负债表上</w:t>
            </w:r>
          </w:p>
        </w:tc>
        <w:tc>
          <w:tcPr>
            <w:tcW w:w="1080" w:type="dxa"/>
            <w:vAlign w:val="center"/>
          </w:tcPr>
          <w:p w14:paraId="37AA1615">
            <w:pPr>
              <w:spacing w:line="310" w:lineRule="exact"/>
              <w:rPr>
                <w:rFonts w:eastAsia="新宋体"/>
                <w:bCs/>
                <w:sz w:val="18"/>
                <w:szCs w:val="18"/>
              </w:rPr>
            </w:pPr>
            <w:r>
              <w:rPr>
                <w:rFonts w:eastAsia="新宋体"/>
                <w:bCs/>
                <w:sz w:val="18"/>
                <w:szCs w:val="18"/>
              </w:rPr>
              <w:t>登记，但仍在资产负债表上</w:t>
            </w:r>
          </w:p>
        </w:tc>
        <w:tc>
          <w:tcPr>
            <w:tcW w:w="1080" w:type="dxa"/>
            <w:vAlign w:val="center"/>
          </w:tcPr>
          <w:p w14:paraId="131DFC59">
            <w:pPr>
              <w:spacing w:line="310" w:lineRule="exact"/>
              <w:rPr>
                <w:rFonts w:eastAsia="新宋体"/>
                <w:bCs/>
                <w:sz w:val="18"/>
                <w:szCs w:val="18"/>
              </w:rPr>
            </w:pPr>
            <w:r>
              <w:rPr>
                <w:rFonts w:eastAsia="新宋体"/>
                <w:bCs/>
                <w:sz w:val="18"/>
                <w:szCs w:val="18"/>
              </w:rPr>
              <w:t>没登记的资产池，所有合格资产都用于担保</w:t>
            </w:r>
          </w:p>
        </w:tc>
      </w:tr>
      <w:tr w14:paraId="39D212C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2" w:hRule="atLeast"/>
        </w:trPr>
        <w:tc>
          <w:tcPr>
            <w:tcW w:w="1008" w:type="dxa"/>
            <w:vAlign w:val="center"/>
          </w:tcPr>
          <w:p w14:paraId="7AE9F3BB">
            <w:pPr>
              <w:spacing w:line="310" w:lineRule="exact"/>
              <w:rPr>
                <w:rFonts w:eastAsia="新宋体"/>
                <w:bCs/>
                <w:sz w:val="18"/>
                <w:szCs w:val="18"/>
              </w:rPr>
            </w:pPr>
            <w:r>
              <w:rPr>
                <w:rFonts w:eastAsia="新宋体"/>
                <w:bCs/>
                <w:sz w:val="18"/>
                <w:szCs w:val="18"/>
              </w:rPr>
              <w:t>发行人</w:t>
            </w:r>
          </w:p>
        </w:tc>
        <w:tc>
          <w:tcPr>
            <w:tcW w:w="1080" w:type="dxa"/>
            <w:vAlign w:val="center"/>
          </w:tcPr>
          <w:p w14:paraId="7C383BE7">
            <w:pPr>
              <w:spacing w:line="310" w:lineRule="exact"/>
              <w:rPr>
                <w:rFonts w:eastAsia="新宋体"/>
                <w:bCs/>
                <w:sz w:val="18"/>
                <w:szCs w:val="18"/>
              </w:rPr>
            </w:pPr>
            <w:r>
              <w:rPr>
                <w:rFonts w:eastAsia="新宋体"/>
                <w:bCs/>
                <w:sz w:val="18"/>
                <w:szCs w:val="18"/>
              </w:rPr>
              <w:t>特定的银行</w:t>
            </w:r>
          </w:p>
        </w:tc>
        <w:tc>
          <w:tcPr>
            <w:tcW w:w="1080" w:type="dxa"/>
            <w:vAlign w:val="center"/>
          </w:tcPr>
          <w:p w14:paraId="145EF599">
            <w:pPr>
              <w:spacing w:line="310" w:lineRule="exact"/>
              <w:rPr>
                <w:rFonts w:eastAsia="新宋体"/>
                <w:bCs/>
                <w:sz w:val="18"/>
                <w:szCs w:val="18"/>
              </w:rPr>
            </w:pPr>
            <w:r>
              <w:rPr>
                <w:rFonts w:eastAsia="新宋体"/>
                <w:bCs/>
                <w:sz w:val="18"/>
                <w:szCs w:val="18"/>
              </w:rPr>
              <w:t>发起人</w:t>
            </w:r>
          </w:p>
        </w:tc>
        <w:tc>
          <w:tcPr>
            <w:tcW w:w="1080" w:type="dxa"/>
            <w:vAlign w:val="center"/>
          </w:tcPr>
          <w:p w14:paraId="1A00989F">
            <w:pPr>
              <w:spacing w:line="310" w:lineRule="exact"/>
              <w:rPr>
                <w:rFonts w:eastAsia="新宋体"/>
                <w:bCs/>
                <w:sz w:val="18"/>
                <w:szCs w:val="18"/>
              </w:rPr>
            </w:pPr>
            <w:r>
              <w:rPr>
                <w:rFonts w:eastAsia="新宋体"/>
                <w:bCs/>
                <w:sz w:val="18"/>
                <w:szCs w:val="18"/>
              </w:rPr>
              <w:t>特定的银行</w:t>
            </w:r>
          </w:p>
        </w:tc>
        <w:tc>
          <w:tcPr>
            <w:tcW w:w="1080" w:type="dxa"/>
            <w:vAlign w:val="center"/>
          </w:tcPr>
          <w:p w14:paraId="23EBBB6B">
            <w:pPr>
              <w:spacing w:line="310" w:lineRule="exact"/>
              <w:rPr>
                <w:rFonts w:eastAsia="新宋体"/>
                <w:bCs/>
                <w:sz w:val="18"/>
                <w:szCs w:val="18"/>
              </w:rPr>
            </w:pPr>
            <w:r>
              <w:rPr>
                <w:rFonts w:eastAsia="新宋体"/>
                <w:bCs/>
                <w:sz w:val="18"/>
                <w:szCs w:val="18"/>
              </w:rPr>
              <w:t>发起人(由SPV担保)</w:t>
            </w:r>
          </w:p>
        </w:tc>
        <w:tc>
          <w:tcPr>
            <w:tcW w:w="1080" w:type="dxa"/>
            <w:vAlign w:val="center"/>
          </w:tcPr>
          <w:p w14:paraId="2581BF6E">
            <w:pPr>
              <w:spacing w:line="310" w:lineRule="exact"/>
              <w:rPr>
                <w:rFonts w:eastAsia="新宋体"/>
                <w:bCs/>
                <w:sz w:val="18"/>
                <w:szCs w:val="18"/>
              </w:rPr>
            </w:pPr>
            <w:r>
              <w:rPr>
                <w:rFonts w:eastAsia="新宋体"/>
                <w:bCs/>
                <w:sz w:val="18"/>
                <w:szCs w:val="18"/>
              </w:rPr>
              <w:t>发起人</w:t>
            </w:r>
          </w:p>
        </w:tc>
        <w:tc>
          <w:tcPr>
            <w:tcW w:w="1080" w:type="dxa"/>
            <w:vAlign w:val="center"/>
          </w:tcPr>
          <w:p w14:paraId="7D99A457">
            <w:pPr>
              <w:spacing w:line="310" w:lineRule="exact"/>
              <w:rPr>
                <w:rFonts w:eastAsia="新宋体"/>
                <w:bCs/>
                <w:sz w:val="18"/>
                <w:szCs w:val="18"/>
              </w:rPr>
            </w:pPr>
            <w:r>
              <w:rPr>
                <w:rFonts w:eastAsia="新宋体"/>
                <w:bCs/>
                <w:sz w:val="18"/>
                <w:szCs w:val="18"/>
              </w:rPr>
              <w:t>发起人</w:t>
            </w:r>
          </w:p>
        </w:tc>
        <w:tc>
          <w:tcPr>
            <w:tcW w:w="1080" w:type="dxa"/>
            <w:vAlign w:val="center"/>
          </w:tcPr>
          <w:p w14:paraId="0A42A574">
            <w:pPr>
              <w:spacing w:line="310" w:lineRule="exact"/>
              <w:rPr>
                <w:rFonts w:eastAsia="新宋体"/>
                <w:bCs/>
                <w:sz w:val="18"/>
                <w:szCs w:val="18"/>
              </w:rPr>
            </w:pPr>
            <w:r>
              <w:rPr>
                <w:rFonts w:eastAsia="新宋体"/>
                <w:bCs/>
                <w:sz w:val="18"/>
                <w:szCs w:val="18"/>
              </w:rPr>
              <w:t>发起人</w:t>
            </w:r>
          </w:p>
        </w:tc>
      </w:tr>
      <w:tr w14:paraId="45E7EC7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008" w:type="dxa"/>
            <w:vAlign w:val="center"/>
          </w:tcPr>
          <w:p w14:paraId="4B26581E">
            <w:pPr>
              <w:spacing w:line="310" w:lineRule="exact"/>
              <w:rPr>
                <w:rFonts w:eastAsia="新宋体"/>
                <w:bCs/>
                <w:sz w:val="18"/>
                <w:szCs w:val="18"/>
              </w:rPr>
            </w:pPr>
            <w:r>
              <w:rPr>
                <w:rFonts w:eastAsia="新宋体"/>
                <w:bCs/>
                <w:sz w:val="18"/>
                <w:szCs w:val="18"/>
              </w:rPr>
              <w:t>最大LTV2</w:t>
            </w:r>
          </w:p>
        </w:tc>
        <w:tc>
          <w:tcPr>
            <w:tcW w:w="1080" w:type="dxa"/>
            <w:vAlign w:val="center"/>
          </w:tcPr>
          <w:p w14:paraId="190F6738">
            <w:pPr>
              <w:spacing w:line="310" w:lineRule="exact"/>
              <w:rPr>
                <w:rFonts w:eastAsia="新宋体"/>
                <w:bCs/>
                <w:sz w:val="18"/>
                <w:szCs w:val="18"/>
              </w:rPr>
            </w:pPr>
            <w:r>
              <w:rPr>
                <w:rFonts w:eastAsia="新宋体"/>
                <w:bCs/>
                <w:sz w:val="18"/>
                <w:szCs w:val="18"/>
              </w:rPr>
              <w:t>80%/60%</w:t>
            </w:r>
          </w:p>
        </w:tc>
        <w:tc>
          <w:tcPr>
            <w:tcW w:w="1080" w:type="dxa"/>
            <w:vAlign w:val="center"/>
          </w:tcPr>
          <w:p w14:paraId="7EF78D88">
            <w:pPr>
              <w:spacing w:line="310" w:lineRule="exact"/>
              <w:rPr>
                <w:rFonts w:eastAsia="新宋体"/>
                <w:bCs/>
                <w:sz w:val="18"/>
                <w:szCs w:val="18"/>
              </w:rPr>
            </w:pPr>
            <w:r>
              <w:rPr>
                <w:rFonts w:eastAsia="新宋体"/>
                <w:bCs/>
                <w:sz w:val="18"/>
                <w:szCs w:val="18"/>
              </w:rPr>
              <w:t>60%/60%</w:t>
            </w:r>
          </w:p>
        </w:tc>
        <w:tc>
          <w:tcPr>
            <w:tcW w:w="1080" w:type="dxa"/>
            <w:vAlign w:val="center"/>
          </w:tcPr>
          <w:p w14:paraId="79FD9177">
            <w:pPr>
              <w:spacing w:line="310" w:lineRule="exact"/>
              <w:rPr>
                <w:rFonts w:eastAsia="新宋体"/>
                <w:bCs/>
                <w:sz w:val="18"/>
                <w:szCs w:val="18"/>
              </w:rPr>
            </w:pPr>
            <w:r>
              <w:rPr>
                <w:rFonts w:eastAsia="新宋体"/>
                <w:bCs/>
                <w:sz w:val="18"/>
                <w:szCs w:val="18"/>
              </w:rPr>
              <w:t>75%/60%</w:t>
            </w:r>
          </w:p>
        </w:tc>
        <w:tc>
          <w:tcPr>
            <w:tcW w:w="1080" w:type="dxa"/>
            <w:vAlign w:val="center"/>
          </w:tcPr>
          <w:p w14:paraId="0FC27433">
            <w:pPr>
              <w:spacing w:line="310" w:lineRule="exact"/>
              <w:rPr>
                <w:rFonts w:eastAsia="新宋体"/>
                <w:bCs/>
                <w:sz w:val="18"/>
                <w:szCs w:val="18"/>
              </w:rPr>
            </w:pPr>
            <w:r>
              <w:rPr>
                <w:rFonts w:eastAsia="新宋体"/>
                <w:bCs/>
                <w:sz w:val="18"/>
                <w:szCs w:val="18"/>
              </w:rPr>
              <w:t>80%/60%</w:t>
            </w:r>
          </w:p>
        </w:tc>
        <w:tc>
          <w:tcPr>
            <w:tcW w:w="1080" w:type="dxa"/>
            <w:vAlign w:val="center"/>
          </w:tcPr>
          <w:p w14:paraId="31F086A5">
            <w:pPr>
              <w:spacing w:line="310" w:lineRule="exact"/>
              <w:rPr>
                <w:rFonts w:eastAsia="新宋体"/>
                <w:bCs/>
                <w:sz w:val="18"/>
                <w:szCs w:val="18"/>
              </w:rPr>
            </w:pPr>
            <w:r>
              <w:rPr>
                <w:rFonts w:eastAsia="新宋体"/>
                <w:bCs/>
                <w:sz w:val="18"/>
                <w:szCs w:val="18"/>
              </w:rPr>
              <w:t>60%/60%</w:t>
            </w:r>
          </w:p>
        </w:tc>
        <w:tc>
          <w:tcPr>
            <w:tcW w:w="1080" w:type="dxa"/>
            <w:vAlign w:val="center"/>
          </w:tcPr>
          <w:p w14:paraId="736A31AB">
            <w:pPr>
              <w:spacing w:line="310" w:lineRule="exact"/>
              <w:rPr>
                <w:rFonts w:eastAsia="新宋体"/>
                <w:bCs/>
                <w:sz w:val="18"/>
                <w:szCs w:val="18"/>
              </w:rPr>
            </w:pPr>
            <w:r>
              <w:rPr>
                <w:rFonts w:eastAsia="新宋体"/>
                <w:bCs/>
                <w:sz w:val="18"/>
                <w:szCs w:val="18"/>
              </w:rPr>
              <w:t>80%/60%</w:t>
            </w:r>
          </w:p>
        </w:tc>
        <w:tc>
          <w:tcPr>
            <w:tcW w:w="1080" w:type="dxa"/>
            <w:vAlign w:val="center"/>
          </w:tcPr>
          <w:p w14:paraId="4C006322">
            <w:pPr>
              <w:spacing w:line="310" w:lineRule="exact"/>
              <w:rPr>
                <w:rFonts w:eastAsia="新宋体"/>
                <w:bCs/>
                <w:sz w:val="18"/>
                <w:szCs w:val="18"/>
              </w:rPr>
            </w:pPr>
            <w:r>
              <w:rPr>
                <w:rFonts w:eastAsia="新宋体"/>
                <w:bCs/>
                <w:sz w:val="18"/>
                <w:szCs w:val="18"/>
              </w:rPr>
              <w:t>80%/70%</w:t>
            </w:r>
          </w:p>
        </w:tc>
      </w:tr>
      <w:tr w14:paraId="7DD37EE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1008" w:type="dxa"/>
            <w:vAlign w:val="center"/>
          </w:tcPr>
          <w:p w14:paraId="6D6848C8">
            <w:pPr>
              <w:spacing w:line="310" w:lineRule="exact"/>
              <w:rPr>
                <w:rFonts w:eastAsia="新宋体"/>
                <w:bCs/>
                <w:sz w:val="18"/>
                <w:szCs w:val="18"/>
              </w:rPr>
            </w:pPr>
            <w:r>
              <w:rPr>
                <w:rFonts w:eastAsia="新宋体"/>
                <w:bCs/>
                <w:sz w:val="18"/>
                <w:szCs w:val="18"/>
              </w:rPr>
              <w:t>最少抵押</w:t>
            </w:r>
          </w:p>
        </w:tc>
        <w:tc>
          <w:tcPr>
            <w:tcW w:w="1080" w:type="dxa"/>
            <w:vAlign w:val="center"/>
          </w:tcPr>
          <w:p w14:paraId="54BD0489">
            <w:pPr>
              <w:spacing w:line="310" w:lineRule="exact"/>
              <w:rPr>
                <w:rFonts w:eastAsia="新宋体"/>
                <w:bCs/>
                <w:sz w:val="18"/>
                <w:szCs w:val="18"/>
              </w:rPr>
            </w:pPr>
            <w:r>
              <w:rPr>
                <w:rFonts w:eastAsia="新宋体"/>
                <w:bCs/>
                <w:sz w:val="18"/>
                <w:szCs w:val="18"/>
              </w:rPr>
              <w:t>100%</w:t>
            </w:r>
          </w:p>
        </w:tc>
        <w:tc>
          <w:tcPr>
            <w:tcW w:w="1080" w:type="dxa"/>
            <w:vAlign w:val="center"/>
          </w:tcPr>
          <w:p w14:paraId="7263DA8D">
            <w:pPr>
              <w:spacing w:line="310" w:lineRule="exact"/>
              <w:rPr>
                <w:rFonts w:eastAsia="新宋体"/>
                <w:bCs/>
                <w:sz w:val="18"/>
                <w:szCs w:val="18"/>
              </w:rPr>
            </w:pPr>
            <w:r>
              <w:rPr>
                <w:rFonts w:eastAsia="新宋体"/>
                <w:bCs/>
                <w:sz w:val="18"/>
                <w:szCs w:val="18"/>
              </w:rPr>
              <w:t>102%</w:t>
            </w:r>
          </w:p>
        </w:tc>
        <w:tc>
          <w:tcPr>
            <w:tcW w:w="1080" w:type="dxa"/>
            <w:vAlign w:val="center"/>
          </w:tcPr>
          <w:p w14:paraId="7BC44ACE">
            <w:pPr>
              <w:spacing w:line="310" w:lineRule="exact"/>
              <w:rPr>
                <w:rFonts w:eastAsia="新宋体"/>
                <w:bCs/>
                <w:sz w:val="18"/>
                <w:szCs w:val="18"/>
              </w:rPr>
            </w:pPr>
            <w:r>
              <w:rPr>
                <w:rFonts w:eastAsia="新宋体"/>
                <w:bCs/>
                <w:sz w:val="18"/>
                <w:szCs w:val="18"/>
              </w:rPr>
              <w:t>103%3</w:t>
            </w:r>
          </w:p>
        </w:tc>
        <w:tc>
          <w:tcPr>
            <w:tcW w:w="1080" w:type="dxa"/>
            <w:vAlign w:val="center"/>
          </w:tcPr>
          <w:p w14:paraId="3476BD25">
            <w:pPr>
              <w:spacing w:line="310" w:lineRule="exact"/>
              <w:rPr>
                <w:rFonts w:eastAsia="新宋体"/>
                <w:bCs/>
                <w:sz w:val="18"/>
                <w:szCs w:val="18"/>
              </w:rPr>
            </w:pPr>
            <w:r>
              <w:rPr>
                <w:rFonts w:eastAsia="新宋体"/>
                <w:bCs/>
                <w:sz w:val="18"/>
                <w:szCs w:val="18"/>
              </w:rPr>
              <w:t>110%</w:t>
            </w:r>
          </w:p>
        </w:tc>
        <w:tc>
          <w:tcPr>
            <w:tcW w:w="1080" w:type="dxa"/>
            <w:vAlign w:val="center"/>
          </w:tcPr>
          <w:p w14:paraId="4A42F51B">
            <w:pPr>
              <w:spacing w:line="310" w:lineRule="exact"/>
              <w:rPr>
                <w:rFonts w:eastAsia="新宋体"/>
                <w:bCs/>
                <w:sz w:val="18"/>
                <w:szCs w:val="18"/>
              </w:rPr>
            </w:pPr>
            <w:r>
              <w:rPr>
                <w:rFonts w:eastAsia="新宋体"/>
                <w:bCs/>
                <w:sz w:val="18"/>
                <w:szCs w:val="18"/>
              </w:rPr>
              <w:t>100%</w:t>
            </w:r>
          </w:p>
        </w:tc>
        <w:tc>
          <w:tcPr>
            <w:tcW w:w="1080" w:type="dxa"/>
            <w:vAlign w:val="center"/>
          </w:tcPr>
          <w:p w14:paraId="05C1DD49">
            <w:pPr>
              <w:spacing w:line="310" w:lineRule="exact"/>
              <w:rPr>
                <w:rFonts w:eastAsia="新宋体"/>
                <w:bCs/>
                <w:sz w:val="18"/>
                <w:szCs w:val="18"/>
              </w:rPr>
            </w:pPr>
            <w:r>
              <w:rPr>
                <w:rFonts w:eastAsia="新宋体"/>
                <w:bCs/>
                <w:sz w:val="18"/>
                <w:szCs w:val="18"/>
              </w:rPr>
              <w:t>105%</w:t>
            </w:r>
          </w:p>
        </w:tc>
        <w:tc>
          <w:tcPr>
            <w:tcW w:w="1080" w:type="dxa"/>
            <w:vAlign w:val="center"/>
          </w:tcPr>
          <w:p w14:paraId="7952F024">
            <w:pPr>
              <w:spacing w:line="310" w:lineRule="exact"/>
              <w:rPr>
                <w:rFonts w:eastAsia="新宋体"/>
                <w:bCs/>
                <w:sz w:val="18"/>
                <w:szCs w:val="18"/>
              </w:rPr>
            </w:pPr>
            <w:r>
              <w:rPr>
                <w:rFonts w:eastAsia="新宋体"/>
                <w:bCs/>
                <w:sz w:val="18"/>
                <w:szCs w:val="18"/>
              </w:rPr>
              <w:t>111%4</w:t>
            </w:r>
          </w:p>
        </w:tc>
      </w:tr>
      <w:tr w14:paraId="7EC73D7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008" w:type="dxa"/>
            <w:vAlign w:val="center"/>
          </w:tcPr>
          <w:p w14:paraId="35B7437F">
            <w:pPr>
              <w:spacing w:line="310" w:lineRule="exact"/>
              <w:rPr>
                <w:rFonts w:eastAsia="新宋体"/>
                <w:bCs/>
                <w:sz w:val="18"/>
                <w:szCs w:val="18"/>
              </w:rPr>
            </w:pPr>
            <w:r>
              <w:rPr>
                <w:rFonts w:eastAsia="新宋体"/>
                <w:bCs/>
                <w:sz w:val="18"/>
                <w:szCs w:val="18"/>
              </w:rPr>
              <w:t>对冲保护5</w:t>
            </w:r>
          </w:p>
        </w:tc>
        <w:tc>
          <w:tcPr>
            <w:tcW w:w="1080" w:type="dxa"/>
            <w:vAlign w:val="center"/>
          </w:tcPr>
          <w:p w14:paraId="52A53D2C">
            <w:pPr>
              <w:spacing w:line="310" w:lineRule="exact"/>
              <w:rPr>
                <w:rFonts w:eastAsia="新宋体"/>
                <w:bCs/>
                <w:sz w:val="18"/>
                <w:szCs w:val="18"/>
              </w:rPr>
            </w:pPr>
            <w:r>
              <w:rPr>
                <w:rFonts w:eastAsia="新宋体"/>
                <w:bCs/>
                <w:sz w:val="18"/>
                <w:szCs w:val="18"/>
              </w:rPr>
              <w:t>有</w:t>
            </w:r>
          </w:p>
        </w:tc>
        <w:tc>
          <w:tcPr>
            <w:tcW w:w="1080" w:type="dxa"/>
            <w:vAlign w:val="center"/>
          </w:tcPr>
          <w:p w14:paraId="28289940">
            <w:pPr>
              <w:spacing w:line="310" w:lineRule="exact"/>
              <w:rPr>
                <w:rFonts w:eastAsia="新宋体"/>
                <w:bCs/>
                <w:sz w:val="18"/>
                <w:szCs w:val="18"/>
              </w:rPr>
            </w:pPr>
            <w:r>
              <w:rPr>
                <w:rFonts w:eastAsia="新宋体"/>
                <w:bCs/>
                <w:sz w:val="18"/>
                <w:szCs w:val="18"/>
              </w:rPr>
              <w:t>最多占抵押资产的12%</w:t>
            </w:r>
          </w:p>
        </w:tc>
        <w:tc>
          <w:tcPr>
            <w:tcW w:w="1080" w:type="dxa"/>
            <w:vAlign w:val="center"/>
          </w:tcPr>
          <w:p w14:paraId="388C050A">
            <w:pPr>
              <w:spacing w:line="310" w:lineRule="exact"/>
              <w:rPr>
                <w:rFonts w:eastAsia="新宋体"/>
                <w:bCs/>
                <w:sz w:val="18"/>
                <w:szCs w:val="18"/>
              </w:rPr>
            </w:pPr>
            <w:r>
              <w:rPr>
                <w:rFonts w:eastAsia="新宋体"/>
                <w:bCs/>
                <w:sz w:val="18"/>
                <w:szCs w:val="18"/>
              </w:rPr>
              <w:t>有</w:t>
            </w:r>
          </w:p>
        </w:tc>
        <w:tc>
          <w:tcPr>
            <w:tcW w:w="1080" w:type="dxa"/>
            <w:vAlign w:val="center"/>
          </w:tcPr>
          <w:p w14:paraId="6EAA33D6">
            <w:pPr>
              <w:spacing w:line="310" w:lineRule="exact"/>
              <w:rPr>
                <w:rFonts w:eastAsia="新宋体"/>
                <w:bCs/>
                <w:sz w:val="18"/>
                <w:szCs w:val="18"/>
              </w:rPr>
            </w:pPr>
            <w:r>
              <w:rPr>
                <w:rFonts w:eastAsia="新宋体"/>
                <w:bCs/>
                <w:sz w:val="18"/>
                <w:szCs w:val="18"/>
              </w:rPr>
              <w:t>有</w:t>
            </w:r>
          </w:p>
        </w:tc>
        <w:tc>
          <w:tcPr>
            <w:tcW w:w="1080" w:type="dxa"/>
            <w:vAlign w:val="center"/>
          </w:tcPr>
          <w:p w14:paraId="12938577">
            <w:pPr>
              <w:spacing w:line="310" w:lineRule="exact"/>
              <w:rPr>
                <w:rFonts w:eastAsia="新宋体"/>
                <w:bCs/>
                <w:sz w:val="18"/>
                <w:szCs w:val="18"/>
              </w:rPr>
            </w:pPr>
            <w:r>
              <w:rPr>
                <w:rFonts w:eastAsia="新宋体"/>
                <w:bCs/>
                <w:sz w:val="18"/>
                <w:szCs w:val="18"/>
              </w:rPr>
              <w:t>有</w:t>
            </w:r>
          </w:p>
        </w:tc>
        <w:tc>
          <w:tcPr>
            <w:tcW w:w="1080" w:type="dxa"/>
            <w:vAlign w:val="center"/>
          </w:tcPr>
          <w:p w14:paraId="4073EF49">
            <w:pPr>
              <w:spacing w:line="310" w:lineRule="exact"/>
              <w:rPr>
                <w:rFonts w:eastAsia="新宋体"/>
                <w:bCs/>
                <w:sz w:val="18"/>
                <w:szCs w:val="18"/>
              </w:rPr>
            </w:pPr>
            <w:r>
              <w:rPr>
                <w:rFonts w:eastAsia="新宋体"/>
                <w:bCs/>
                <w:sz w:val="18"/>
                <w:szCs w:val="18"/>
              </w:rPr>
              <w:t>有</w:t>
            </w:r>
          </w:p>
        </w:tc>
        <w:tc>
          <w:tcPr>
            <w:tcW w:w="1080" w:type="dxa"/>
            <w:vAlign w:val="center"/>
          </w:tcPr>
          <w:p w14:paraId="3AAFA12E">
            <w:pPr>
              <w:spacing w:line="310" w:lineRule="exact"/>
              <w:rPr>
                <w:rFonts w:eastAsia="新宋体"/>
                <w:bCs/>
                <w:sz w:val="18"/>
                <w:szCs w:val="18"/>
              </w:rPr>
            </w:pPr>
            <w:r>
              <w:rPr>
                <w:rFonts w:eastAsia="新宋体"/>
                <w:bCs/>
                <w:sz w:val="18"/>
                <w:szCs w:val="18"/>
              </w:rPr>
              <w:t>没有</w:t>
            </w:r>
          </w:p>
        </w:tc>
      </w:tr>
      <w:tr w14:paraId="2984BC4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7" w:hRule="atLeast"/>
        </w:trPr>
        <w:tc>
          <w:tcPr>
            <w:tcW w:w="1008" w:type="dxa"/>
            <w:vAlign w:val="center"/>
          </w:tcPr>
          <w:p w14:paraId="3C8F1E88">
            <w:pPr>
              <w:spacing w:line="310" w:lineRule="exact"/>
              <w:rPr>
                <w:rFonts w:eastAsia="新宋体"/>
                <w:bCs/>
                <w:sz w:val="18"/>
                <w:szCs w:val="18"/>
              </w:rPr>
            </w:pPr>
            <w:r>
              <w:rPr>
                <w:rFonts w:eastAsia="新宋体"/>
                <w:bCs/>
                <w:sz w:val="18"/>
                <w:szCs w:val="18"/>
              </w:rPr>
              <w:t>资产池独立监督人</w:t>
            </w:r>
          </w:p>
        </w:tc>
        <w:tc>
          <w:tcPr>
            <w:tcW w:w="1080" w:type="dxa"/>
            <w:vAlign w:val="center"/>
          </w:tcPr>
          <w:p w14:paraId="599328BD">
            <w:pPr>
              <w:spacing w:line="310" w:lineRule="exact"/>
              <w:rPr>
                <w:rFonts w:eastAsia="新宋体"/>
                <w:bCs/>
                <w:sz w:val="18"/>
                <w:szCs w:val="18"/>
              </w:rPr>
            </w:pPr>
            <w:r>
              <w:rPr>
                <w:rFonts w:eastAsia="新宋体"/>
                <w:bCs/>
                <w:sz w:val="18"/>
                <w:szCs w:val="18"/>
              </w:rPr>
              <w:t>监管机构指定的托管人</w:t>
            </w:r>
          </w:p>
        </w:tc>
        <w:tc>
          <w:tcPr>
            <w:tcW w:w="1080" w:type="dxa"/>
            <w:vAlign w:val="center"/>
          </w:tcPr>
          <w:p w14:paraId="7D8EB29F">
            <w:pPr>
              <w:spacing w:line="310" w:lineRule="exact"/>
              <w:rPr>
                <w:rFonts w:eastAsia="新宋体"/>
                <w:bCs/>
                <w:sz w:val="18"/>
                <w:szCs w:val="18"/>
              </w:rPr>
            </w:pPr>
            <w:r>
              <w:rPr>
                <w:rFonts w:eastAsia="新宋体"/>
                <w:bCs/>
                <w:sz w:val="18"/>
                <w:szCs w:val="18"/>
              </w:rPr>
              <w:t>监管机构指定的托管人</w:t>
            </w:r>
          </w:p>
        </w:tc>
        <w:tc>
          <w:tcPr>
            <w:tcW w:w="1080" w:type="dxa"/>
            <w:vAlign w:val="center"/>
          </w:tcPr>
          <w:p w14:paraId="66678767">
            <w:pPr>
              <w:spacing w:line="310" w:lineRule="exact"/>
              <w:rPr>
                <w:rFonts w:eastAsia="新宋体"/>
                <w:bCs/>
                <w:sz w:val="18"/>
                <w:szCs w:val="18"/>
              </w:rPr>
            </w:pPr>
            <w:r>
              <w:rPr>
                <w:rFonts w:eastAsia="新宋体"/>
                <w:bCs/>
                <w:sz w:val="18"/>
                <w:szCs w:val="18"/>
              </w:rPr>
              <w:t>发行人指定且监管机构批准的托管人</w:t>
            </w:r>
          </w:p>
        </w:tc>
        <w:tc>
          <w:tcPr>
            <w:tcW w:w="1080" w:type="dxa"/>
            <w:vAlign w:val="center"/>
          </w:tcPr>
          <w:p w14:paraId="2CC26E2F">
            <w:pPr>
              <w:spacing w:line="310" w:lineRule="exact"/>
              <w:rPr>
                <w:rFonts w:eastAsia="新宋体"/>
                <w:bCs/>
                <w:sz w:val="18"/>
                <w:szCs w:val="18"/>
              </w:rPr>
            </w:pPr>
            <w:r>
              <w:rPr>
                <w:rFonts w:eastAsia="新宋体"/>
                <w:bCs/>
                <w:sz w:val="18"/>
                <w:szCs w:val="18"/>
              </w:rPr>
              <w:t>意大利央行特殊监督</w:t>
            </w:r>
          </w:p>
        </w:tc>
        <w:tc>
          <w:tcPr>
            <w:tcW w:w="1080" w:type="dxa"/>
            <w:vAlign w:val="center"/>
          </w:tcPr>
          <w:p w14:paraId="3A09CCE7">
            <w:pPr>
              <w:spacing w:line="310" w:lineRule="exact"/>
              <w:rPr>
                <w:rFonts w:eastAsia="新宋体"/>
                <w:bCs/>
                <w:sz w:val="18"/>
                <w:szCs w:val="18"/>
              </w:rPr>
            </w:pPr>
            <w:r>
              <w:rPr>
                <w:rFonts w:eastAsia="新宋体"/>
                <w:bCs/>
                <w:sz w:val="18"/>
                <w:szCs w:val="18"/>
              </w:rPr>
              <w:t>发行人指定且监管机构批准的托管人</w:t>
            </w:r>
          </w:p>
        </w:tc>
        <w:tc>
          <w:tcPr>
            <w:tcW w:w="1080" w:type="dxa"/>
            <w:vAlign w:val="center"/>
          </w:tcPr>
          <w:p w14:paraId="25068CDE">
            <w:pPr>
              <w:spacing w:line="310" w:lineRule="exact"/>
              <w:rPr>
                <w:rFonts w:eastAsia="新宋体"/>
                <w:bCs/>
                <w:sz w:val="18"/>
                <w:szCs w:val="18"/>
              </w:rPr>
            </w:pPr>
            <w:r>
              <w:rPr>
                <w:rFonts w:eastAsia="新宋体"/>
                <w:bCs/>
                <w:sz w:val="18"/>
                <w:szCs w:val="18"/>
              </w:rPr>
              <w:t>发行人指定且在监管机构注册的审计机构</w:t>
            </w:r>
          </w:p>
        </w:tc>
        <w:tc>
          <w:tcPr>
            <w:tcW w:w="1080" w:type="dxa"/>
            <w:vAlign w:val="center"/>
          </w:tcPr>
          <w:p w14:paraId="0756D70D">
            <w:pPr>
              <w:spacing w:line="310" w:lineRule="exact"/>
              <w:rPr>
                <w:rFonts w:eastAsia="新宋体"/>
                <w:bCs/>
                <w:sz w:val="18"/>
                <w:szCs w:val="18"/>
              </w:rPr>
            </w:pPr>
            <w:r>
              <w:rPr>
                <w:rFonts w:eastAsia="新宋体"/>
                <w:bCs/>
                <w:sz w:val="18"/>
                <w:szCs w:val="18"/>
              </w:rPr>
              <w:t>没有</w:t>
            </w:r>
          </w:p>
        </w:tc>
      </w:tr>
      <w:tr w14:paraId="166D3B3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5" w:hRule="atLeast"/>
        </w:trPr>
        <w:tc>
          <w:tcPr>
            <w:tcW w:w="1008" w:type="dxa"/>
            <w:vAlign w:val="center"/>
          </w:tcPr>
          <w:p w14:paraId="6436DBBC">
            <w:pPr>
              <w:spacing w:line="310" w:lineRule="exact"/>
              <w:rPr>
                <w:rFonts w:eastAsia="新宋体"/>
                <w:bCs/>
                <w:sz w:val="18"/>
                <w:szCs w:val="18"/>
              </w:rPr>
            </w:pPr>
            <w:r>
              <w:rPr>
                <w:rFonts w:eastAsia="新宋体"/>
                <w:bCs/>
                <w:sz w:val="18"/>
                <w:szCs w:val="18"/>
              </w:rPr>
              <w:t>资产池破产隔离</w:t>
            </w:r>
          </w:p>
        </w:tc>
        <w:tc>
          <w:tcPr>
            <w:tcW w:w="1080" w:type="dxa"/>
            <w:vAlign w:val="center"/>
          </w:tcPr>
          <w:p w14:paraId="27989823">
            <w:pPr>
              <w:spacing w:line="310" w:lineRule="exact"/>
              <w:rPr>
                <w:rFonts w:eastAsia="新宋体"/>
                <w:bCs/>
                <w:sz w:val="18"/>
                <w:szCs w:val="18"/>
              </w:rPr>
            </w:pPr>
            <w:r>
              <w:rPr>
                <w:rFonts w:eastAsia="新宋体"/>
                <w:bCs/>
                <w:sz w:val="18"/>
                <w:szCs w:val="18"/>
              </w:rPr>
              <w:t>一旦破产担保资产就被隔离</w:t>
            </w:r>
          </w:p>
        </w:tc>
        <w:tc>
          <w:tcPr>
            <w:tcW w:w="1080" w:type="dxa"/>
            <w:vAlign w:val="center"/>
          </w:tcPr>
          <w:p w14:paraId="24112C37">
            <w:pPr>
              <w:spacing w:line="310" w:lineRule="exact"/>
              <w:rPr>
                <w:rFonts w:eastAsia="新宋体"/>
                <w:bCs/>
                <w:sz w:val="18"/>
                <w:szCs w:val="18"/>
              </w:rPr>
            </w:pPr>
            <w:r>
              <w:rPr>
                <w:rFonts w:eastAsia="新宋体"/>
                <w:bCs/>
                <w:sz w:val="18"/>
                <w:szCs w:val="18"/>
              </w:rPr>
              <w:t>一旦破产担保资产就被隔离</w:t>
            </w:r>
          </w:p>
        </w:tc>
        <w:tc>
          <w:tcPr>
            <w:tcW w:w="1080" w:type="dxa"/>
            <w:vAlign w:val="center"/>
          </w:tcPr>
          <w:p w14:paraId="41DA07FB">
            <w:pPr>
              <w:spacing w:line="310" w:lineRule="exact"/>
              <w:rPr>
                <w:rFonts w:eastAsia="新宋体"/>
                <w:bCs/>
                <w:sz w:val="18"/>
                <w:szCs w:val="18"/>
              </w:rPr>
            </w:pPr>
            <w:r>
              <w:rPr>
                <w:rFonts w:eastAsia="新宋体"/>
                <w:bCs/>
                <w:sz w:val="18"/>
                <w:szCs w:val="18"/>
              </w:rPr>
              <w:t>一旦破产担保资产就被隔离</w:t>
            </w:r>
          </w:p>
        </w:tc>
        <w:tc>
          <w:tcPr>
            <w:tcW w:w="1080" w:type="dxa"/>
            <w:vAlign w:val="center"/>
          </w:tcPr>
          <w:p w14:paraId="64710564">
            <w:pPr>
              <w:spacing w:line="310" w:lineRule="exact"/>
              <w:rPr>
                <w:rFonts w:eastAsia="新宋体"/>
                <w:bCs/>
                <w:sz w:val="18"/>
                <w:szCs w:val="18"/>
              </w:rPr>
            </w:pPr>
            <w:r>
              <w:rPr>
                <w:rFonts w:eastAsia="新宋体"/>
                <w:bCs/>
                <w:sz w:val="18"/>
                <w:szCs w:val="18"/>
              </w:rPr>
              <w:t>特殊实体隔离</w:t>
            </w:r>
          </w:p>
        </w:tc>
        <w:tc>
          <w:tcPr>
            <w:tcW w:w="1080" w:type="dxa"/>
            <w:vAlign w:val="center"/>
          </w:tcPr>
          <w:p w14:paraId="5EE8CC08">
            <w:pPr>
              <w:spacing w:line="310" w:lineRule="exact"/>
              <w:rPr>
                <w:rFonts w:eastAsia="新宋体"/>
                <w:bCs/>
                <w:sz w:val="18"/>
                <w:szCs w:val="18"/>
              </w:rPr>
            </w:pPr>
            <w:r>
              <w:rPr>
                <w:rFonts w:eastAsia="新宋体"/>
                <w:bCs/>
                <w:sz w:val="18"/>
                <w:szCs w:val="18"/>
              </w:rPr>
              <w:t>一旦破产担保资产就被隔离</w:t>
            </w:r>
          </w:p>
        </w:tc>
        <w:tc>
          <w:tcPr>
            <w:tcW w:w="1080" w:type="dxa"/>
            <w:vAlign w:val="center"/>
          </w:tcPr>
          <w:p w14:paraId="23E82EAB">
            <w:pPr>
              <w:spacing w:line="310" w:lineRule="exact"/>
              <w:rPr>
                <w:rFonts w:eastAsia="新宋体"/>
                <w:bCs/>
                <w:sz w:val="18"/>
                <w:szCs w:val="18"/>
              </w:rPr>
            </w:pPr>
            <w:r>
              <w:rPr>
                <w:rFonts w:eastAsia="新宋体"/>
                <w:bCs/>
                <w:sz w:val="18"/>
                <w:szCs w:val="18"/>
              </w:rPr>
              <w:t>一旦破产担保资产就被隔离</w:t>
            </w:r>
          </w:p>
        </w:tc>
        <w:tc>
          <w:tcPr>
            <w:tcW w:w="1080" w:type="dxa"/>
            <w:vAlign w:val="center"/>
          </w:tcPr>
          <w:p w14:paraId="1D530ED8">
            <w:pPr>
              <w:spacing w:line="310" w:lineRule="exact"/>
              <w:rPr>
                <w:rFonts w:eastAsia="新宋体"/>
                <w:bCs/>
                <w:sz w:val="18"/>
                <w:szCs w:val="18"/>
              </w:rPr>
            </w:pPr>
            <w:r>
              <w:rPr>
                <w:rFonts w:eastAsia="新宋体"/>
                <w:bCs/>
                <w:sz w:val="18"/>
                <w:szCs w:val="18"/>
              </w:rPr>
              <w:t>没有,但对资产负债表上的合格资产有优先权</w:t>
            </w:r>
          </w:p>
        </w:tc>
      </w:tr>
    </w:tbl>
    <w:p w14:paraId="7784FF59">
      <w:pPr>
        <w:rPr>
          <w:bCs/>
          <w:kern w:val="0"/>
          <w:sz w:val="18"/>
          <w:szCs w:val="18"/>
        </w:rPr>
      </w:pPr>
      <w:r>
        <w:rPr>
          <w:bCs/>
          <w:kern w:val="0"/>
          <w:sz w:val="18"/>
          <w:szCs w:val="18"/>
        </w:rPr>
        <w:t>注：1.资产池的主要组成，m指抵押贷款，p指公共部门贷款；2.住宅/商业抵押贷款；3.在提议修改后；4.公共部门贷款资产为142%；5.在发起人银行破产后，对冲工具的保护。</w:t>
      </w:r>
    </w:p>
    <w:p w14:paraId="4444E1C8">
      <w:pPr>
        <w:spacing w:after="312" w:afterLines="100"/>
        <w:rPr>
          <w:bCs/>
          <w:kern w:val="0"/>
          <w:sz w:val="18"/>
          <w:szCs w:val="18"/>
        </w:rPr>
      </w:pPr>
      <w:r>
        <w:rPr>
          <w:bCs/>
          <w:kern w:val="0"/>
          <w:sz w:val="18"/>
          <w:szCs w:val="18"/>
        </w:rPr>
        <w:t>资料来源: Barclays (2007); Deutsche Bank （德意志银行）(2007)</w:t>
      </w:r>
    </w:p>
    <w:p w14:paraId="775F8B4F">
      <w:pPr>
        <w:spacing w:line="440" w:lineRule="exact"/>
      </w:pPr>
      <w:r>
        <w:t xml:space="preserve">     </w:t>
      </w:r>
      <w:r>
        <w:rPr>
          <w:kern w:val="0"/>
          <w:sz w:val="24"/>
        </w:rPr>
        <w:t>综上，全覆盖债券增信是通过法律和产品设计将增信方式嵌入产品之中，通过严格规定合格抵押资产、覆盖比例要求、抵押资产监管、破产保护等各个环节对投资者的权益进行最大程度的保障，以达到增信的本质要求。</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新宋体">
    <w:panose1 w:val="02010609030101010101"/>
    <w:charset w:val="86"/>
    <w:family w:val="modern"/>
    <w:pitch w:val="default"/>
    <w:sig w:usb0="00000203" w:usb1="288F0000" w:usb2="0000000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pPr>
        <w:spacing w:line="240" w:lineRule="auto"/>
      </w:pPr>
      <w:r>
        <w:separator/>
      </w:r>
    </w:p>
  </w:footnote>
  <w:footnote w:type="continuationSeparator" w:id="5">
    <w:p>
      <w:pPr>
        <w:spacing w:line="240" w:lineRule="auto"/>
      </w:pPr>
      <w:r>
        <w:continuationSeparator/>
      </w:r>
    </w:p>
  </w:footnote>
  <w:footnote w:id="0">
    <w:p w14:paraId="6D71A6C7">
      <w:pPr>
        <w:pStyle w:val="13"/>
        <w:rPr>
          <w:rFonts w:hint="eastAsia"/>
        </w:rPr>
      </w:pPr>
      <w:r>
        <w:rPr>
          <w:rStyle w:val="17"/>
        </w:rPr>
        <w:footnoteRef/>
      </w:r>
      <w:r>
        <w:t xml:space="preserve"> </w:t>
      </w:r>
      <w:r>
        <w:rPr>
          <w:rFonts w:hint="eastAsia"/>
        </w:rPr>
        <w:t xml:space="preserve"> </w:t>
      </w:r>
      <w:r>
        <w:rPr>
          <w:rFonts w:hint="eastAsia" w:eastAsia="新宋体"/>
        </w:rPr>
        <w:t>巴曙松，孙隆新，周沅帆. 全覆盖债券的国际经验及中国的现实选择[M]，北京：经济科学出版社，2010，25-29.</w:t>
      </w:r>
    </w:p>
  </w:footnote>
  <w:footnote w:id="1">
    <w:p w14:paraId="3C1816FB">
      <w:pPr>
        <w:pStyle w:val="13"/>
        <w:rPr>
          <w:rFonts w:hint="eastAsia"/>
        </w:rPr>
      </w:pPr>
      <w:r>
        <w:rPr>
          <w:rStyle w:val="17"/>
        </w:rPr>
        <w:footnoteRef/>
      </w:r>
      <w:r>
        <w:t xml:space="preserve"> </w:t>
      </w:r>
      <w:r>
        <w:rPr>
          <w:rFonts w:hint="eastAsia"/>
        </w:rPr>
        <w:t xml:space="preserve"> </w:t>
      </w:r>
      <w:r>
        <w:rPr>
          <w:rFonts w:hint="eastAsia" w:eastAsia="新宋体"/>
        </w:rPr>
        <w:t>巴曙松，孙隆新，周沅帆. 全覆盖债券的国际经验及中国的现实选择[M]，北京：经济科学出版社，2010，29-31.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4"/>
    <w:footnote w:id="5"/>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27750"/>
    <w:rsid w:val="003C7272"/>
    <w:rsid w:val="00927750"/>
    <w:rsid w:val="00C07F05"/>
    <w:rsid w:val="00C7398C"/>
    <w:rsid w:val="00F900CB"/>
    <w:rsid w:val="240636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uiPriority="99" w:name="header"/>
    <w:lsdException w:uiPriority="99"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366091"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366091"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366091"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366091"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366091" w:themeColor="accent1" w:themeShade="BF"/>
      <w:sz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366091"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85858" w:themeColor="text1" w:themeTint="A6"/>
    </w:rPr>
  </w:style>
  <w:style w:type="paragraph" w:styleId="9">
    <w:name w:val="heading 8"/>
    <w:basedOn w:val="1"/>
    <w:next w:val="1"/>
    <w:link w:val="25"/>
    <w:semiHidden/>
    <w:unhideWhenUsed/>
    <w:qFormat/>
    <w:uiPriority w:val="9"/>
    <w:pPr>
      <w:keepNext/>
      <w:keepLines/>
      <w:outlineLvl w:val="7"/>
    </w:pPr>
    <w:rPr>
      <w:rFonts w:cstheme="majorBidi"/>
      <w:color w:val="585858" w:themeColor="text1" w:themeTint="A6"/>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85858" w:themeColor="text1" w:themeTint="A6"/>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qFormat/>
    <w:uiPriority w:val="0"/>
    <w:rPr>
      <w:rFonts w:ascii="Arial" w:hAnsi="Arial" w:eastAsia="黑体" w:cs="Arial"/>
      <w:sz w:val="20"/>
      <w:szCs w:val="20"/>
    </w:rPr>
  </w:style>
  <w:style w:type="paragraph" w:styleId="12">
    <w:name w:val="Subtitle"/>
    <w:basedOn w:val="1"/>
    <w:next w:val="1"/>
    <w:link w:val="28"/>
    <w:qFormat/>
    <w:uiPriority w:val="11"/>
    <w:pPr>
      <w:spacing w:after="160"/>
      <w:jc w:val="center"/>
    </w:pPr>
    <w:rPr>
      <w:rFonts w:asciiTheme="majorHAnsi" w:hAnsiTheme="majorHAnsi" w:eastAsiaTheme="majorEastAsia" w:cstheme="majorBidi"/>
      <w:color w:val="585858" w:themeColor="text1" w:themeTint="A6"/>
      <w:spacing w:val="15"/>
      <w:sz w:val="28"/>
      <w:szCs w:val="28"/>
    </w:rPr>
  </w:style>
  <w:style w:type="paragraph" w:styleId="13">
    <w:name w:val="footnote text"/>
    <w:basedOn w:val="1"/>
    <w:link w:val="37"/>
    <w:semiHidden/>
    <w:qFormat/>
    <w:uiPriority w:val="0"/>
    <w:pPr>
      <w:snapToGrid w:val="0"/>
      <w:jc w:val="left"/>
    </w:pPr>
    <w:rPr>
      <w:sz w:val="18"/>
      <w:szCs w:val="18"/>
    </w:rPr>
  </w:style>
  <w:style w:type="paragraph" w:styleId="14">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17">
    <w:name w:val="footnote reference"/>
    <w:semiHidden/>
    <w:qFormat/>
    <w:uiPriority w:val="0"/>
    <w:rPr>
      <w:vertAlign w:val="superscript"/>
    </w:rPr>
  </w:style>
  <w:style w:type="character" w:customStyle="1" w:styleId="18">
    <w:name w:val="标题 1 字符"/>
    <w:basedOn w:val="16"/>
    <w:link w:val="2"/>
    <w:qFormat/>
    <w:uiPriority w:val="9"/>
    <w:rPr>
      <w:rFonts w:asciiTheme="majorHAnsi" w:hAnsiTheme="majorHAnsi" w:eastAsiaTheme="majorEastAsia" w:cstheme="majorBidi"/>
      <w:color w:val="366091" w:themeColor="accent1" w:themeShade="BF"/>
      <w:sz w:val="48"/>
      <w:szCs w:val="48"/>
    </w:rPr>
  </w:style>
  <w:style w:type="character" w:customStyle="1" w:styleId="19">
    <w:name w:val="标题 2 字符"/>
    <w:basedOn w:val="16"/>
    <w:link w:val="3"/>
    <w:semiHidden/>
    <w:qFormat/>
    <w:uiPriority w:val="9"/>
    <w:rPr>
      <w:rFonts w:asciiTheme="majorHAnsi" w:hAnsiTheme="majorHAnsi" w:eastAsiaTheme="majorEastAsia" w:cstheme="majorBidi"/>
      <w:color w:val="366091" w:themeColor="accent1" w:themeShade="BF"/>
      <w:sz w:val="40"/>
      <w:szCs w:val="40"/>
    </w:rPr>
  </w:style>
  <w:style w:type="character" w:customStyle="1" w:styleId="20">
    <w:name w:val="标题 3 字符"/>
    <w:basedOn w:val="16"/>
    <w:link w:val="4"/>
    <w:semiHidden/>
    <w:qFormat/>
    <w:uiPriority w:val="9"/>
    <w:rPr>
      <w:rFonts w:asciiTheme="majorHAnsi" w:hAnsiTheme="majorHAnsi" w:eastAsiaTheme="majorEastAsia" w:cstheme="majorBidi"/>
      <w:color w:val="366091" w:themeColor="accent1" w:themeShade="BF"/>
      <w:sz w:val="32"/>
      <w:szCs w:val="32"/>
    </w:rPr>
  </w:style>
  <w:style w:type="character" w:customStyle="1" w:styleId="21">
    <w:name w:val="标题 4 字符"/>
    <w:basedOn w:val="16"/>
    <w:link w:val="5"/>
    <w:semiHidden/>
    <w:qFormat/>
    <w:uiPriority w:val="9"/>
    <w:rPr>
      <w:rFonts w:cstheme="majorBidi"/>
      <w:color w:val="366091" w:themeColor="accent1" w:themeShade="BF"/>
      <w:sz w:val="28"/>
      <w:szCs w:val="28"/>
    </w:rPr>
  </w:style>
  <w:style w:type="character" w:customStyle="1" w:styleId="22">
    <w:name w:val="标题 5 字符"/>
    <w:basedOn w:val="16"/>
    <w:link w:val="6"/>
    <w:semiHidden/>
    <w:qFormat/>
    <w:uiPriority w:val="9"/>
    <w:rPr>
      <w:rFonts w:cstheme="majorBidi"/>
      <w:color w:val="366091" w:themeColor="accent1" w:themeShade="BF"/>
      <w:sz w:val="24"/>
      <w:szCs w:val="24"/>
    </w:rPr>
  </w:style>
  <w:style w:type="character" w:customStyle="1" w:styleId="23">
    <w:name w:val="标题 6 字符"/>
    <w:basedOn w:val="16"/>
    <w:link w:val="7"/>
    <w:semiHidden/>
    <w:qFormat/>
    <w:uiPriority w:val="9"/>
    <w:rPr>
      <w:rFonts w:cstheme="majorBidi"/>
      <w:b/>
      <w:bCs/>
      <w:color w:val="366091" w:themeColor="accent1" w:themeShade="BF"/>
    </w:rPr>
  </w:style>
  <w:style w:type="character" w:customStyle="1" w:styleId="24">
    <w:name w:val="标题 7 字符"/>
    <w:basedOn w:val="16"/>
    <w:link w:val="8"/>
    <w:semiHidden/>
    <w:qFormat/>
    <w:uiPriority w:val="9"/>
    <w:rPr>
      <w:rFonts w:cstheme="majorBidi"/>
      <w:b/>
      <w:bCs/>
      <w:color w:val="585858" w:themeColor="text1" w:themeTint="A6"/>
    </w:rPr>
  </w:style>
  <w:style w:type="character" w:customStyle="1" w:styleId="25">
    <w:name w:val="标题 8 字符"/>
    <w:basedOn w:val="16"/>
    <w:link w:val="9"/>
    <w:semiHidden/>
    <w:qFormat/>
    <w:uiPriority w:val="9"/>
    <w:rPr>
      <w:rFonts w:cstheme="majorBidi"/>
      <w:color w:val="585858" w:themeColor="text1" w:themeTint="A6"/>
    </w:rPr>
  </w:style>
  <w:style w:type="character" w:customStyle="1" w:styleId="26">
    <w:name w:val="标题 9 字符"/>
    <w:basedOn w:val="16"/>
    <w:link w:val="10"/>
    <w:semiHidden/>
    <w:qFormat/>
    <w:uiPriority w:val="9"/>
    <w:rPr>
      <w:rFonts w:eastAsiaTheme="majorEastAsia" w:cstheme="majorBidi"/>
      <w:color w:val="585858" w:themeColor="text1" w:themeTint="A6"/>
    </w:rPr>
  </w:style>
  <w:style w:type="character" w:customStyle="1" w:styleId="27">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6"/>
    <w:link w:val="12"/>
    <w:qFormat/>
    <w:uiPriority w:val="11"/>
    <w:rPr>
      <w:rFonts w:asciiTheme="majorHAnsi" w:hAnsiTheme="majorHAnsi" w:eastAsiaTheme="majorEastAsia" w:cstheme="majorBidi"/>
      <w:color w:val="585858" w:themeColor="text1" w:themeTint="A6"/>
      <w:spacing w:val="15"/>
      <w:sz w:val="28"/>
      <w:szCs w:val="28"/>
    </w:rPr>
  </w:style>
  <w:style w:type="paragraph" w:styleId="29">
    <w:name w:val="Quote"/>
    <w:basedOn w:val="1"/>
    <w:next w:val="1"/>
    <w:link w:val="30"/>
    <w:qFormat/>
    <w:uiPriority w:val="29"/>
    <w:pPr>
      <w:spacing w:before="160" w:after="160"/>
      <w:jc w:val="center"/>
    </w:pPr>
    <w:rPr>
      <w:i/>
      <w:iCs/>
      <w:color w:val="3F3F3F" w:themeColor="text1" w:themeTint="BF"/>
    </w:rPr>
  </w:style>
  <w:style w:type="character" w:customStyle="1" w:styleId="30">
    <w:name w:val="引用 字符"/>
    <w:basedOn w:val="16"/>
    <w:link w:val="29"/>
    <w:qFormat/>
    <w:uiPriority w:val="29"/>
    <w:rPr>
      <w:i/>
      <w:iCs/>
      <w:color w:val="3F3F3F" w:themeColor="text1" w:themeTint="BF"/>
    </w:rPr>
  </w:style>
  <w:style w:type="paragraph" w:styleId="31">
    <w:name w:val="List Paragraph"/>
    <w:basedOn w:val="1"/>
    <w:qFormat/>
    <w:uiPriority w:val="34"/>
    <w:pPr>
      <w:ind w:left="720"/>
      <w:contextualSpacing/>
    </w:pPr>
  </w:style>
  <w:style w:type="character" w:customStyle="1" w:styleId="32">
    <w:name w:val="Intense Emphasis"/>
    <w:basedOn w:val="16"/>
    <w:qFormat/>
    <w:uiPriority w:val="21"/>
    <w:rPr>
      <w:i/>
      <w:iCs/>
      <w:color w:val="366091" w:themeColor="accent1" w:themeShade="BF"/>
    </w:rPr>
  </w:style>
  <w:style w:type="paragraph" w:styleId="33">
    <w:name w:val="Intense Quote"/>
    <w:basedOn w:val="1"/>
    <w:next w:val="1"/>
    <w:link w:val="34"/>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66091" w:themeColor="accent1" w:themeShade="BF"/>
    </w:rPr>
  </w:style>
  <w:style w:type="character" w:customStyle="1" w:styleId="34">
    <w:name w:val="明显引用 字符"/>
    <w:basedOn w:val="16"/>
    <w:link w:val="33"/>
    <w:qFormat/>
    <w:uiPriority w:val="30"/>
    <w:rPr>
      <w:i/>
      <w:iCs/>
      <w:color w:val="366091" w:themeColor="accent1" w:themeShade="BF"/>
    </w:rPr>
  </w:style>
  <w:style w:type="character" w:customStyle="1" w:styleId="35">
    <w:name w:val="Intense Reference"/>
    <w:basedOn w:val="16"/>
    <w:qFormat/>
    <w:uiPriority w:val="32"/>
    <w:rPr>
      <w:b/>
      <w:bCs/>
      <w:smallCaps/>
      <w:color w:val="366091" w:themeColor="accent1" w:themeShade="BF"/>
      <w:spacing w:val="5"/>
    </w:rPr>
  </w:style>
  <w:style w:type="character" w:customStyle="1" w:styleId="36">
    <w:name w:val="脚注文本 字符"/>
    <w:basedOn w:val="16"/>
    <w:semiHidden/>
    <w:qFormat/>
    <w:uiPriority w:val="99"/>
    <w:rPr>
      <w:rFonts w:ascii="Times New Roman" w:hAnsi="Times New Roman" w:eastAsia="宋体" w:cs="Times New Roman"/>
      <w:sz w:val="18"/>
      <w:szCs w:val="18"/>
    </w:rPr>
  </w:style>
  <w:style w:type="character" w:customStyle="1" w:styleId="37">
    <w:name w:val="脚注文本 Char"/>
    <w:link w:val="13"/>
    <w:semiHidden/>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3306</Words>
  <Characters>3893</Characters>
  <Lines>29</Lines>
  <Paragraphs>8</Paragraphs>
  <TotalTime>4</TotalTime>
  <ScaleCrop>false</ScaleCrop>
  <LinksUpToDate>false</LinksUpToDate>
  <CharactersWithSpaces>3963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2025-10-21T09:45:00Z</dcterms:created>
  <dc:creator>lenovo</dc:creator>
  <cp:lastModifiedBy>User</cp:lastModifiedBy>
  <dcterms:modified xsi:type="dcterms:W3CDTF">2025-10-22T06:48:49Z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eyJoZGlkIjoiMzEwNTM5NzYwMDRjMzkwZTVkZjY2ODkwMGIxNGU0OTUiLCJ1c2VySWQiOiI0MjQ4Mjc2MjgifQ==</vt:lpwstr>
  </property>
  <property fmtid="{D5CDD505-2E9C-101B-9397-08002B2CF9AE}" pid="3" name="KSOProductBuildVer">
    <vt:lpwstr>2052-12.1.0.23125</vt:lpwstr>
  </property>
  <property fmtid="{D5CDD505-2E9C-101B-9397-08002B2CF9AE}" pid="4" name="ICV">
    <vt:lpwstr>1EBA197560664935920B40019773F11E_12</vt:lpwstr>
  </property>
</Properties>
</file>