
<file path=[Content_Types].xml><?xml version="1.0" encoding="utf-8"?>
<Types xmlns="http://schemas.openxmlformats.org/package/2006/content-types">
  <Default Extension="wmf" ContentType="image/x-wmf"/>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E29C5">
      <w:pPr>
        <w:spacing w:before="156" w:beforeLines="50" w:after="156" w:afterLines="50" w:line="440" w:lineRule="exact"/>
        <w:jc w:val="center"/>
        <w:outlineLvl w:val="1"/>
        <w:rPr>
          <w:rFonts w:hint="eastAsia" w:ascii="黑体" w:eastAsia="黑体"/>
          <w:bCs/>
          <w:sz w:val="32"/>
          <w:szCs w:val="32"/>
          <w:lang w:val="en-US" w:eastAsia="zh-CN"/>
        </w:rPr>
      </w:pPr>
      <w:bookmarkStart w:id="2" w:name="_GoBack"/>
      <w:r>
        <w:rPr>
          <w:rFonts w:hint="eastAsia" w:ascii="黑体" w:eastAsia="黑体"/>
          <w:bCs/>
          <w:sz w:val="32"/>
          <w:szCs w:val="32"/>
        </w:rPr>
        <w:t>全覆盖债券（CB）与金融债券比较与</w:t>
      </w:r>
      <w:r>
        <w:rPr>
          <w:rFonts w:hint="eastAsia" w:ascii="黑体" w:eastAsia="黑体"/>
          <w:bCs/>
          <w:sz w:val="32"/>
          <w:szCs w:val="32"/>
          <w:lang w:val="en-US" w:eastAsia="zh-CN"/>
        </w:rPr>
        <w:t>优势</w:t>
      </w:r>
      <w:bookmarkEnd w:id="2"/>
    </w:p>
    <w:p w14:paraId="2614A37E">
      <w:pPr>
        <w:spacing w:line="440" w:lineRule="exact"/>
        <w:ind w:firstLine="480" w:firstLineChars="200"/>
        <w:rPr>
          <w:sz w:val="24"/>
        </w:rPr>
      </w:pPr>
    </w:p>
    <w:p w14:paraId="1F1FDE42">
      <w:pPr>
        <w:spacing w:line="440" w:lineRule="exact"/>
        <w:ind w:firstLine="482" w:firstLineChars="200"/>
        <w:jc w:val="left"/>
        <w:rPr>
          <w:b/>
          <w:sz w:val="24"/>
        </w:rPr>
      </w:pPr>
      <w:r>
        <w:rPr>
          <w:b/>
          <w:sz w:val="24"/>
        </w:rPr>
        <w:t>从发行人的角度看，发行全覆盖债券的优势</w:t>
      </w:r>
    </w:p>
    <w:p w14:paraId="249E5EA6">
      <w:pPr>
        <w:spacing w:line="440" w:lineRule="exact"/>
        <w:ind w:firstLine="480" w:firstLineChars="200"/>
        <w:rPr>
          <w:rFonts w:eastAsia="新宋体"/>
          <w:bCs/>
          <w:kern w:val="0"/>
          <w:sz w:val="24"/>
        </w:rPr>
      </w:pPr>
      <w:r>
        <w:rPr>
          <w:rFonts w:hint="eastAsia"/>
          <w:sz w:val="24"/>
        </w:rPr>
        <w:t xml:space="preserve">① </w:t>
      </w:r>
      <w:r>
        <w:rPr>
          <w:rFonts w:eastAsia="新宋体"/>
          <w:bCs/>
          <w:kern w:val="0"/>
          <w:sz w:val="24"/>
        </w:rPr>
        <w:t>更高的信用等级。全覆盖债券严格的监管框架和优质资产的担保为其提供了比其他债券更高的信用等级，受到投资者的欢迎。</w:t>
      </w:r>
    </w:p>
    <w:p w14:paraId="6AA1C385">
      <w:pPr>
        <w:spacing w:line="440" w:lineRule="exact"/>
        <w:ind w:firstLine="480" w:firstLineChars="200"/>
        <w:rPr>
          <w:rFonts w:hint="eastAsia" w:eastAsia="新宋体"/>
          <w:bCs/>
          <w:kern w:val="0"/>
          <w:sz w:val="24"/>
        </w:rPr>
      </w:pPr>
      <w:r>
        <w:rPr>
          <w:rFonts w:hint="eastAsia"/>
          <w:sz w:val="24"/>
        </w:rPr>
        <w:t xml:space="preserve">② </w:t>
      </w:r>
      <w:r>
        <w:rPr>
          <w:rFonts w:eastAsia="新宋体"/>
          <w:bCs/>
          <w:kern w:val="0"/>
          <w:sz w:val="24"/>
        </w:rPr>
        <w:t>更低的融资成本。高信用等级减少了债券的利息支付，</w:t>
      </w:r>
      <w:r>
        <w:rPr>
          <w:rFonts w:hint="eastAsia" w:eastAsia="新宋体"/>
          <w:bCs/>
          <w:kern w:val="0"/>
          <w:sz w:val="24"/>
        </w:rPr>
        <w:t>进而</w:t>
      </w:r>
      <w:r>
        <w:rPr>
          <w:rFonts w:eastAsia="新宋体"/>
          <w:bCs/>
          <w:kern w:val="0"/>
          <w:sz w:val="24"/>
        </w:rPr>
        <w:t>降低了发起人的融资成本。全覆盖债券还有另一个成本优势：在欧洲，全覆盖债券市场的流动性远高于其他债券产品。由于供求规律的作用，流动性高的市场中的发行人拥有更强的定价权。从国外情况看，根据目前掌握的资料，荷兰的全覆盖债券是免税的</w:t>
      </w:r>
      <w:r>
        <w:rPr>
          <w:rStyle w:val="17"/>
          <w:rFonts w:eastAsia="新宋体"/>
          <w:bCs/>
          <w:kern w:val="0"/>
          <w:sz w:val="24"/>
        </w:rPr>
        <w:footnoteReference w:id="0"/>
      </w:r>
      <w:r>
        <w:rPr>
          <w:rFonts w:eastAsia="新宋体"/>
          <w:bCs/>
          <w:kern w:val="0"/>
          <w:sz w:val="24"/>
        </w:rPr>
        <w:t>。根据利差影响因素分析公式，假如全覆盖债券是免税的，那么国债和全覆盖债券的利差只能从两种债券的流动性利差和信用利差来解释。</w:t>
      </w:r>
    </w:p>
    <w:p w14:paraId="5AD6AE84">
      <w:pPr>
        <w:spacing w:after="156" w:afterLines="50" w:line="440" w:lineRule="exact"/>
        <w:ind w:firstLine="480" w:firstLineChars="200"/>
        <w:rPr>
          <w:rFonts w:eastAsia="新宋体"/>
          <w:sz w:val="24"/>
        </w:rPr>
      </w:pPr>
      <w:r>
        <w:rPr>
          <w:rFonts w:eastAsia="新宋体"/>
          <w:bCs/>
          <w:kern w:val="0"/>
          <w:sz w:val="24"/>
        </w:rPr>
        <w:t>由下图可以看出</w:t>
      </w:r>
      <w:r>
        <w:rPr>
          <w:rFonts w:hint="eastAsia" w:eastAsia="新宋体"/>
          <w:bCs/>
          <w:kern w:val="0"/>
          <w:sz w:val="24"/>
        </w:rPr>
        <w:t>全覆盖债券</w:t>
      </w:r>
      <w:r>
        <w:rPr>
          <w:rFonts w:eastAsia="新宋体"/>
          <w:bCs/>
          <w:kern w:val="0"/>
          <w:sz w:val="24"/>
        </w:rPr>
        <w:t>和基准利率之间的利差一直</w:t>
      </w:r>
      <w:r>
        <w:rPr>
          <w:rFonts w:hint="eastAsia" w:eastAsia="新宋体"/>
          <w:bCs/>
          <w:kern w:val="0"/>
          <w:sz w:val="24"/>
        </w:rPr>
        <w:t>都</w:t>
      </w:r>
      <w:r>
        <w:rPr>
          <w:rFonts w:eastAsia="新宋体"/>
          <w:bCs/>
          <w:kern w:val="0"/>
          <w:sz w:val="24"/>
        </w:rPr>
        <w:t>较低，但是在次贷危机后逐渐呈现扩大的趋势。</w:t>
      </w:r>
    </w:p>
    <w:p w14:paraId="78F1D8B0">
      <w:pPr>
        <w:spacing w:line="360" w:lineRule="auto"/>
        <w:ind w:firstLine="480" w:firstLineChars="200"/>
        <w:rPr>
          <w:rFonts w:eastAsia="新宋体"/>
          <w:b/>
          <w:bCs/>
          <w:kern w:val="0"/>
          <w:sz w:val="24"/>
        </w:rPr>
      </w:pPr>
      <w:r>
        <w:rPr>
          <w:rFonts w:eastAsia="新宋体"/>
          <w:sz w:val="24"/>
        </w:rPr>
        <w:object>
          <v:shape id="_x0000_i1025" o:spt="75" type="#_x0000_t75" style="height:179.55pt;width:384.3pt;" o:ole="t" filled="f" o:preferrelative="t" stroked="f" coordsize="21600,21600">
            <v:path/>
            <v:fill on="f" focussize="0,0"/>
            <v:stroke on="f" joinstyle="miter"/>
            <v:imagedata r:id="rId7" o:title=""/>
            <o:lock v:ext="edit" aspectratio="t"/>
            <w10:wrap type="none"/>
            <w10:anchorlock/>
          </v:shape>
          <o:OLEObject Type="Embed" ProgID="Excel.Chart.8" ShapeID="_x0000_i1025" DrawAspect="Content" ObjectID="_1468075725" r:id="rId6">
            <o:LockedField>false</o:LockedField>
          </o:OLEObject>
        </w:object>
      </w:r>
    </w:p>
    <w:p w14:paraId="7112D6DD">
      <w:pPr>
        <w:pStyle w:val="11"/>
        <w:jc w:val="center"/>
        <w:rPr>
          <w:rFonts w:hint="eastAsia" w:ascii="Times New Roman" w:hAnsi="新宋体" w:eastAsia="新宋体" w:cs="Times New Roman"/>
          <w:sz w:val="21"/>
          <w:szCs w:val="21"/>
        </w:rPr>
      </w:pPr>
      <w:bookmarkStart w:id="0" w:name="_Toc256507230"/>
      <w:r>
        <w:rPr>
          <w:rFonts w:hint="eastAsia" w:ascii="Times New Roman" w:hAnsi="新宋体" w:eastAsia="新宋体" w:cs="Times New Roman"/>
          <w:sz w:val="21"/>
          <w:szCs w:val="21"/>
        </w:rPr>
        <w:t>图1  欧元国债基准利率、同期German Pfandbriefe Index(PEX) 收益率和EUROHYPE Aktiengesellschaft收益率</w:t>
      </w:r>
      <w:bookmarkEnd w:id="0"/>
    </w:p>
    <w:p w14:paraId="7AC9D118">
      <w:pPr>
        <w:jc w:val="center"/>
        <w:rPr>
          <w:rFonts w:hint="eastAsia" w:eastAsia="新宋体"/>
          <w:szCs w:val="21"/>
        </w:rPr>
      </w:pPr>
      <w:r>
        <w:rPr>
          <w:rFonts w:hint="eastAsia" w:eastAsia="新宋体"/>
          <w:szCs w:val="21"/>
        </w:rPr>
        <w:t>Figure 1  E</w:t>
      </w:r>
      <w:r>
        <w:rPr>
          <w:rFonts w:eastAsia="新宋体"/>
          <w:szCs w:val="21"/>
        </w:rPr>
        <w:t>uro</w:t>
      </w:r>
      <w:r>
        <w:rPr>
          <w:rFonts w:hint="eastAsia" w:eastAsia="新宋体"/>
          <w:szCs w:val="21"/>
        </w:rPr>
        <w:t xml:space="preserve"> </w:t>
      </w:r>
      <w:r>
        <w:fldChar w:fldCharType="begin"/>
      </w:r>
      <w:r>
        <w:instrText xml:space="preserve"> HYPERLINK "dict://key.0895DFE8DB67F9409DB285590D870EDD/benchmark%20interest%20rate" \o "查找: benchmark interest rate" </w:instrText>
      </w:r>
      <w:r>
        <w:fldChar w:fldCharType="separate"/>
      </w:r>
      <w:r>
        <w:rPr>
          <w:rFonts w:eastAsia="新宋体"/>
        </w:rPr>
        <w:t>benchmark interest rate</w:t>
      </w:r>
      <w:r>
        <w:rPr>
          <w:rFonts w:eastAsia="新宋体"/>
        </w:rPr>
        <w:fldChar w:fldCharType="end"/>
      </w:r>
      <w:r>
        <w:rPr>
          <w:rFonts w:hint="eastAsia" w:eastAsia="新宋体"/>
          <w:szCs w:val="21"/>
        </w:rPr>
        <w:t xml:space="preserve">、yield of </w:t>
      </w:r>
      <w:r>
        <w:rPr>
          <w:rFonts w:eastAsia="新宋体"/>
          <w:szCs w:val="21"/>
        </w:rPr>
        <w:t>German Pfandbriefe Index(PEX)</w:t>
      </w:r>
      <w:r>
        <w:rPr>
          <w:rFonts w:hint="eastAsia" w:eastAsia="新宋体"/>
          <w:szCs w:val="21"/>
        </w:rPr>
        <w:t xml:space="preserve"> </w:t>
      </w:r>
    </w:p>
    <w:p w14:paraId="2B678CD1">
      <w:pPr>
        <w:jc w:val="center"/>
        <w:rPr>
          <w:rFonts w:hint="eastAsia" w:eastAsia="新宋体"/>
          <w:szCs w:val="21"/>
        </w:rPr>
      </w:pPr>
      <w:r>
        <w:rPr>
          <w:rFonts w:hint="eastAsia" w:eastAsia="新宋体"/>
          <w:szCs w:val="21"/>
        </w:rPr>
        <w:t xml:space="preserve">and yield of </w:t>
      </w:r>
      <w:r>
        <w:rPr>
          <w:rFonts w:eastAsia="新宋体"/>
          <w:szCs w:val="21"/>
        </w:rPr>
        <w:t>EUROHYPE Aktiengesellschaft</w:t>
      </w:r>
    </w:p>
    <w:p w14:paraId="3E91F495">
      <w:pPr>
        <w:spacing w:after="312" w:afterLines="100"/>
        <w:ind w:firstLine="540" w:firstLineChars="300"/>
        <w:rPr>
          <w:rFonts w:eastAsia="新宋体"/>
          <w:bCs/>
          <w:kern w:val="0"/>
          <w:sz w:val="18"/>
          <w:szCs w:val="18"/>
        </w:rPr>
      </w:pPr>
      <w:r>
        <w:rPr>
          <w:rFonts w:eastAsia="新宋体"/>
          <w:bCs/>
          <w:kern w:val="0"/>
          <w:sz w:val="18"/>
          <w:szCs w:val="18"/>
        </w:rPr>
        <w:t>数据来源：BLOOMBERG</w:t>
      </w:r>
    </w:p>
    <w:p w14:paraId="0060DCFD">
      <w:pPr>
        <w:autoSpaceDE w:val="0"/>
        <w:autoSpaceDN w:val="0"/>
        <w:adjustRightInd w:val="0"/>
        <w:spacing w:before="156" w:beforeLines="50" w:line="440" w:lineRule="exact"/>
        <w:ind w:firstLine="480" w:firstLineChars="200"/>
        <w:rPr>
          <w:rFonts w:hint="eastAsia" w:eastAsia="新宋体"/>
          <w:bCs/>
          <w:kern w:val="0"/>
          <w:sz w:val="24"/>
        </w:rPr>
      </w:pPr>
      <w:r>
        <w:rPr>
          <w:rFonts w:hint="eastAsia"/>
          <w:sz w:val="24"/>
        </w:rPr>
        <w:t xml:space="preserve">③ </w:t>
      </w:r>
      <w:r>
        <w:rPr>
          <w:rFonts w:eastAsia="新宋体"/>
          <w:bCs/>
          <w:kern w:val="0"/>
          <w:sz w:val="24"/>
        </w:rPr>
        <w:t>融资资金来源多样化。由于同一发行人发行的全覆盖债券信用等级通常高于高风险债券，全覆盖债券吸引了各种类型投资者，扩大了发行人的融资</w:t>
      </w:r>
      <w:r>
        <w:rPr>
          <w:rFonts w:hint="eastAsia" w:eastAsia="新宋体"/>
          <w:bCs/>
          <w:kern w:val="0"/>
          <w:sz w:val="24"/>
        </w:rPr>
        <w:t>渠道</w:t>
      </w:r>
      <w:r>
        <w:rPr>
          <w:rFonts w:eastAsia="新宋体"/>
          <w:bCs/>
          <w:kern w:val="0"/>
          <w:sz w:val="24"/>
        </w:rPr>
        <w:t>。</w:t>
      </w:r>
    </w:p>
    <w:p w14:paraId="1F0A75C2">
      <w:pPr>
        <w:spacing w:line="440" w:lineRule="exact"/>
        <w:ind w:firstLine="482" w:firstLineChars="200"/>
        <w:jc w:val="left"/>
        <w:rPr>
          <w:b/>
          <w:sz w:val="24"/>
        </w:rPr>
      </w:pPr>
      <w:r>
        <w:rPr>
          <w:b/>
          <w:sz w:val="24"/>
        </w:rPr>
        <w:t>从投资者的角度看，投资于全覆盖债券的原因</w:t>
      </w:r>
    </w:p>
    <w:p w14:paraId="6F544E85">
      <w:pPr>
        <w:autoSpaceDE w:val="0"/>
        <w:autoSpaceDN w:val="0"/>
        <w:adjustRightInd w:val="0"/>
        <w:spacing w:line="440" w:lineRule="exact"/>
        <w:ind w:firstLine="360" w:firstLineChars="150"/>
        <w:rPr>
          <w:rFonts w:eastAsia="新宋体"/>
          <w:bCs/>
          <w:kern w:val="0"/>
          <w:sz w:val="24"/>
        </w:rPr>
      </w:pPr>
      <w:r>
        <w:rPr>
          <w:rFonts w:eastAsia="新宋体"/>
          <w:bCs/>
          <w:kern w:val="0"/>
          <w:sz w:val="24"/>
        </w:rPr>
        <w:t>除了相关法律赋予的全覆盖债券的优势，全覆盖债券本身的某些特性也吸引了投资者，包括：</w:t>
      </w:r>
    </w:p>
    <w:p w14:paraId="105531A4">
      <w:pPr>
        <w:autoSpaceDE w:val="0"/>
        <w:autoSpaceDN w:val="0"/>
        <w:adjustRightInd w:val="0"/>
        <w:spacing w:line="440" w:lineRule="exact"/>
        <w:ind w:firstLine="360" w:firstLineChars="150"/>
        <w:rPr>
          <w:rFonts w:eastAsia="新宋体"/>
          <w:bCs/>
          <w:kern w:val="0"/>
          <w:sz w:val="24"/>
        </w:rPr>
      </w:pPr>
      <w:r>
        <w:rPr>
          <w:sz w:val="24"/>
        </w:rPr>
        <w:fldChar w:fldCharType="begin"/>
      </w:r>
      <w:r>
        <w:rPr>
          <w:sz w:val="24"/>
        </w:rPr>
        <w:instrText xml:space="preserve"> = 1 \* GB3 </w:instrText>
      </w:r>
      <w:r>
        <w:rPr>
          <w:sz w:val="24"/>
        </w:rPr>
        <w:fldChar w:fldCharType="separate"/>
      </w:r>
      <w:r>
        <w:rPr>
          <w:sz w:val="24"/>
        </w:rPr>
        <w:t>①</w:t>
      </w:r>
      <w:r>
        <w:rPr>
          <w:sz w:val="24"/>
        </w:rPr>
        <w:fldChar w:fldCharType="end"/>
      </w:r>
      <w:r>
        <w:rPr>
          <w:rFonts w:eastAsia="新宋体"/>
          <w:bCs/>
          <w:kern w:val="0"/>
          <w:sz w:val="24"/>
        </w:rPr>
        <w:t>高信用质量。主要信用评级机构对全覆盖债券的评级方法有细微的区别，但都集中在</w:t>
      </w:r>
      <w:r>
        <w:rPr>
          <w:rFonts w:hint="eastAsia" w:eastAsia="新宋体"/>
          <w:bCs/>
          <w:kern w:val="0"/>
          <w:sz w:val="24"/>
        </w:rPr>
        <w:t>“</w:t>
      </w:r>
      <w:r>
        <w:rPr>
          <w:rFonts w:eastAsia="新宋体"/>
          <w:bCs/>
          <w:kern w:val="0"/>
          <w:sz w:val="24"/>
        </w:rPr>
        <w:t>覆盖池</w:t>
      </w:r>
      <w:r>
        <w:rPr>
          <w:rFonts w:hint="eastAsia" w:eastAsia="新宋体"/>
          <w:bCs/>
          <w:kern w:val="0"/>
          <w:sz w:val="24"/>
        </w:rPr>
        <w:t>”</w:t>
      </w:r>
      <w:r>
        <w:rPr>
          <w:rFonts w:eastAsia="新宋体"/>
          <w:bCs/>
          <w:kern w:val="0"/>
          <w:sz w:val="24"/>
        </w:rPr>
        <w:t>的结构和抵押资产的质量上，考虑发行人的评级因素较少。绝大多数的全覆盖债券由于有双重保护，其信用</w:t>
      </w:r>
      <w:r>
        <w:rPr>
          <w:rFonts w:hint="eastAsia" w:eastAsia="新宋体"/>
          <w:bCs/>
          <w:kern w:val="0"/>
          <w:sz w:val="24"/>
        </w:rPr>
        <w:t>等级</w:t>
      </w:r>
      <w:r>
        <w:rPr>
          <w:rFonts w:eastAsia="新宋体"/>
          <w:bCs/>
          <w:kern w:val="0"/>
          <w:sz w:val="24"/>
        </w:rPr>
        <w:t>一般为AAA。</w:t>
      </w:r>
    </w:p>
    <w:p w14:paraId="2F5E14A8">
      <w:pPr>
        <w:autoSpaceDE w:val="0"/>
        <w:autoSpaceDN w:val="0"/>
        <w:adjustRightInd w:val="0"/>
        <w:spacing w:line="440" w:lineRule="exact"/>
        <w:ind w:firstLine="360" w:firstLineChars="150"/>
        <w:rPr>
          <w:rFonts w:eastAsia="新宋体"/>
          <w:bCs/>
          <w:kern w:val="0"/>
          <w:sz w:val="24"/>
        </w:rPr>
      </w:pPr>
      <w:r>
        <w:rPr>
          <w:rFonts w:eastAsia="新宋体"/>
          <w:sz w:val="24"/>
        </w:rPr>
        <w:fldChar w:fldCharType="begin"/>
      </w:r>
      <w:r>
        <w:rPr>
          <w:rFonts w:eastAsia="新宋体"/>
          <w:sz w:val="24"/>
        </w:rPr>
        <w:instrText xml:space="preserve"> = 2 \* GB3 </w:instrText>
      </w:r>
      <w:r>
        <w:rPr>
          <w:rFonts w:eastAsia="新宋体"/>
          <w:sz w:val="24"/>
        </w:rPr>
        <w:fldChar w:fldCharType="separate"/>
      </w:r>
      <w:r>
        <w:rPr>
          <w:rFonts w:eastAsia="新宋体"/>
          <w:sz w:val="24"/>
        </w:rPr>
        <w:t>②</w:t>
      </w:r>
      <w:r>
        <w:rPr>
          <w:rFonts w:eastAsia="新宋体"/>
          <w:sz w:val="24"/>
        </w:rPr>
        <w:fldChar w:fldCharType="end"/>
      </w:r>
      <w:r>
        <w:rPr>
          <w:rFonts w:eastAsia="新宋体"/>
          <w:bCs/>
          <w:kern w:val="0"/>
          <w:sz w:val="24"/>
        </w:rPr>
        <w:t>收益率。全覆盖债券提供的收益率高于欧洲政府债券，而不明显改变投资组合的风险结构。</w:t>
      </w:r>
    </w:p>
    <w:p w14:paraId="474B2DB9">
      <w:pPr>
        <w:autoSpaceDE w:val="0"/>
        <w:autoSpaceDN w:val="0"/>
        <w:adjustRightInd w:val="0"/>
        <w:spacing w:line="440" w:lineRule="exact"/>
        <w:ind w:firstLine="360" w:firstLineChars="150"/>
        <w:rPr>
          <w:rFonts w:hint="eastAsia" w:eastAsia="新宋体"/>
          <w:bCs/>
          <w:kern w:val="0"/>
          <w:sz w:val="24"/>
        </w:rPr>
      </w:pPr>
      <w:r>
        <w:rPr>
          <w:rFonts w:eastAsia="新宋体"/>
          <w:bCs/>
          <w:kern w:val="0"/>
          <w:sz w:val="24"/>
        </w:rPr>
        <w:t>③多样化。全覆盖债券为保守的投资者提供了多样化的投资组合且不降低证券组合的信用质量。通常情况下，寻找AAA</w:t>
      </w:r>
      <w:r>
        <w:rPr>
          <w:rFonts w:hint="eastAsia" w:eastAsia="新宋体"/>
          <w:bCs/>
          <w:kern w:val="0"/>
          <w:sz w:val="24"/>
        </w:rPr>
        <w:t>等级</w:t>
      </w:r>
      <w:r>
        <w:rPr>
          <w:rFonts w:eastAsia="新宋体"/>
          <w:bCs/>
          <w:kern w:val="0"/>
          <w:sz w:val="24"/>
        </w:rPr>
        <w:t>证券的投资者只能大量投资于政府债券或政府机构债券，而全覆盖债券使这部分投资者有更多的选择。</w:t>
      </w:r>
    </w:p>
    <w:p w14:paraId="2A25F0FE">
      <w:pPr>
        <w:autoSpaceDE w:val="0"/>
        <w:autoSpaceDN w:val="0"/>
        <w:adjustRightInd w:val="0"/>
        <w:spacing w:after="312" w:afterLines="100" w:line="440" w:lineRule="exact"/>
        <w:ind w:firstLine="360" w:firstLineChars="150"/>
        <w:jc w:val="center"/>
        <w:rPr>
          <w:rFonts w:eastAsia="新宋体"/>
          <w:bCs/>
          <w:kern w:val="0"/>
          <w:sz w:val="24"/>
        </w:rPr>
      </w:pPr>
      <w:r>
        <w:rPr>
          <w:rFonts w:eastAsia="新宋体"/>
          <w:bCs/>
          <w:kern w:val="0"/>
          <w:sz w:val="24"/>
        </w:rPr>
        <w:t>④规避重大风险。全覆盖债券是具备完全追索权的负债工具，如果发行人违约，债券持有者对</w:t>
      </w:r>
      <w:r>
        <w:rPr>
          <w:rFonts w:hint="eastAsia" w:eastAsia="新宋体"/>
          <w:bCs/>
          <w:kern w:val="0"/>
          <w:sz w:val="24"/>
        </w:rPr>
        <w:t>“</w:t>
      </w:r>
      <w:r>
        <w:rPr>
          <w:rFonts w:eastAsia="新宋体"/>
          <w:bCs/>
          <w:kern w:val="0"/>
          <w:sz w:val="24"/>
        </w:rPr>
        <w:t>覆盖池</w:t>
      </w:r>
      <w:r>
        <w:rPr>
          <w:rFonts w:hint="eastAsia" w:eastAsia="新宋体"/>
          <w:bCs/>
          <w:kern w:val="0"/>
          <w:sz w:val="24"/>
        </w:rPr>
        <w:t>”</w:t>
      </w:r>
      <w:r>
        <w:rPr>
          <w:rFonts w:eastAsia="新宋体"/>
          <w:bCs/>
          <w:kern w:val="0"/>
          <w:sz w:val="24"/>
        </w:rPr>
        <w:t>中的资产及其所带来的收益具有优先求偿权。如果发行银行未能及时支付全覆盖债券的利息，抵押资产产生的利息将转给投资者。</w:t>
      </w:r>
    </w:p>
    <w:p w14:paraId="0C9B1180">
      <w:pPr>
        <w:autoSpaceDE w:val="0"/>
        <w:autoSpaceDN w:val="0"/>
        <w:adjustRightInd w:val="0"/>
        <w:spacing w:line="360" w:lineRule="auto"/>
        <w:rPr>
          <w:rFonts w:eastAsia="新宋体"/>
          <w:bCs/>
          <w:kern w:val="0"/>
          <w:sz w:val="24"/>
        </w:rPr>
      </w:pPr>
      <w:r>
        <w:drawing>
          <wp:inline distT="0" distB="0" distL="0" distR="0">
            <wp:extent cx="5272405" cy="2636520"/>
            <wp:effectExtent l="0" t="0" r="0" b="0"/>
            <wp:docPr id="3707606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60609"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2405" cy="2636520"/>
                    </a:xfrm>
                    <a:prstGeom prst="rect">
                      <a:avLst/>
                    </a:prstGeom>
                    <a:noFill/>
                    <a:ln>
                      <a:noFill/>
                    </a:ln>
                  </pic:spPr>
                </pic:pic>
              </a:graphicData>
            </a:graphic>
          </wp:inline>
        </w:drawing>
      </w:r>
    </w:p>
    <w:p w14:paraId="33FB0B15">
      <w:pPr>
        <w:pStyle w:val="11"/>
        <w:jc w:val="center"/>
        <w:rPr>
          <w:rFonts w:hint="eastAsia" w:ascii="Times New Roman" w:hAnsi="新宋体" w:eastAsia="新宋体" w:cs="Times New Roman"/>
          <w:sz w:val="21"/>
          <w:szCs w:val="21"/>
        </w:rPr>
      </w:pPr>
      <w:bookmarkStart w:id="1" w:name="_Toc256507231"/>
      <w:r>
        <w:rPr>
          <w:rFonts w:hint="eastAsia" w:ascii="Times New Roman" w:hAnsi="新宋体" w:eastAsia="新宋体" w:cs="Times New Roman"/>
          <w:sz w:val="21"/>
          <w:szCs w:val="21"/>
        </w:rPr>
        <w:t>图2  2007年全覆盖债券普遍获得AAA等级</w:t>
      </w:r>
      <w:bookmarkEnd w:id="1"/>
    </w:p>
    <w:p w14:paraId="40E4E538">
      <w:pPr>
        <w:jc w:val="center"/>
        <w:rPr>
          <w:rFonts w:hint="eastAsia" w:eastAsia="新宋体"/>
          <w:szCs w:val="21"/>
        </w:rPr>
      </w:pPr>
      <w:r>
        <w:rPr>
          <w:rFonts w:hint="eastAsia" w:eastAsia="新宋体"/>
          <w:szCs w:val="21"/>
        </w:rPr>
        <w:t>Figure 2  Most of covered bonds got AAA credit level in 2007</w:t>
      </w:r>
    </w:p>
    <w:p w14:paraId="283A5EDA">
      <w:pPr>
        <w:spacing w:after="156" w:afterLines="50"/>
        <w:ind w:firstLine="1440" w:firstLineChars="800"/>
        <w:rPr>
          <w:rFonts w:hint="eastAsia" w:eastAsia="新宋体"/>
          <w:szCs w:val="21"/>
        </w:rPr>
      </w:pPr>
      <w:r>
        <w:rPr>
          <w:rFonts w:eastAsia="新宋体"/>
          <w:bCs/>
          <w:kern w:val="0"/>
          <w:sz w:val="18"/>
          <w:szCs w:val="18"/>
        </w:rPr>
        <w:t>数据来源：雷曼兄弟</w:t>
      </w:r>
      <w:r>
        <w:rPr>
          <w:rFonts w:hint="eastAsia" w:eastAsia="新宋体"/>
          <w:bCs/>
          <w:kern w:val="0"/>
          <w:sz w:val="18"/>
          <w:szCs w:val="18"/>
        </w:rPr>
        <w:t>（</w:t>
      </w:r>
      <w:r>
        <w:rPr>
          <w:rFonts w:eastAsia="新宋体"/>
          <w:bCs/>
          <w:kern w:val="0"/>
          <w:sz w:val="18"/>
          <w:szCs w:val="18"/>
        </w:rPr>
        <w:t>Lehman Brothers</w:t>
      </w:r>
      <w:r>
        <w:rPr>
          <w:rFonts w:hint="eastAsia" w:eastAsia="新宋体"/>
          <w:bCs/>
          <w:kern w:val="0"/>
          <w:sz w:val="18"/>
          <w:szCs w:val="18"/>
        </w:rPr>
        <w:t>）</w:t>
      </w:r>
      <w:r>
        <w:rPr>
          <w:rStyle w:val="17"/>
          <w:rFonts w:eastAsia="新宋体"/>
          <w:bCs/>
          <w:kern w:val="0"/>
          <w:sz w:val="18"/>
          <w:szCs w:val="18"/>
        </w:rPr>
        <w:footnoteReference w:id="1"/>
      </w:r>
    </w:p>
    <w:p w14:paraId="62558BF0">
      <w:pPr>
        <w:spacing w:line="440" w:lineRule="exact"/>
        <w:ind w:firstLine="482" w:firstLineChars="200"/>
        <w:rPr>
          <w:rFonts w:hint="eastAsia" w:hAnsi="新宋体" w:eastAsia="新宋体"/>
          <w:b/>
          <w:sz w:val="24"/>
        </w:rPr>
      </w:pPr>
    </w:p>
    <w:p w14:paraId="29A7C87F">
      <w:pPr>
        <w:autoSpaceDE w:val="0"/>
        <w:autoSpaceDN w:val="0"/>
        <w:adjustRightInd w:val="0"/>
        <w:spacing w:line="440" w:lineRule="exact"/>
        <w:ind w:firstLine="315" w:firstLineChars="15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5A06D36A">
      <w:pPr>
        <w:pStyle w:val="13"/>
        <w:rPr>
          <w:rFonts w:hint="eastAsia"/>
        </w:rPr>
      </w:pPr>
      <w:r>
        <w:rPr>
          <w:rStyle w:val="17"/>
        </w:rPr>
        <w:footnoteRef/>
      </w:r>
      <w:r>
        <w:t xml:space="preserve"> </w:t>
      </w:r>
      <w:r>
        <w:rPr>
          <w:rFonts w:hint="eastAsia"/>
        </w:rPr>
        <w:t xml:space="preserve"> </w:t>
      </w:r>
      <w:r>
        <w:rPr>
          <w:rFonts w:eastAsia="新宋体"/>
          <w:bCs/>
          <w:kern w:val="0"/>
        </w:rPr>
        <w:t>其他国家的情况没找到相关资料</w:t>
      </w:r>
      <w:r>
        <w:rPr>
          <w:rFonts w:hint="eastAsia" w:eastAsia="新宋体"/>
          <w:bCs/>
          <w:kern w:val="0"/>
        </w:rPr>
        <w:t>。</w:t>
      </w:r>
    </w:p>
  </w:footnote>
  <w:footnote w:id="1">
    <w:p w14:paraId="52E96179">
      <w:pPr>
        <w:pStyle w:val="13"/>
        <w:rPr>
          <w:rFonts w:hint="eastAsia"/>
        </w:rPr>
      </w:pPr>
      <w:r>
        <w:rPr>
          <w:rStyle w:val="17"/>
        </w:rPr>
        <w:footnoteRef/>
      </w:r>
      <w:r>
        <w:t xml:space="preserve"> </w:t>
      </w:r>
      <w:r>
        <w:rPr>
          <w:rFonts w:hint="eastAsia"/>
        </w:rPr>
        <w:t xml:space="preserve"> 已破产。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30D"/>
    <w:rsid w:val="005F7A9D"/>
    <w:rsid w:val="008F630D"/>
    <w:rsid w:val="00C7398C"/>
    <w:rsid w:val="00F900CB"/>
    <w:rsid w:val="506406C1"/>
    <w:rsid w:val="54D7350E"/>
    <w:rsid w:val="57170EB1"/>
    <w:rsid w:val="6EA72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366091"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rPr>
      <w:rFonts w:ascii="Arial" w:hAnsi="Arial" w:eastAsia="黑体" w:cs="Arial"/>
      <w:sz w:val="20"/>
      <w:szCs w:val="20"/>
    </w:r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3">
    <w:name w:val="footnote text"/>
    <w:basedOn w:val="1"/>
    <w:link w:val="37"/>
    <w:semiHidden/>
    <w:qFormat/>
    <w:uiPriority w:val="0"/>
    <w:pPr>
      <w:snapToGrid w:val="0"/>
      <w:jc w:val="left"/>
    </w:pPr>
    <w:rPr>
      <w:sz w:val="18"/>
      <w:szCs w:val="18"/>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footnote reference"/>
    <w:semiHidden/>
    <w:uiPriority w:val="0"/>
    <w:rPr>
      <w:vertAlign w:val="superscript"/>
    </w:rPr>
  </w:style>
  <w:style w:type="character" w:customStyle="1" w:styleId="18">
    <w:name w:val="标题 1 字符"/>
    <w:basedOn w:val="16"/>
    <w:link w:val="2"/>
    <w:qFormat/>
    <w:uiPriority w:val="9"/>
    <w:rPr>
      <w:rFonts w:asciiTheme="majorHAnsi" w:hAnsiTheme="majorHAnsi" w:eastAsiaTheme="majorEastAsia" w:cstheme="majorBidi"/>
      <w:color w:val="366091"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366091"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366091" w:themeColor="accent1" w:themeShade="BF"/>
      <w:sz w:val="32"/>
      <w:szCs w:val="32"/>
    </w:rPr>
  </w:style>
  <w:style w:type="character" w:customStyle="1" w:styleId="21">
    <w:name w:val="标题 4 字符"/>
    <w:basedOn w:val="16"/>
    <w:link w:val="5"/>
    <w:semiHidden/>
    <w:qFormat/>
    <w:uiPriority w:val="9"/>
    <w:rPr>
      <w:rFonts w:cstheme="majorBidi"/>
      <w:color w:val="366091" w:themeColor="accent1" w:themeShade="BF"/>
      <w:sz w:val="28"/>
      <w:szCs w:val="28"/>
    </w:rPr>
  </w:style>
  <w:style w:type="character" w:customStyle="1" w:styleId="22">
    <w:name w:val="标题 5 字符"/>
    <w:basedOn w:val="16"/>
    <w:link w:val="6"/>
    <w:semiHidden/>
    <w:qFormat/>
    <w:uiPriority w:val="9"/>
    <w:rPr>
      <w:rFonts w:cstheme="majorBidi"/>
      <w:color w:val="366091" w:themeColor="accent1" w:themeShade="BF"/>
      <w:sz w:val="24"/>
      <w:szCs w:val="24"/>
    </w:rPr>
  </w:style>
  <w:style w:type="character" w:customStyle="1" w:styleId="23">
    <w:name w:val="标题 6 字符"/>
    <w:basedOn w:val="16"/>
    <w:link w:val="7"/>
    <w:semiHidden/>
    <w:uiPriority w:val="9"/>
    <w:rPr>
      <w:rFonts w:cstheme="majorBidi"/>
      <w:b/>
      <w:bCs/>
      <w:color w:val="366091" w:themeColor="accent1" w:themeShade="BF"/>
    </w:rPr>
  </w:style>
  <w:style w:type="character" w:customStyle="1" w:styleId="24">
    <w:name w:val="标题 7 字符"/>
    <w:basedOn w:val="16"/>
    <w:link w:val="8"/>
    <w:semiHidden/>
    <w:uiPriority w:val="9"/>
    <w:rPr>
      <w:rFonts w:cstheme="majorBidi"/>
      <w:b/>
      <w:bCs/>
      <w:color w:val="585858" w:themeColor="text1" w:themeTint="A6"/>
    </w:rPr>
  </w:style>
  <w:style w:type="character" w:customStyle="1" w:styleId="25">
    <w:name w:val="标题 8 字符"/>
    <w:basedOn w:val="16"/>
    <w:link w:val="9"/>
    <w:semiHidden/>
    <w:uiPriority w:val="9"/>
    <w:rPr>
      <w:rFonts w:cstheme="majorBidi"/>
      <w:color w:val="585858" w:themeColor="text1" w:themeTint="A6"/>
    </w:rPr>
  </w:style>
  <w:style w:type="character" w:customStyle="1" w:styleId="26">
    <w:name w:val="标题 9 字符"/>
    <w:basedOn w:val="16"/>
    <w:link w:val="10"/>
    <w:semiHidden/>
    <w:uiPriority w:val="9"/>
    <w:rPr>
      <w:rFonts w:eastAsiaTheme="majorEastAsia" w:cstheme="majorBidi"/>
      <w:color w:val="585858" w:themeColor="text1" w:themeTint="A6"/>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6"/>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366091" w:themeColor="accent1" w:themeShade="BF"/>
    </w:rPr>
  </w:style>
  <w:style w:type="paragraph" w:styleId="33">
    <w:name w:val="Intense Quote"/>
    <w:basedOn w:val="1"/>
    <w:next w:val="1"/>
    <w:link w:val="3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34">
    <w:name w:val="明显引用 字符"/>
    <w:basedOn w:val="16"/>
    <w:link w:val="33"/>
    <w:qFormat/>
    <w:uiPriority w:val="30"/>
    <w:rPr>
      <w:i/>
      <w:iCs/>
      <w:color w:val="366091" w:themeColor="accent1" w:themeShade="BF"/>
    </w:rPr>
  </w:style>
  <w:style w:type="character" w:customStyle="1" w:styleId="35">
    <w:name w:val="Intense Reference"/>
    <w:basedOn w:val="16"/>
    <w:qFormat/>
    <w:uiPriority w:val="32"/>
    <w:rPr>
      <w:b/>
      <w:bCs/>
      <w:smallCaps/>
      <w:color w:val="366091" w:themeColor="accent1" w:themeShade="BF"/>
      <w:spacing w:val="5"/>
    </w:rPr>
  </w:style>
  <w:style w:type="character" w:customStyle="1" w:styleId="36">
    <w:name w:val="脚注文本 字符"/>
    <w:basedOn w:val="16"/>
    <w:semiHidden/>
    <w:qFormat/>
    <w:uiPriority w:val="99"/>
    <w:rPr>
      <w:rFonts w:ascii="Times New Roman" w:hAnsi="Times New Roman" w:eastAsia="宋体" w:cs="Times New Roman"/>
      <w:sz w:val="18"/>
      <w:szCs w:val="18"/>
    </w:rPr>
  </w:style>
  <w:style w:type="character" w:customStyle="1" w:styleId="37">
    <w:name w:val="脚注文本 Char"/>
    <w:link w:val="1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3501</Words>
  <Characters>3933</Characters>
  <Lines>30</Lines>
  <Paragraphs>8</Paragraphs>
  <TotalTime>0</TotalTime>
  <ScaleCrop>false</ScaleCrop>
  <LinksUpToDate>false</LinksUpToDate>
  <CharactersWithSpaces>3989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2025-10-21T09:40:00Z</dcterms:created>
  <dc:creator>lenovo</dc:creator>
  <cp:lastModifiedBy>User</cp:lastModifiedBy>
  <dcterms:modified xsi:type="dcterms:W3CDTF">2025-10-22T06:51:48Z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eyJoZGlkIjoiMzEwNTM5NzYwMDRjMzkwZTVkZjY2ODkwMGIxNGU0OTUiLCJ1c2VySWQiOiI0MjQ4Mjc2MjgifQ==</vt:lpwstr>
  </property>
  <property fmtid="{D5CDD505-2E9C-101B-9397-08002B2CF9AE}" pid="3" name="KSOProductBuildVer">
    <vt:lpwstr>2052-12.1.0.23125</vt:lpwstr>
  </property>
  <property fmtid="{D5CDD505-2E9C-101B-9397-08002B2CF9AE}" pid="4" name="ICV">
    <vt:lpwstr>011D2F40057F4C24B351F2EAAF1837B3_12</vt:lpwstr>
  </property>
</Properties>
</file>