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E65F9E">
      <w:pPr>
        <w:spacing w:before="156" w:beforeLines="50" w:after="156" w:afterLines="50" w:line="440" w:lineRule="exact"/>
        <w:jc w:val="center"/>
        <w:outlineLvl w:val="1"/>
        <w:rPr>
          <w:rFonts w:hint="eastAsia" w:ascii="黑体" w:eastAsia="黑体"/>
          <w:bCs/>
          <w:sz w:val="32"/>
          <w:szCs w:val="32"/>
        </w:rPr>
      </w:pPr>
      <w:bookmarkStart w:id="19" w:name="_GoBack"/>
      <w:bookmarkEnd w:id="19"/>
      <w:r>
        <w:rPr>
          <w:rFonts w:hint="eastAsia" w:ascii="黑体" w:eastAsia="黑体"/>
          <w:bCs/>
          <w:sz w:val="32"/>
          <w:szCs w:val="32"/>
        </w:rPr>
        <w:t>全覆盖债券（</w:t>
      </w:r>
      <w:r>
        <w:rPr>
          <w:rFonts w:hint="eastAsia" w:ascii="黑体" w:eastAsia="黑体"/>
          <w:bCs/>
          <w:sz w:val="32"/>
          <w:szCs w:val="32"/>
        </w:rPr>
        <w:t>CB</w:t>
      </w:r>
      <w:r>
        <w:rPr>
          <w:rFonts w:hint="eastAsia" w:ascii="黑体" w:eastAsia="黑体"/>
          <w:bCs/>
          <w:sz w:val="32"/>
          <w:szCs w:val="32"/>
        </w:rPr>
        <w:t>）与</w:t>
      </w:r>
      <w:r>
        <w:rPr>
          <w:rFonts w:hint="eastAsia" w:ascii="黑体" w:eastAsia="黑体"/>
          <w:bCs/>
          <w:sz w:val="32"/>
          <w:szCs w:val="32"/>
        </w:rPr>
        <w:t>ABS/MBS</w:t>
      </w:r>
      <w:r>
        <w:rPr>
          <w:rFonts w:hint="eastAsia" w:ascii="黑体" w:eastAsia="黑体"/>
          <w:bCs/>
          <w:sz w:val="32"/>
          <w:szCs w:val="32"/>
        </w:rPr>
        <w:t>比较与优势</w:t>
      </w:r>
    </w:p>
    <w:p w14:paraId="4EEED350">
      <w:pPr>
        <w:autoSpaceDE w:val="0"/>
        <w:autoSpaceDN w:val="0"/>
        <w:adjustRightInd w:val="0"/>
        <w:spacing w:line="440" w:lineRule="exact"/>
        <w:ind w:firstLine="480" w:firstLineChars="200"/>
        <w:rPr>
          <w:rFonts w:hint="eastAsia"/>
          <w:sz w:val="24"/>
        </w:rPr>
      </w:pPr>
      <w:r>
        <w:rPr>
          <w:sz w:val="24"/>
        </w:rPr>
        <w:t>从本质上而言，全覆盖债券</w:t>
      </w:r>
      <w:r>
        <w:rPr>
          <w:rFonts w:hint="eastAsia"/>
          <w:sz w:val="24"/>
        </w:rPr>
        <w:t>和</w:t>
      </w:r>
      <w:r>
        <w:rPr>
          <w:sz w:val="24"/>
        </w:rPr>
        <w:t>ABS/MBS都是结构融资方式</w:t>
      </w:r>
      <w:r>
        <w:rPr>
          <w:rFonts w:hint="eastAsia"/>
          <w:sz w:val="24"/>
        </w:rPr>
        <w:t>。</w:t>
      </w:r>
      <w:r>
        <w:rPr>
          <w:sz w:val="24"/>
        </w:rPr>
        <w:t>近年来，由于资产证券化技术的应用，全覆盖债券在很多方面都与ABS/MBS相似，它们之间的界限变得越来越模糊。某些国家允许</w:t>
      </w:r>
      <w:r>
        <w:rPr>
          <w:rFonts w:hint="eastAsia"/>
          <w:sz w:val="24"/>
        </w:rPr>
        <w:t>将</w:t>
      </w:r>
      <w:r>
        <w:rPr>
          <w:sz w:val="24"/>
        </w:rPr>
        <w:t>住宅用不动产抵押贷款证券（Residence Mortgage Based Securities</w:t>
      </w:r>
      <w:r>
        <w:rPr>
          <w:rFonts w:hAnsi="Arial"/>
          <w:sz w:val="24"/>
        </w:rPr>
        <w:t>，简称</w:t>
      </w:r>
      <w:r>
        <w:rPr>
          <w:rFonts w:hint="eastAsia"/>
          <w:sz w:val="24"/>
        </w:rPr>
        <w:t>“</w:t>
      </w:r>
      <w:r>
        <w:rPr>
          <w:sz w:val="24"/>
        </w:rPr>
        <w:t>RMBS</w:t>
      </w:r>
      <w:r>
        <w:rPr>
          <w:rFonts w:hint="eastAsia"/>
          <w:sz w:val="24"/>
        </w:rPr>
        <w:t>”</w:t>
      </w:r>
      <w:r>
        <w:rPr>
          <w:sz w:val="24"/>
        </w:rPr>
        <w:t>）作为全覆盖债券资产池中的资产（如法国、意大利</w:t>
      </w:r>
      <w:r>
        <w:rPr>
          <w:rFonts w:hint="eastAsia"/>
          <w:sz w:val="24"/>
        </w:rPr>
        <w:t>和</w:t>
      </w:r>
      <w:r>
        <w:rPr>
          <w:sz w:val="24"/>
        </w:rPr>
        <w:t>爱尔兰），部分国家允许将全覆盖债券作为综合证券化交易的抵押品。但是它们也有一些不同，一般来说，全覆盖债券与ABS/MBS主要存在着以下基本区别（详见表1）：</w:t>
      </w:r>
    </w:p>
    <w:p w14:paraId="3B2D96A1">
      <w:pPr>
        <w:pStyle w:val="2"/>
        <w:spacing w:before="312" w:beforeLines="100"/>
        <w:jc w:val="center"/>
        <w:rPr>
          <w:rFonts w:hint="eastAsia" w:ascii="Times New Roman" w:hAnsi="新宋体" w:eastAsia="新宋体" w:cs="Times New Roman"/>
          <w:sz w:val="21"/>
          <w:szCs w:val="21"/>
        </w:rPr>
      </w:pPr>
      <w:bookmarkStart w:id="0" w:name="_Toc256506548"/>
      <w:bookmarkStart w:id="1" w:name="_Toc196836771"/>
      <w:bookmarkStart w:id="2" w:name="_Toc196843546"/>
      <w:r>
        <w:rPr>
          <w:rFonts w:hint="eastAsia" w:ascii="Times New Roman" w:hAnsi="新宋体" w:eastAsia="新宋体" w:cs="Times New Roman"/>
          <w:sz w:val="21"/>
          <w:szCs w:val="21"/>
        </w:rPr>
        <w:t>表</w:t>
      </w:r>
      <w:r>
        <w:rPr>
          <w:rFonts w:ascii="Times New Roman" w:hAnsi="新宋体" w:eastAsia="新宋体" w:cs="Times New Roman"/>
          <w:sz w:val="21"/>
          <w:szCs w:val="21"/>
        </w:rPr>
        <w:fldChar w:fldCharType="begin"/>
      </w:r>
      <w:r>
        <w:rPr>
          <w:rFonts w:ascii="Times New Roman" w:hAnsi="新宋体" w:eastAsia="新宋体" w:cs="Times New Roman"/>
          <w:sz w:val="21"/>
          <w:szCs w:val="21"/>
        </w:rPr>
        <w:instrText xml:space="preserve"> </w:instrText>
      </w:r>
      <w:r>
        <w:rPr>
          <w:rFonts w:hint="eastAsia" w:ascii="Times New Roman" w:hAnsi="新宋体" w:eastAsia="新宋体" w:cs="Times New Roman"/>
          <w:sz w:val="21"/>
          <w:szCs w:val="21"/>
        </w:rPr>
        <w:instrText xml:space="preserve">SEQ 表12. \* ARABIC</w:instrText>
      </w:r>
      <w:r>
        <w:rPr>
          <w:rFonts w:ascii="Times New Roman" w:hAnsi="新宋体" w:eastAsia="新宋体" w:cs="Times New Roman"/>
          <w:sz w:val="21"/>
          <w:szCs w:val="21"/>
        </w:rPr>
        <w:instrText xml:space="preserve"> </w:instrText>
      </w:r>
      <w:r>
        <w:rPr>
          <w:rFonts w:ascii="Times New Roman" w:hAnsi="新宋体" w:eastAsia="新宋体" w:cs="Times New Roman"/>
          <w:sz w:val="21"/>
          <w:szCs w:val="21"/>
        </w:rPr>
        <w:fldChar w:fldCharType="separate"/>
      </w:r>
      <w:r>
        <w:rPr>
          <w:rFonts w:ascii="Times New Roman" w:hAnsi="新宋体" w:eastAsia="新宋体" w:cs="Times New Roman"/>
          <w:sz w:val="21"/>
          <w:szCs w:val="21"/>
        </w:rPr>
        <w:t>1</w:t>
      </w:r>
      <w:r>
        <w:rPr>
          <w:rFonts w:ascii="Times New Roman" w:hAnsi="新宋体" w:eastAsia="新宋体" w:cs="Times New Roman"/>
          <w:sz w:val="21"/>
          <w:szCs w:val="21"/>
        </w:rPr>
        <w:fldChar w:fldCharType="end"/>
      </w:r>
      <w:r>
        <w:rPr>
          <w:rFonts w:hint="eastAsia" w:ascii="Times New Roman" w:hAnsi="新宋体" w:eastAsia="新宋体" w:cs="Times New Roman"/>
          <w:sz w:val="21"/>
          <w:szCs w:val="21"/>
        </w:rPr>
        <w:t xml:space="preserve">  CB与ABS特征比较表</w:t>
      </w:r>
      <w:bookmarkEnd w:id="0"/>
    </w:p>
    <w:p w14:paraId="5EF86DE9">
      <w:pPr>
        <w:jc w:val="center"/>
        <w:rPr>
          <w:rFonts w:hint="eastAsia"/>
          <w:szCs w:val="21"/>
        </w:rPr>
      </w:pPr>
      <w:r>
        <w:rPr>
          <w:rFonts w:hint="eastAsia"/>
          <w:szCs w:val="21"/>
        </w:rPr>
        <w:t>Table 1  F</w:t>
      </w:r>
      <w:r>
        <w:rPr>
          <w:szCs w:val="21"/>
        </w:rPr>
        <w:t>eature comparison</w:t>
      </w:r>
      <w:r>
        <w:rPr>
          <w:rFonts w:hint="eastAsia"/>
          <w:szCs w:val="21"/>
        </w:rPr>
        <w:t xml:space="preserve"> between CB and ABS</w:t>
      </w:r>
    </w:p>
    <w:tbl>
      <w:tblPr>
        <w:tblStyle w:val="3"/>
        <w:tblW w:w="5000" w:type="pct"/>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58"/>
        <w:gridCol w:w="3970"/>
        <w:gridCol w:w="2194"/>
      </w:tblGrid>
      <w:tr w14:paraId="1CC926B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383" w:type="pct"/>
            <w:tcBorders>
              <w:top w:val="single" w:color="auto" w:sz="4" w:space="0"/>
              <w:bottom w:val="single" w:color="auto" w:sz="4" w:space="0"/>
            </w:tcBorders>
            <w:vAlign w:val="center"/>
          </w:tcPr>
          <w:p w14:paraId="7B9D7229">
            <w:pPr>
              <w:rPr>
                <w:bCs/>
                <w:kern w:val="0"/>
                <w:szCs w:val="21"/>
              </w:rPr>
            </w:pPr>
            <w:r>
              <w:rPr>
                <w:bCs/>
                <w:kern w:val="0"/>
                <w:szCs w:val="21"/>
              </w:rPr>
              <w:t>项目</w:t>
            </w:r>
          </w:p>
        </w:tc>
        <w:tc>
          <w:tcPr>
            <w:tcW w:w="2329" w:type="pct"/>
            <w:tcBorders>
              <w:top w:val="single" w:color="auto" w:sz="4" w:space="0"/>
              <w:bottom w:val="single" w:color="auto" w:sz="4" w:space="0"/>
            </w:tcBorders>
            <w:vAlign w:val="center"/>
          </w:tcPr>
          <w:p w14:paraId="62318C06">
            <w:pPr>
              <w:rPr>
                <w:bCs/>
                <w:kern w:val="0"/>
                <w:szCs w:val="21"/>
              </w:rPr>
            </w:pPr>
            <w:r>
              <w:rPr>
                <w:bCs/>
                <w:kern w:val="0"/>
                <w:szCs w:val="21"/>
              </w:rPr>
              <w:t>全覆盖债券（CB）</w:t>
            </w:r>
          </w:p>
        </w:tc>
        <w:tc>
          <w:tcPr>
            <w:tcW w:w="1287" w:type="pct"/>
            <w:tcBorders>
              <w:top w:val="single" w:color="auto" w:sz="4" w:space="0"/>
              <w:bottom w:val="single" w:color="auto" w:sz="4" w:space="0"/>
            </w:tcBorders>
            <w:vAlign w:val="center"/>
          </w:tcPr>
          <w:p w14:paraId="21D5A935">
            <w:pPr>
              <w:rPr>
                <w:bCs/>
                <w:kern w:val="0"/>
                <w:szCs w:val="21"/>
              </w:rPr>
            </w:pPr>
            <w:r>
              <w:rPr>
                <w:bCs/>
                <w:kern w:val="0"/>
                <w:szCs w:val="21"/>
              </w:rPr>
              <w:t>ABS</w:t>
            </w:r>
          </w:p>
        </w:tc>
      </w:tr>
      <w:tr w14:paraId="2565113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383" w:type="pct"/>
            <w:tcBorders>
              <w:top w:val="single" w:color="auto" w:sz="4" w:space="0"/>
            </w:tcBorders>
            <w:vAlign w:val="center"/>
          </w:tcPr>
          <w:p w14:paraId="6BDF8A8E">
            <w:pPr>
              <w:rPr>
                <w:bCs/>
                <w:kern w:val="0"/>
                <w:sz w:val="18"/>
                <w:szCs w:val="18"/>
              </w:rPr>
            </w:pPr>
            <w:r>
              <w:rPr>
                <w:bCs/>
                <w:kern w:val="0"/>
                <w:sz w:val="18"/>
                <w:szCs w:val="18"/>
              </w:rPr>
              <w:t>发行人动机</w:t>
            </w:r>
          </w:p>
        </w:tc>
        <w:tc>
          <w:tcPr>
            <w:tcW w:w="2329" w:type="pct"/>
            <w:tcBorders>
              <w:top w:val="single" w:color="auto" w:sz="4" w:space="0"/>
            </w:tcBorders>
            <w:vAlign w:val="center"/>
          </w:tcPr>
          <w:p w14:paraId="79D35362">
            <w:pPr>
              <w:rPr>
                <w:bCs/>
                <w:kern w:val="0"/>
                <w:sz w:val="18"/>
                <w:szCs w:val="18"/>
              </w:rPr>
            </w:pPr>
            <w:r>
              <w:rPr>
                <w:bCs/>
                <w:kern w:val="0"/>
                <w:sz w:val="18"/>
                <w:szCs w:val="18"/>
              </w:rPr>
              <w:t>再融资</w:t>
            </w:r>
          </w:p>
        </w:tc>
        <w:tc>
          <w:tcPr>
            <w:tcW w:w="1287" w:type="pct"/>
            <w:tcBorders>
              <w:top w:val="single" w:color="auto" w:sz="4" w:space="0"/>
            </w:tcBorders>
            <w:vAlign w:val="center"/>
          </w:tcPr>
          <w:p w14:paraId="3B32C2B9">
            <w:pPr>
              <w:rPr>
                <w:bCs/>
                <w:kern w:val="0"/>
                <w:sz w:val="18"/>
                <w:szCs w:val="18"/>
              </w:rPr>
            </w:pPr>
            <w:r>
              <w:rPr>
                <w:bCs/>
                <w:kern w:val="0"/>
                <w:sz w:val="18"/>
                <w:szCs w:val="18"/>
              </w:rPr>
              <w:t>降低风险、监管套利</w:t>
            </w:r>
            <w:r>
              <w:rPr>
                <w:rFonts w:hint="eastAsia"/>
                <w:bCs/>
                <w:kern w:val="0"/>
                <w:sz w:val="18"/>
                <w:szCs w:val="18"/>
              </w:rPr>
              <w:t>和</w:t>
            </w:r>
            <w:r>
              <w:rPr>
                <w:bCs/>
                <w:kern w:val="0"/>
                <w:sz w:val="18"/>
                <w:szCs w:val="18"/>
              </w:rPr>
              <w:t>再融资</w:t>
            </w:r>
          </w:p>
        </w:tc>
      </w:tr>
      <w:tr w14:paraId="0AC2E62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383" w:type="pct"/>
            <w:vAlign w:val="center"/>
          </w:tcPr>
          <w:p w14:paraId="31534FCA">
            <w:pPr>
              <w:rPr>
                <w:bCs/>
                <w:kern w:val="0"/>
                <w:sz w:val="18"/>
                <w:szCs w:val="18"/>
              </w:rPr>
            </w:pPr>
            <w:r>
              <w:rPr>
                <w:bCs/>
                <w:kern w:val="0"/>
                <w:sz w:val="18"/>
                <w:szCs w:val="18"/>
              </w:rPr>
              <w:t>发行人</w:t>
            </w:r>
          </w:p>
        </w:tc>
        <w:tc>
          <w:tcPr>
            <w:tcW w:w="2329" w:type="pct"/>
            <w:vAlign w:val="center"/>
          </w:tcPr>
          <w:p w14:paraId="6428D12C">
            <w:pPr>
              <w:rPr>
                <w:bCs/>
                <w:kern w:val="0"/>
                <w:sz w:val="18"/>
                <w:szCs w:val="18"/>
              </w:rPr>
            </w:pPr>
            <w:r>
              <w:rPr>
                <w:bCs/>
                <w:kern w:val="0"/>
                <w:sz w:val="18"/>
                <w:szCs w:val="18"/>
              </w:rPr>
              <w:t>一般是贷款发起人</w:t>
            </w:r>
          </w:p>
        </w:tc>
        <w:tc>
          <w:tcPr>
            <w:tcW w:w="1287" w:type="pct"/>
            <w:vAlign w:val="center"/>
          </w:tcPr>
          <w:p w14:paraId="0CED6831">
            <w:pPr>
              <w:rPr>
                <w:bCs/>
                <w:kern w:val="0"/>
                <w:sz w:val="18"/>
                <w:szCs w:val="18"/>
              </w:rPr>
            </w:pPr>
            <w:r>
              <w:rPr>
                <w:bCs/>
                <w:kern w:val="0"/>
                <w:sz w:val="18"/>
                <w:szCs w:val="18"/>
              </w:rPr>
              <w:t>特殊实体（SPE）</w:t>
            </w:r>
          </w:p>
        </w:tc>
      </w:tr>
      <w:tr w14:paraId="071B3D8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383" w:type="pct"/>
            <w:vAlign w:val="center"/>
          </w:tcPr>
          <w:p w14:paraId="72047BDF">
            <w:pPr>
              <w:rPr>
                <w:bCs/>
                <w:kern w:val="0"/>
                <w:sz w:val="18"/>
                <w:szCs w:val="18"/>
              </w:rPr>
            </w:pPr>
            <w:r>
              <w:rPr>
                <w:bCs/>
                <w:kern w:val="0"/>
                <w:sz w:val="18"/>
                <w:szCs w:val="18"/>
              </w:rPr>
              <w:t>对发起人的追索权</w:t>
            </w:r>
          </w:p>
        </w:tc>
        <w:tc>
          <w:tcPr>
            <w:tcW w:w="2329" w:type="pct"/>
            <w:vAlign w:val="center"/>
          </w:tcPr>
          <w:p w14:paraId="31111711">
            <w:pPr>
              <w:rPr>
                <w:bCs/>
                <w:kern w:val="0"/>
                <w:sz w:val="18"/>
                <w:szCs w:val="18"/>
              </w:rPr>
            </w:pPr>
            <w:r>
              <w:rPr>
                <w:bCs/>
                <w:kern w:val="0"/>
                <w:sz w:val="18"/>
                <w:szCs w:val="18"/>
              </w:rPr>
              <w:t>有</w:t>
            </w:r>
          </w:p>
        </w:tc>
        <w:tc>
          <w:tcPr>
            <w:tcW w:w="1287" w:type="pct"/>
            <w:vAlign w:val="center"/>
          </w:tcPr>
          <w:p w14:paraId="77AEC728">
            <w:pPr>
              <w:rPr>
                <w:bCs/>
                <w:kern w:val="0"/>
                <w:sz w:val="18"/>
                <w:szCs w:val="18"/>
              </w:rPr>
            </w:pPr>
            <w:r>
              <w:rPr>
                <w:bCs/>
                <w:kern w:val="0"/>
                <w:sz w:val="18"/>
                <w:szCs w:val="18"/>
              </w:rPr>
              <w:t>一般无</w:t>
            </w:r>
          </w:p>
        </w:tc>
      </w:tr>
      <w:tr w14:paraId="655D040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383" w:type="pct"/>
            <w:vAlign w:val="center"/>
          </w:tcPr>
          <w:p w14:paraId="3B13F80D">
            <w:pPr>
              <w:rPr>
                <w:bCs/>
                <w:kern w:val="0"/>
                <w:sz w:val="18"/>
                <w:szCs w:val="18"/>
              </w:rPr>
            </w:pPr>
            <w:r>
              <w:rPr>
                <w:bCs/>
                <w:kern w:val="0"/>
                <w:sz w:val="18"/>
                <w:szCs w:val="18"/>
              </w:rPr>
              <w:t>结构</w:t>
            </w:r>
          </w:p>
        </w:tc>
        <w:tc>
          <w:tcPr>
            <w:tcW w:w="2329" w:type="pct"/>
            <w:vAlign w:val="center"/>
          </w:tcPr>
          <w:p w14:paraId="081FD14F">
            <w:pPr>
              <w:rPr>
                <w:bCs/>
                <w:kern w:val="0"/>
                <w:sz w:val="18"/>
                <w:szCs w:val="18"/>
              </w:rPr>
            </w:pPr>
            <w:r>
              <w:rPr>
                <w:bCs/>
                <w:kern w:val="0"/>
                <w:sz w:val="18"/>
                <w:szCs w:val="18"/>
              </w:rPr>
              <w:t>抵押资产一般保留在发起人的资产负债表中，但属于覆盖池。</w:t>
            </w:r>
          </w:p>
        </w:tc>
        <w:tc>
          <w:tcPr>
            <w:tcW w:w="1287" w:type="pct"/>
            <w:vAlign w:val="center"/>
          </w:tcPr>
          <w:p w14:paraId="47AD7B39">
            <w:pPr>
              <w:rPr>
                <w:bCs/>
                <w:kern w:val="0"/>
                <w:sz w:val="18"/>
                <w:szCs w:val="18"/>
              </w:rPr>
            </w:pPr>
            <w:r>
              <w:rPr>
                <w:bCs/>
                <w:kern w:val="0"/>
                <w:sz w:val="18"/>
                <w:szCs w:val="18"/>
              </w:rPr>
              <w:t>抵押资产转让给特殊实体</w:t>
            </w:r>
          </w:p>
        </w:tc>
      </w:tr>
      <w:tr w14:paraId="4FA0729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383" w:type="pct"/>
            <w:vAlign w:val="center"/>
          </w:tcPr>
          <w:p w14:paraId="3C70AE4D">
            <w:pPr>
              <w:rPr>
                <w:bCs/>
                <w:kern w:val="0"/>
                <w:sz w:val="18"/>
                <w:szCs w:val="18"/>
              </w:rPr>
            </w:pPr>
            <w:r>
              <w:rPr>
                <w:bCs/>
                <w:kern w:val="0"/>
                <w:sz w:val="18"/>
                <w:szCs w:val="18"/>
              </w:rPr>
              <w:t>对发行人资本要求的影响</w:t>
            </w:r>
          </w:p>
        </w:tc>
        <w:tc>
          <w:tcPr>
            <w:tcW w:w="2329" w:type="pct"/>
            <w:vAlign w:val="center"/>
          </w:tcPr>
          <w:p w14:paraId="49DBA26E">
            <w:pPr>
              <w:rPr>
                <w:bCs/>
                <w:kern w:val="0"/>
                <w:sz w:val="18"/>
                <w:szCs w:val="18"/>
              </w:rPr>
            </w:pPr>
            <w:r>
              <w:rPr>
                <w:bCs/>
                <w:kern w:val="0"/>
                <w:sz w:val="18"/>
                <w:szCs w:val="18"/>
              </w:rPr>
              <w:t>无</w:t>
            </w:r>
          </w:p>
        </w:tc>
        <w:tc>
          <w:tcPr>
            <w:tcW w:w="1287" w:type="pct"/>
            <w:vAlign w:val="center"/>
          </w:tcPr>
          <w:p w14:paraId="09F3235E">
            <w:pPr>
              <w:rPr>
                <w:bCs/>
                <w:kern w:val="0"/>
                <w:sz w:val="18"/>
                <w:szCs w:val="18"/>
              </w:rPr>
            </w:pPr>
            <w:r>
              <w:rPr>
                <w:bCs/>
                <w:kern w:val="0"/>
                <w:sz w:val="18"/>
                <w:szCs w:val="18"/>
              </w:rPr>
              <w:t>降低</w:t>
            </w:r>
          </w:p>
        </w:tc>
      </w:tr>
      <w:tr w14:paraId="42A05F5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383" w:type="pct"/>
            <w:vAlign w:val="center"/>
          </w:tcPr>
          <w:p w14:paraId="5959C3FB">
            <w:pPr>
              <w:rPr>
                <w:bCs/>
                <w:kern w:val="0"/>
                <w:sz w:val="18"/>
                <w:szCs w:val="18"/>
              </w:rPr>
            </w:pPr>
            <w:r>
              <w:rPr>
                <w:bCs/>
                <w:kern w:val="0"/>
                <w:sz w:val="18"/>
                <w:szCs w:val="18"/>
              </w:rPr>
              <w:t>对发行人或合格抵押资产的法定限制</w:t>
            </w:r>
          </w:p>
        </w:tc>
        <w:tc>
          <w:tcPr>
            <w:tcW w:w="2329" w:type="pct"/>
            <w:vAlign w:val="center"/>
          </w:tcPr>
          <w:p w14:paraId="63C050F1">
            <w:pPr>
              <w:rPr>
                <w:bCs/>
                <w:kern w:val="0"/>
                <w:sz w:val="18"/>
                <w:szCs w:val="18"/>
              </w:rPr>
            </w:pPr>
            <w:r>
              <w:rPr>
                <w:bCs/>
                <w:kern w:val="0"/>
                <w:sz w:val="18"/>
                <w:szCs w:val="18"/>
              </w:rPr>
              <w:t>有（如果在</w:t>
            </w:r>
            <w:r>
              <w:rPr>
                <w:rFonts w:hint="eastAsia"/>
                <w:bCs/>
                <w:kern w:val="0"/>
                <w:sz w:val="18"/>
                <w:szCs w:val="18"/>
              </w:rPr>
              <w:t>《</w:t>
            </w:r>
            <w:r>
              <w:rPr>
                <w:bCs/>
                <w:kern w:val="0"/>
                <w:sz w:val="18"/>
                <w:szCs w:val="18"/>
              </w:rPr>
              <w:t>全覆盖债券法</w:t>
            </w:r>
            <w:r>
              <w:rPr>
                <w:rFonts w:hint="eastAsia"/>
                <w:bCs/>
                <w:kern w:val="0"/>
                <w:sz w:val="18"/>
                <w:szCs w:val="18"/>
              </w:rPr>
              <w:t>》</w:t>
            </w:r>
            <w:r>
              <w:rPr>
                <w:bCs/>
                <w:kern w:val="0"/>
                <w:sz w:val="18"/>
                <w:szCs w:val="18"/>
              </w:rPr>
              <w:t>下发行）</w:t>
            </w:r>
          </w:p>
        </w:tc>
        <w:tc>
          <w:tcPr>
            <w:tcW w:w="1287" w:type="pct"/>
            <w:vAlign w:val="center"/>
          </w:tcPr>
          <w:p w14:paraId="63EE28CE">
            <w:pPr>
              <w:rPr>
                <w:bCs/>
                <w:kern w:val="0"/>
                <w:sz w:val="18"/>
                <w:szCs w:val="18"/>
              </w:rPr>
            </w:pPr>
            <w:r>
              <w:rPr>
                <w:bCs/>
                <w:kern w:val="0"/>
                <w:sz w:val="18"/>
                <w:szCs w:val="18"/>
              </w:rPr>
              <w:t>一般无</w:t>
            </w:r>
          </w:p>
        </w:tc>
      </w:tr>
      <w:tr w14:paraId="3A46CCD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383" w:type="pct"/>
            <w:vAlign w:val="center"/>
          </w:tcPr>
          <w:p w14:paraId="1D75A9A1">
            <w:pPr>
              <w:rPr>
                <w:bCs/>
                <w:kern w:val="0"/>
                <w:sz w:val="18"/>
                <w:szCs w:val="18"/>
              </w:rPr>
            </w:pPr>
            <w:r>
              <w:rPr>
                <w:bCs/>
                <w:kern w:val="0"/>
                <w:sz w:val="18"/>
                <w:szCs w:val="18"/>
              </w:rPr>
              <w:t>资产池的管理</w:t>
            </w:r>
          </w:p>
        </w:tc>
        <w:tc>
          <w:tcPr>
            <w:tcW w:w="2329" w:type="pct"/>
            <w:vAlign w:val="center"/>
          </w:tcPr>
          <w:p w14:paraId="45F93AFD">
            <w:pPr>
              <w:rPr>
                <w:bCs/>
                <w:kern w:val="0"/>
                <w:sz w:val="18"/>
                <w:szCs w:val="18"/>
              </w:rPr>
            </w:pPr>
            <w:r>
              <w:rPr>
                <w:bCs/>
                <w:kern w:val="0"/>
                <w:sz w:val="18"/>
                <w:szCs w:val="18"/>
              </w:rPr>
              <w:t>一般为动态的</w:t>
            </w:r>
          </w:p>
        </w:tc>
        <w:tc>
          <w:tcPr>
            <w:tcW w:w="1287" w:type="pct"/>
            <w:vAlign w:val="center"/>
          </w:tcPr>
          <w:p w14:paraId="0558C9EA">
            <w:pPr>
              <w:rPr>
                <w:bCs/>
                <w:kern w:val="0"/>
                <w:sz w:val="18"/>
                <w:szCs w:val="18"/>
              </w:rPr>
            </w:pPr>
            <w:r>
              <w:rPr>
                <w:bCs/>
                <w:kern w:val="0"/>
                <w:sz w:val="18"/>
                <w:szCs w:val="18"/>
              </w:rPr>
              <w:t>主要是静态的</w:t>
            </w:r>
          </w:p>
        </w:tc>
      </w:tr>
      <w:tr w14:paraId="66F58C9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383" w:type="pct"/>
            <w:vAlign w:val="center"/>
          </w:tcPr>
          <w:p w14:paraId="492DC5E6">
            <w:pPr>
              <w:rPr>
                <w:bCs/>
                <w:kern w:val="0"/>
                <w:sz w:val="18"/>
                <w:szCs w:val="18"/>
              </w:rPr>
            </w:pPr>
            <w:r>
              <w:rPr>
                <w:bCs/>
                <w:kern w:val="0"/>
                <w:sz w:val="18"/>
                <w:szCs w:val="18"/>
              </w:rPr>
              <w:t>资产池对投资者的透明度</w:t>
            </w:r>
          </w:p>
        </w:tc>
        <w:tc>
          <w:tcPr>
            <w:tcW w:w="2329" w:type="pct"/>
            <w:vAlign w:val="center"/>
          </w:tcPr>
          <w:p w14:paraId="7C0DE84F">
            <w:pPr>
              <w:rPr>
                <w:bCs/>
                <w:kern w:val="0"/>
                <w:sz w:val="18"/>
                <w:szCs w:val="18"/>
              </w:rPr>
            </w:pPr>
            <w:r>
              <w:rPr>
                <w:bCs/>
                <w:kern w:val="0"/>
                <w:sz w:val="18"/>
                <w:szCs w:val="18"/>
              </w:rPr>
              <w:t>有限的（但质量由信托人或评级机构定期控制）</w:t>
            </w:r>
          </w:p>
        </w:tc>
        <w:tc>
          <w:tcPr>
            <w:tcW w:w="1287" w:type="pct"/>
            <w:vAlign w:val="center"/>
          </w:tcPr>
          <w:p w14:paraId="3C962426">
            <w:pPr>
              <w:rPr>
                <w:bCs/>
                <w:kern w:val="0"/>
                <w:sz w:val="18"/>
                <w:szCs w:val="18"/>
              </w:rPr>
            </w:pPr>
            <w:r>
              <w:rPr>
                <w:bCs/>
                <w:kern w:val="0"/>
                <w:sz w:val="18"/>
                <w:szCs w:val="18"/>
              </w:rPr>
              <w:t>一般很高</w:t>
            </w:r>
          </w:p>
        </w:tc>
      </w:tr>
      <w:tr w14:paraId="2DA437A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383" w:type="pct"/>
            <w:vAlign w:val="center"/>
          </w:tcPr>
          <w:p w14:paraId="75202F76">
            <w:pPr>
              <w:rPr>
                <w:bCs/>
                <w:kern w:val="0"/>
                <w:sz w:val="18"/>
                <w:szCs w:val="18"/>
              </w:rPr>
            </w:pPr>
            <w:r>
              <w:rPr>
                <w:bCs/>
                <w:kern w:val="0"/>
                <w:sz w:val="18"/>
                <w:szCs w:val="18"/>
              </w:rPr>
              <w:t>资产的提前偿还</w:t>
            </w:r>
          </w:p>
        </w:tc>
        <w:tc>
          <w:tcPr>
            <w:tcW w:w="2329" w:type="pct"/>
            <w:vAlign w:val="center"/>
          </w:tcPr>
          <w:p w14:paraId="6EC9A632">
            <w:pPr>
              <w:rPr>
                <w:bCs/>
                <w:kern w:val="0"/>
                <w:sz w:val="18"/>
                <w:szCs w:val="18"/>
              </w:rPr>
            </w:pPr>
            <w:r>
              <w:rPr>
                <w:bCs/>
                <w:kern w:val="0"/>
                <w:sz w:val="18"/>
                <w:szCs w:val="18"/>
              </w:rPr>
              <w:t>通过资产替代（不给投资者）</w:t>
            </w:r>
          </w:p>
        </w:tc>
        <w:tc>
          <w:tcPr>
            <w:tcW w:w="1287" w:type="pct"/>
            <w:vAlign w:val="center"/>
          </w:tcPr>
          <w:p w14:paraId="48F9AE65">
            <w:pPr>
              <w:rPr>
                <w:bCs/>
                <w:kern w:val="0"/>
                <w:sz w:val="18"/>
                <w:szCs w:val="18"/>
              </w:rPr>
            </w:pPr>
            <w:r>
              <w:rPr>
                <w:bCs/>
                <w:kern w:val="0"/>
                <w:sz w:val="18"/>
                <w:szCs w:val="18"/>
              </w:rPr>
              <w:t>一般全部给投资者</w:t>
            </w:r>
          </w:p>
        </w:tc>
      </w:tr>
      <w:tr w14:paraId="0B6F7CD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383" w:type="pct"/>
            <w:vAlign w:val="center"/>
          </w:tcPr>
          <w:p w14:paraId="0FF6D44A">
            <w:pPr>
              <w:rPr>
                <w:bCs/>
                <w:kern w:val="0"/>
                <w:sz w:val="18"/>
                <w:szCs w:val="18"/>
              </w:rPr>
            </w:pPr>
            <w:r>
              <w:rPr>
                <w:bCs/>
                <w:kern w:val="0"/>
                <w:sz w:val="18"/>
                <w:szCs w:val="18"/>
              </w:rPr>
              <w:t>分层结构</w:t>
            </w:r>
          </w:p>
        </w:tc>
        <w:tc>
          <w:tcPr>
            <w:tcW w:w="2329" w:type="pct"/>
            <w:vAlign w:val="center"/>
          </w:tcPr>
          <w:p w14:paraId="0B3AC239">
            <w:pPr>
              <w:rPr>
                <w:bCs/>
                <w:kern w:val="0"/>
                <w:sz w:val="18"/>
                <w:szCs w:val="18"/>
              </w:rPr>
            </w:pPr>
            <w:r>
              <w:rPr>
                <w:bCs/>
                <w:kern w:val="0"/>
                <w:sz w:val="18"/>
                <w:szCs w:val="18"/>
              </w:rPr>
              <w:t>无</w:t>
            </w:r>
          </w:p>
        </w:tc>
        <w:tc>
          <w:tcPr>
            <w:tcW w:w="1287" w:type="pct"/>
            <w:vAlign w:val="center"/>
          </w:tcPr>
          <w:p w14:paraId="6839C60B">
            <w:pPr>
              <w:rPr>
                <w:bCs/>
                <w:kern w:val="0"/>
                <w:sz w:val="18"/>
                <w:szCs w:val="18"/>
              </w:rPr>
            </w:pPr>
            <w:r>
              <w:rPr>
                <w:bCs/>
                <w:kern w:val="0"/>
                <w:sz w:val="18"/>
                <w:szCs w:val="18"/>
              </w:rPr>
              <w:t>普通</w:t>
            </w:r>
          </w:p>
        </w:tc>
      </w:tr>
      <w:tr w14:paraId="2EE6563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383" w:type="pct"/>
            <w:vAlign w:val="center"/>
          </w:tcPr>
          <w:p w14:paraId="4F14628C">
            <w:pPr>
              <w:rPr>
                <w:bCs/>
                <w:kern w:val="0"/>
                <w:sz w:val="18"/>
                <w:szCs w:val="18"/>
              </w:rPr>
            </w:pPr>
            <w:r>
              <w:rPr>
                <w:bCs/>
                <w:kern w:val="0"/>
                <w:sz w:val="18"/>
                <w:szCs w:val="18"/>
              </w:rPr>
              <w:t>利息</w:t>
            </w:r>
          </w:p>
        </w:tc>
        <w:tc>
          <w:tcPr>
            <w:tcW w:w="2329" w:type="pct"/>
            <w:vAlign w:val="center"/>
          </w:tcPr>
          <w:p w14:paraId="5C158207">
            <w:pPr>
              <w:rPr>
                <w:bCs/>
                <w:kern w:val="0"/>
                <w:sz w:val="18"/>
                <w:szCs w:val="18"/>
              </w:rPr>
            </w:pPr>
            <w:r>
              <w:rPr>
                <w:bCs/>
                <w:kern w:val="0"/>
                <w:sz w:val="18"/>
                <w:szCs w:val="18"/>
              </w:rPr>
              <w:t>主要是固定利率</w:t>
            </w:r>
          </w:p>
        </w:tc>
        <w:tc>
          <w:tcPr>
            <w:tcW w:w="1287" w:type="pct"/>
            <w:vAlign w:val="center"/>
          </w:tcPr>
          <w:p w14:paraId="402A3955">
            <w:pPr>
              <w:rPr>
                <w:bCs/>
                <w:kern w:val="0"/>
                <w:sz w:val="18"/>
                <w:szCs w:val="18"/>
              </w:rPr>
            </w:pPr>
            <w:r>
              <w:rPr>
                <w:bCs/>
                <w:kern w:val="0"/>
                <w:sz w:val="18"/>
                <w:szCs w:val="18"/>
              </w:rPr>
              <w:t>主要是浮动利率</w:t>
            </w:r>
          </w:p>
        </w:tc>
      </w:tr>
    </w:tbl>
    <w:p w14:paraId="55861169">
      <w:pPr>
        <w:spacing w:before="312" w:beforeLines="100" w:line="440" w:lineRule="exact"/>
        <w:ind w:firstLine="482" w:firstLineChars="200"/>
        <w:rPr>
          <w:b/>
          <w:sz w:val="24"/>
        </w:rPr>
      </w:pPr>
      <w:bookmarkStart w:id="3" w:name="_Toc217963423"/>
      <w:r>
        <w:rPr>
          <w:rFonts w:hint="eastAsia"/>
          <w:b/>
          <w:sz w:val="24"/>
        </w:rPr>
        <w:t>1、</w:t>
      </w:r>
      <w:r>
        <w:rPr>
          <w:b/>
          <w:sz w:val="24"/>
        </w:rPr>
        <w:t>全覆盖债券的抵押资产仍保持在发起人的资产负债表中，而ABS/MBS用作抵押的资产已实现真实出售</w:t>
      </w:r>
      <w:bookmarkEnd w:id="1"/>
      <w:bookmarkEnd w:id="2"/>
      <w:bookmarkEnd w:id="3"/>
    </w:p>
    <w:p w14:paraId="1356C10A">
      <w:pPr>
        <w:autoSpaceDE w:val="0"/>
        <w:autoSpaceDN w:val="0"/>
        <w:adjustRightInd w:val="0"/>
        <w:spacing w:line="440" w:lineRule="exact"/>
        <w:ind w:firstLine="480" w:firstLineChars="200"/>
        <w:rPr>
          <w:sz w:val="24"/>
        </w:rPr>
      </w:pPr>
      <w:r>
        <w:rPr>
          <w:sz w:val="24"/>
        </w:rPr>
        <w:t>ABS/MBS的一个重要原理就是将抵押资产真实出售给SPV，以实现</w:t>
      </w:r>
      <w:r>
        <w:rPr>
          <w:rFonts w:hint="eastAsia"/>
          <w:sz w:val="24"/>
        </w:rPr>
        <w:t>“</w:t>
      </w:r>
      <w:r>
        <w:rPr>
          <w:sz w:val="24"/>
        </w:rPr>
        <w:t>资产隔离</w:t>
      </w:r>
      <w:r>
        <w:rPr>
          <w:rFonts w:hint="eastAsia"/>
          <w:sz w:val="24"/>
        </w:rPr>
        <w:t>”</w:t>
      </w:r>
      <w:r>
        <w:rPr>
          <w:sz w:val="24"/>
        </w:rPr>
        <w:t>，该资产不在发起人资产负债表里反映。全覆盖债券风险隔离的原理则有所不同，由资产池的资产为全覆盖债券的偿付提供足额</w:t>
      </w:r>
      <w:r>
        <w:rPr>
          <w:rFonts w:hint="eastAsia"/>
          <w:sz w:val="24"/>
        </w:rPr>
        <w:t>和</w:t>
      </w:r>
      <w:r>
        <w:rPr>
          <w:sz w:val="24"/>
        </w:rPr>
        <w:t>可信的担保，但抵押的资产仍然保留在发起人的资产负债表中，法定的全覆盖债券一般由发起人以资产负债表中的资产按照一定的原则组成资产池，以资产池中的资产为担保发行CB，只要发行人没有违约或者处于破产状态，资产池中的资产一直保持在发行人的资产负债表中，由发行人进行管理和控制。</w:t>
      </w:r>
    </w:p>
    <w:p w14:paraId="02385296">
      <w:pPr>
        <w:autoSpaceDE w:val="0"/>
        <w:autoSpaceDN w:val="0"/>
        <w:adjustRightInd w:val="0"/>
        <w:spacing w:line="440" w:lineRule="exact"/>
        <w:ind w:firstLine="480" w:firstLineChars="200"/>
        <w:rPr>
          <w:rFonts w:hint="eastAsia"/>
          <w:sz w:val="24"/>
        </w:rPr>
      </w:pPr>
      <w:r>
        <w:rPr>
          <w:sz w:val="24"/>
        </w:rPr>
        <w:t>较特殊的是全覆盖债券引进了类似SPV的中介机构，但其与ABS/MBS主要的区别仍在于没有实现抵押资产的真实出售。如法国巴黎银行（</w:t>
      </w:r>
      <w:r>
        <w:rPr>
          <w:rFonts w:hint="eastAsia"/>
          <w:sz w:val="24"/>
        </w:rPr>
        <w:t>B</w:t>
      </w:r>
      <w:r>
        <w:rPr>
          <w:sz w:val="24"/>
        </w:rPr>
        <w:t>npparibas</w:t>
      </w:r>
      <w:r>
        <w:rPr>
          <w:rFonts w:hAnsi="Arial"/>
          <w:sz w:val="24"/>
        </w:rPr>
        <w:t>，简称</w:t>
      </w:r>
      <w:r>
        <w:rPr>
          <w:rFonts w:hint="eastAsia"/>
          <w:sz w:val="24"/>
        </w:rPr>
        <w:t>“</w:t>
      </w:r>
      <w:r>
        <w:rPr>
          <w:sz w:val="24"/>
        </w:rPr>
        <w:t>BNPP</w:t>
      </w:r>
      <w:r>
        <w:rPr>
          <w:rFonts w:hint="eastAsia"/>
          <w:sz w:val="24"/>
        </w:rPr>
        <w:t>”</w:t>
      </w:r>
      <w:r>
        <w:rPr>
          <w:sz w:val="24"/>
        </w:rPr>
        <w:t>）全覆盖债券，</w:t>
      </w:r>
      <w:r>
        <w:rPr>
          <w:rFonts w:hint="eastAsia"/>
          <w:sz w:val="24"/>
        </w:rPr>
        <w:t>该</w:t>
      </w:r>
      <w:r>
        <w:rPr>
          <w:sz w:val="24"/>
        </w:rPr>
        <w:t>债券由专门负责全覆盖债券发行的信贷机构（BNPP的子公司）负责发行。</w:t>
      </w:r>
      <w:r>
        <w:rPr>
          <w:rFonts w:hint="eastAsia"/>
          <w:sz w:val="24"/>
        </w:rPr>
        <w:t>该</w:t>
      </w:r>
      <w:r>
        <w:rPr>
          <w:sz w:val="24"/>
        </w:rPr>
        <w:t xml:space="preserve">发行机构通过发行程序为发起人（BNPP）提供资金，而抵押贷款依旧保持在BNPP的资产负债表中，并用于担保这笔款项的偿还。 </w:t>
      </w:r>
    </w:p>
    <w:p w14:paraId="45C4EF93">
      <w:pPr>
        <w:spacing w:line="440" w:lineRule="exact"/>
        <w:ind w:firstLine="482" w:firstLineChars="200"/>
        <w:rPr>
          <w:b/>
          <w:sz w:val="24"/>
        </w:rPr>
      </w:pPr>
      <w:bookmarkStart w:id="4" w:name="_Toc196843547"/>
      <w:bookmarkStart w:id="5" w:name="_Toc217963424"/>
      <w:bookmarkStart w:id="6" w:name="_Toc196836772"/>
      <w:r>
        <w:rPr>
          <w:rFonts w:hint="eastAsia"/>
          <w:b/>
          <w:sz w:val="24"/>
        </w:rPr>
        <w:t>2、</w:t>
      </w:r>
      <w:r>
        <w:rPr>
          <w:b/>
          <w:sz w:val="24"/>
        </w:rPr>
        <w:t>除对抵押资产池有优先求偿权外，全覆盖债券的持有者拥有对发行银行的追索权（双重保护），而ABS/MBS的债权人没有对发行人的追索权</w:t>
      </w:r>
      <w:bookmarkEnd w:id="4"/>
      <w:bookmarkEnd w:id="5"/>
      <w:bookmarkEnd w:id="6"/>
    </w:p>
    <w:p w14:paraId="2F27C541">
      <w:pPr>
        <w:autoSpaceDE w:val="0"/>
        <w:autoSpaceDN w:val="0"/>
        <w:adjustRightInd w:val="0"/>
        <w:spacing w:line="440" w:lineRule="exact"/>
        <w:ind w:firstLine="480" w:firstLineChars="200"/>
        <w:rPr>
          <w:sz w:val="24"/>
        </w:rPr>
      </w:pPr>
      <w:r>
        <w:rPr>
          <w:sz w:val="24"/>
        </w:rPr>
        <w:t>当发行人违约或破产，且资产池中的资产不足以偿付全覆盖债券持有人时，全覆盖债券持有人可以向发行人追偿损失。而ABS/MBS由于用于抵押的资产已真实出售给SPV，发行人对于债券的偿付不再承担义务，债券的持有人没有对发行人的追索权。这也是全覆盖债券和ABS/MBS的一个关键区别。</w:t>
      </w:r>
    </w:p>
    <w:p w14:paraId="23C719D8">
      <w:pPr>
        <w:autoSpaceDE w:val="0"/>
        <w:autoSpaceDN w:val="0"/>
        <w:adjustRightInd w:val="0"/>
        <w:spacing w:line="440" w:lineRule="exact"/>
        <w:ind w:firstLine="480" w:firstLineChars="200"/>
        <w:rPr>
          <w:sz w:val="24"/>
        </w:rPr>
      </w:pPr>
      <w:r>
        <w:rPr>
          <w:sz w:val="24"/>
        </w:rPr>
        <w:t>全覆盖债券的持有者同时拥有对资产池中资产的优先求偿权和对发行人的追索权，享受双重信用保障，可有效地分散投资风险，因而，全覆盖债券通常获得AAA信用</w:t>
      </w:r>
      <w:r>
        <w:rPr>
          <w:rFonts w:hint="eastAsia"/>
          <w:sz w:val="24"/>
        </w:rPr>
        <w:t>等级</w:t>
      </w:r>
      <w:r>
        <w:rPr>
          <w:sz w:val="24"/>
        </w:rPr>
        <w:t>。而高信用等级一方面可使发行银行以低成本融资，另一方面，为保守的投资者提供了一种安全的投资方式。</w:t>
      </w:r>
    </w:p>
    <w:p w14:paraId="28373508">
      <w:pPr>
        <w:autoSpaceDE w:val="0"/>
        <w:autoSpaceDN w:val="0"/>
        <w:adjustRightInd w:val="0"/>
        <w:spacing w:line="440" w:lineRule="exact"/>
        <w:ind w:firstLine="480" w:firstLineChars="200"/>
        <w:rPr>
          <w:sz w:val="24"/>
        </w:rPr>
      </w:pPr>
      <w:r>
        <w:rPr>
          <w:sz w:val="24"/>
        </w:rPr>
        <w:t>关于全覆盖债券的高信用等级也存在一些不同的看法。如部分ABS/MBS的发行人指出，全覆盖债券资产池的信用状况与发行银行整体的信用状况存在着很大的相关性，一旦资产池信用质量下降，发行银行的信用状况也会相应恶化。但一般的分析认为，</w:t>
      </w:r>
      <w:r>
        <w:rPr>
          <w:rFonts w:hint="eastAsia"/>
          <w:sz w:val="24"/>
        </w:rPr>
        <w:t>大型</w:t>
      </w:r>
      <w:r>
        <w:rPr>
          <w:sz w:val="24"/>
        </w:rPr>
        <w:t>银行都存在</w:t>
      </w:r>
      <w:r>
        <w:rPr>
          <w:rFonts w:hint="eastAsia"/>
          <w:sz w:val="24"/>
        </w:rPr>
        <w:t>“</w:t>
      </w:r>
      <w:r>
        <w:rPr>
          <w:sz w:val="24"/>
        </w:rPr>
        <w:t>大而不倒</w:t>
      </w:r>
      <w:r>
        <w:rPr>
          <w:rFonts w:hint="eastAsia"/>
          <w:sz w:val="24"/>
        </w:rPr>
        <w:t>”</w:t>
      </w:r>
      <w:r>
        <w:rPr>
          <w:sz w:val="24"/>
        </w:rPr>
        <w:t>的现象，全覆盖债券的高信用等级是有保障的。</w:t>
      </w:r>
    </w:p>
    <w:p w14:paraId="68FA4B45">
      <w:pPr>
        <w:spacing w:line="440" w:lineRule="exact"/>
        <w:ind w:firstLine="482" w:firstLineChars="200"/>
        <w:rPr>
          <w:b/>
          <w:sz w:val="24"/>
        </w:rPr>
      </w:pPr>
      <w:bookmarkStart w:id="7" w:name="_Toc196843548"/>
      <w:bookmarkStart w:id="8" w:name="_Toc196836773"/>
      <w:bookmarkStart w:id="9" w:name="_Toc217963425"/>
      <w:r>
        <w:rPr>
          <w:rFonts w:hint="eastAsia"/>
          <w:b/>
          <w:sz w:val="24"/>
        </w:rPr>
        <w:t>3、</w:t>
      </w:r>
      <w:r>
        <w:rPr>
          <w:b/>
          <w:sz w:val="24"/>
        </w:rPr>
        <w:t>全覆盖债券的抵押资产池为动态资产池，而ABS/MBS为静态资产池</w:t>
      </w:r>
      <w:bookmarkEnd w:id="7"/>
      <w:bookmarkEnd w:id="8"/>
      <w:bookmarkEnd w:id="9"/>
    </w:p>
    <w:p w14:paraId="65268E53">
      <w:pPr>
        <w:autoSpaceDE w:val="0"/>
        <w:autoSpaceDN w:val="0"/>
        <w:adjustRightInd w:val="0"/>
        <w:spacing w:line="440" w:lineRule="exact"/>
        <w:ind w:firstLine="480" w:firstLineChars="200"/>
        <w:rPr>
          <w:sz w:val="24"/>
        </w:rPr>
      </w:pPr>
      <w:r>
        <w:rPr>
          <w:sz w:val="24"/>
        </w:rPr>
        <w:t>发行银行对所有发行的全覆盖债券设定一个资产池，不存在某一特定的资产池或某一单笔贷款与某次发行之间的一一对应关系，发行的全覆盖债券由资产池中所有的资产整体担保。如果资产池中的资产不再满足法定条件或发行约定的条款，它就会被其他合格的资产替换，以保证整个资产池的质量。只要发行人仍有偿付能力，都将保持对资产池中资产的管理和控制。一旦资产池不能覆盖全覆盖债券余额，并且发行人不能通过替代、增加资产或回购全覆盖债券等方式保持对全覆盖债券余额的全覆盖，全覆盖债券将提前到期。总之，由高质量资产组成的动态资产池为全覆盖债券的高信用等级提供了保障。</w:t>
      </w:r>
    </w:p>
    <w:p w14:paraId="132EF473">
      <w:pPr>
        <w:autoSpaceDE w:val="0"/>
        <w:autoSpaceDN w:val="0"/>
        <w:adjustRightInd w:val="0"/>
        <w:spacing w:line="440" w:lineRule="exact"/>
        <w:ind w:firstLine="480" w:firstLineChars="200"/>
        <w:rPr>
          <w:sz w:val="24"/>
        </w:rPr>
      </w:pPr>
      <w:r>
        <w:rPr>
          <w:sz w:val="24"/>
        </w:rPr>
        <w:t>动态的资产池也给全覆盖债券投资者带来若干风险</w:t>
      </w:r>
      <w:r>
        <w:rPr>
          <w:rFonts w:hint="eastAsia"/>
          <w:sz w:val="24"/>
        </w:rPr>
        <w:t>，</w:t>
      </w:r>
      <w:r>
        <w:rPr>
          <w:sz w:val="24"/>
        </w:rPr>
        <w:t>如管理者不能将合格的资产投入资产池以满足全覆盖的要求</w:t>
      </w:r>
      <w:r>
        <w:rPr>
          <w:rFonts w:hint="eastAsia"/>
          <w:sz w:val="24"/>
        </w:rPr>
        <w:t>。</w:t>
      </w:r>
      <w:r>
        <w:rPr>
          <w:sz w:val="24"/>
        </w:rPr>
        <w:t>由于全覆盖债券通常需要支付固定的利率，资产池要不断地更新，如当抵押贷款到期时必须再投资并加入到资产池中，这可能导致高信用风险和高市场风险。此外，动态的资产池还面临以下风险：新加入资产可能的低收入</w:t>
      </w:r>
      <w:r>
        <w:rPr>
          <w:rFonts w:hint="eastAsia"/>
          <w:sz w:val="24"/>
        </w:rPr>
        <w:t>及</w:t>
      </w:r>
      <w:r>
        <w:rPr>
          <w:sz w:val="24"/>
        </w:rPr>
        <w:t>全覆盖债券固定利率与抵押贷款浮动利率之间利率不匹配而形成的利率风险。</w:t>
      </w:r>
    </w:p>
    <w:p w14:paraId="0B64A1A5">
      <w:pPr>
        <w:autoSpaceDE w:val="0"/>
        <w:autoSpaceDN w:val="0"/>
        <w:adjustRightInd w:val="0"/>
        <w:spacing w:line="440" w:lineRule="exact"/>
        <w:ind w:firstLine="480" w:firstLineChars="200"/>
        <w:rPr>
          <w:sz w:val="24"/>
        </w:rPr>
      </w:pPr>
      <w:r>
        <w:rPr>
          <w:sz w:val="24"/>
        </w:rPr>
        <w:t>ABS/MBS为静态资产池，一般不允许替换资产，通常用内部分层进行</w:t>
      </w:r>
      <w:r>
        <w:rPr>
          <w:rFonts w:hint="eastAsia"/>
          <w:sz w:val="24"/>
        </w:rPr>
        <w:t>增信</w:t>
      </w:r>
      <w:r>
        <w:rPr>
          <w:sz w:val="24"/>
        </w:rPr>
        <w:t>。</w:t>
      </w:r>
    </w:p>
    <w:p w14:paraId="2E99DD75">
      <w:pPr>
        <w:spacing w:line="440" w:lineRule="exact"/>
        <w:ind w:firstLine="482" w:firstLineChars="200"/>
        <w:rPr>
          <w:b/>
          <w:sz w:val="24"/>
        </w:rPr>
      </w:pPr>
      <w:bookmarkStart w:id="10" w:name="_Toc196843549"/>
      <w:bookmarkStart w:id="11" w:name="_Toc196836774"/>
      <w:bookmarkStart w:id="12" w:name="_Toc217963426"/>
      <w:r>
        <w:rPr>
          <w:rFonts w:hint="eastAsia"/>
          <w:b/>
          <w:sz w:val="24"/>
        </w:rPr>
        <w:t>4、</w:t>
      </w:r>
      <w:r>
        <w:rPr>
          <w:b/>
          <w:sz w:val="24"/>
        </w:rPr>
        <w:t>全覆盖债券与ABS/MBS破产隔离的对比</w:t>
      </w:r>
      <w:bookmarkEnd w:id="10"/>
      <w:bookmarkEnd w:id="11"/>
      <w:bookmarkEnd w:id="12"/>
    </w:p>
    <w:p w14:paraId="5FD192EA">
      <w:pPr>
        <w:autoSpaceDE w:val="0"/>
        <w:autoSpaceDN w:val="0"/>
        <w:adjustRightInd w:val="0"/>
        <w:spacing w:line="440" w:lineRule="exact"/>
        <w:ind w:firstLine="480" w:firstLineChars="200"/>
        <w:rPr>
          <w:sz w:val="24"/>
        </w:rPr>
      </w:pPr>
      <w:r>
        <w:rPr>
          <w:sz w:val="24"/>
        </w:rPr>
        <w:t>各国的全覆盖债券</w:t>
      </w:r>
      <w:r>
        <w:rPr>
          <w:rFonts w:hint="eastAsia"/>
          <w:sz w:val="24"/>
        </w:rPr>
        <w:t>具体</w:t>
      </w:r>
      <w:r>
        <w:rPr>
          <w:sz w:val="24"/>
        </w:rPr>
        <w:t>法</w:t>
      </w:r>
      <w:r>
        <w:rPr>
          <w:rFonts w:hint="eastAsia"/>
          <w:sz w:val="24"/>
        </w:rPr>
        <w:t>规</w:t>
      </w:r>
      <w:r>
        <w:rPr>
          <w:sz w:val="24"/>
        </w:rPr>
        <w:t>对全覆盖债券持有人的破产保护力度非常强，规定全覆盖债券资产池中的资产隔离在普通的破产程序外。对于结构化的全覆盖债券，由于是基于合同安排而非具体法规，对持有人破产隔离的保护依据一般的法律制度和基本的法理学原理，这方面各国有所不同。如英国法律对结构化全覆盖债券的资产隔离和破产保护程度就比较高。</w:t>
      </w:r>
    </w:p>
    <w:p w14:paraId="05FE0ACE">
      <w:pPr>
        <w:spacing w:line="440" w:lineRule="exact"/>
        <w:ind w:firstLine="482" w:firstLineChars="200"/>
        <w:rPr>
          <w:b/>
          <w:sz w:val="24"/>
        </w:rPr>
      </w:pPr>
      <w:bookmarkStart w:id="13" w:name="_Toc196843550"/>
      <w:bookmarkStart w:id="14" w:name="_Toc217963427"/>
      <w:bookmarkStart w:id="15" w:name="_Toc196836775"/>
      <w:r>
        <w:rPr>
          <w:rFonts w:hint="eastAsia"/>
          <w:b/>
          <w:sz w:val="24"/>
        </w:rPr>
        <w:t>5、</w:t>
      </w:r>
      <w:r>
        <w:rPr>
          <w:b/>
          <w:sz w:val="24"/>
        </w:rPr>
        <w:t>透明度</w:t>
      </w:r>
      <w:bookmarkEnd w:id="13"/>
      <w:bookmarkEnd w:id="14"/>
      <w:bookmarkEnd w:id="15"/>
    </w:p>
    <w:p w14:paraId="7DF1349C">
      <w:pPr>
        <w:autoSpaceDE w:val="0"/>
        <w:autoSpaceDN w:val="0"/>
        <w:adjustRightInd w:val="0"/>
        <w:spacing w:line="440" w:lineRule="exact"/>
        <w:ind w:firstLine="480" w:firstLineChars="200"/>
        <w:rPr>
          <w:sz w:val="24"/>
        </w:rPr>
      </w:pPr>
      <w:r>
        <w:rPr>
          <w:sz w:val="24"/>
        </w:rPr>
        <w:t>全覆盖债券有关抵押资产由信托人或评级机构进行定期检测，并向投资者发布检测结果，发布的频率和内容视各国的规定和发行人的意愿而定。由于发行CB的抵押资产池实行动态管理，对抵押资产的质量和数量有较高的要求，如合格的抵押资产一般要求达到一定的信用等级，对抵押资产以及新加入的资产均有最低质量要求，如贷款价值比率，抵押资产在CB存续期内要保持对已发行的CB保持全覆盖等。要持续达到这些要求，评级机构须对抵押资产进行定期和不定期地跟踪监督、检测和评级。因此，评级机构对于保证CB的正常发行和运转以及保障CB持有人的利益方面发挥着极其重要的作用。</w:t>
      </w:r>
    </w:p>
    <w:p w14:paraId="297C3238">
      <w:pPr>
        <w:autoSpaceDE w:val="0"/>
        <w:autoSpaceDN w:val="0"/>
        <w:adjustRightInd w:val="0"/>
        <w:spacing w:line="440" w:lineRule="exact"/>
        <w:ind w:firstLine="360" w:firstLineChars="150"/>
        <w:rPr>
          <w:sz w:val="24"/>
        </w:rPr>
      </w:pPr>
      <w:r>
        <w:rPr>
          <w:sz w:val="24"/>
        </w:rPr>
        <w:t>ABS/MBS的抵押资产由专门的SPV进行管理，透明度高。</w:t>
      </w:r>
    </w:p>
    <w:p w14:paraId="1C9F5767">
      <w:pPr>
        <w:spacing w:line="440" w:lineRule="exact"/>
        <w:ind w:firstLine="482" w:firstLineChars="200"/>
        <w:rPr>
          <w:b/>
          <w:sz w:val="24"/>
        </w:rPr>
      </w:pPr>
      <w:bookmarkStart w:id="16" w:name="_Toc217963428"/>
      <w:bookmarkStart w:id="17" w:name="_Toc196843551"/>
      <w:bookmarkStart w:id="18" w:name="_Toc196836776"/>
      <w:r>
        <w:rPr>
          <w:rFonts w:hint="eastAsia"/>
          <w:b/>
          <w:sz w:val="24"/>
        </w:rPr>
        <w:t>6、</w:t>
      </w:r>
      <w:r>
        <w:rPr>
          <w:b/>
          <w:sz w:val="24"/>
        </w:rPr>
        <w:t>抵押合格资产</w:t>
      </w:r>
      <w:bookmarkEnd w:id="16"/>
      <w:bookmarkEnd w:id="17"/>
      <w:bookmarkEnd w:id="18"/>
    </w:p>
    <w:p w14:paraId="29A7C87F">
      <w:pPr>
        <w:autoSpaceDE w:val="0"/>
        <w:autoSpaceDN w:val="0"/>
        <w:adjustRightInd w:val="0"/>
        <w:spacing w:line="440" w:lineRule="exact"/>
        <w:ind w:firstLine="360" w:firstLineChars="150"/>
      </w:pPr>
      <w:r>
        <w:rPr>
          <w:sz w:val="24"/>
        </w:rPr>
        <w:t xml:space="preserve"> 欧洲全覆盖债券的抵押合格资产在《资本要求法令》（Capital Requirements Directive</w:t>
      </w:r>
      <w:r>
        <w:rPr>
          <w:rFonts w:hint="eastAsia"/>
          <w:sz w:val="24"/>
        </w:rPr>
        <w:t>，简称“</w:t>
      </w:r>
      <w:r>
        <w:rPr>
          <w:sz w:val="24"/>
        </w:rPr>
        <w:t>CRD</w:t>
      </w:r>
      <w:r>
        <w:rPr>
          <w:rFonts w:hint="eastAsia"/>
          <w:sz w:val="24"/>
        </w:rPr>
        <w:t>”</w:t>
      </w:r>
      <w:r>
        <w:rPr>
          <w:sz w:val="24"/>
        </w:rPr>
        <w:t>）有统一的规定</w:t>
      </w:r>
      <w:r>
        <w:rPr>
          <w:rFonts w:hint="eastAsia"/>
          <w:sz w:val="24"/>
        </w:rPr>
        <w:t>。</w:t>
      </w:r>
      <w:r>
        <w:rPr>
          <w:sz w:val="24"/>
        </w:rPr>
        <w:t>CRD规定住宅和商业抵押贷款</w:t>
      </w:r>
      <w:r>
        <w:rPr>
          <w:rFonts w:hint="eastAsia"/>
          <w:sz w:val="24"/>
        </w:rPr>
        <w:t>、</w:t>
      </w:r>
      <w:r>
        <w:rPr>
          <w:sz w:val="24"/>
        </w:rPr>
        <w:t>公共部门贷款和船舶抵押贷款可作为全覆盖债券的合格资产</w:t>
      </w:r>
      <w:r>
        <w:rPr>
          <w:rFonts w:hint="eastAsia"/>
          <w:sz w:val="24"/>
        </w:rPr>
        <w:t>。</w:t>
      </w:r>
      <w:r>
        <w:rPr>
          <w:sz w:val="24"/>
        </w:rPr>
        <w:t>各国对此</w:t>
      </w:r>
      <w:r>
        <w:rPr>
          <w:rFonts w:hint="eastAsia"/>
          <w:sz w:val="24"/>
        </w:rPr>
        <w:t>也都</w:t>
      </w:r>
      <w:r>
        <w:rPr>
          <w:sz w:val="24"/>
        </w:rPr>
        <w:t>有更具体的规定。在结构化全覆盖债券中，存在允许其他类型的资产（如汽车贷款）作为合格资产的迹象。在法国、意大利和爱尔兰，RMBS已经允许出现在全覆盖债券资产池中。爱尔兰新发布的法律甚至将RMBS划入全覆盖债券的范畴。</w:t>
      </w:r>
    </w:p>
    <w:p w14:paraId="599FC25A"/>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modern"/>
    <w:pitch w:val="default"/>
    <w:sig w:usb0="00000203" w:usb1="288F0000" w:usb2="0000000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D52E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caption"/>
    <w:basedOn w:val="1"/>
    <w:next w:val="1"/>
    <w:qFormat/>
    <w:uiPriority w:val="0"/>
    <w:rPr>
      <w:rFonts w:ascii="Arial" w:hAnsi="Arial" w:eastAsia="黑体" w:cs="Arial"/>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2025-10-22T06:50:48Z</dcterms:created>
  <dc:creator>40356</dc:creator>
  <cp:lastModifiedBy>User</cp:lastModifiedBy>
  <dcterms:modified xsi:type="dcterms:W3CDTF">2025-10-22T06:51:13Z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eyJoZGlkIjoiMzEwNTM5NzYwMDRjMzkwZTVkZjY2ODkwMGIxNGU0OTUiLCJ1c2VySWQiOiI0MjQ4Mjc2MjgifQ==</vt:lpwstr>
  </property>
  <property fmtid="{D5CDD505-2E9C-101B-9397-08002B2CF9AE}" pid="4" name="ICV">
    <vt:lpwstr>88193468CB9F4A1B9274177F4CB16DE3_12</vt:lpwstr>
  </property>
</Properties>
</file>