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455D" w14:textId="017CB3E8" w:rsidR="00F30EA9" w:rsidRDefault="00F30EA9" w:rsidP="00F30EA9">
      <w:pPr>
        <w:spacing w:beforeLines="100" w:before="312" w:afterLines="50" w:after="156" w:line="440" w:lineRule="exact"/>
        <w:jc w:val="center"/>
        <w:outlineLvl w:val="1"/>
        <w:rPr>
          <w:rFonts w:ascii="黑体" w:eastAsia="黑体"/>
          <w:bCs/>
          <w:sz w:val="32"/>
          <w:szCs w:val="32"/>
        </w:rPr>
      </w:pPr>
      <w:bookmarkStart w:id="0" w:name="_Toc256506320"/>
      <w:r w:rsidRPr="00800D22">
        <w:rPr>
          <w:rFonts w:ascii="黑体" w:eastAsia="黑体" w:hint="eastAsia"/>
          <w:bCs/>
          <w:sz w:val="32"/>
          <w:szCs w:val="32"/>
        </w:rPr>
        <w:t>美国市政债券发展经验借鉴</w:t>
      </w:r>
      <w:bookmarkEnd w:id="0"/>
    </w:p>
    <w:p w14:paraId="1B145C5E" w14:textId="77777777" w:rsidR="00F30EA9" w:rsidRPr="00800D22" w:rsidRDefault="00F30EA9" w:rsidP="00F30EA9">
      <w:pPr>
        <w:spacing w:beforeLines="100" w:before="312" w:afterLines="50" w:after="156" w:line="440" w:lineRule="exact"/>
        <w:jc w:val="center"/>
        <w:outlineLvl w:val="1"/>
        <w:rPr>
          <w:rFonts w:ascii="黑体" w:eastAsia="黑体" w:hint="eastAsia"/>
          <w:bCs/>
          <w:sz w:val="32"/>
          <w:szCs w:val="32"/>
        </w:rPr>
      </w:pPr>
    </w:p>
    <w:p w14:paraId="7D83D17B" w14:textId="35139637" w:rsidR="00F30EA9" w:rsidRPr="00800D22" w:rsidRDefault="00F30EA9" w:rsidP="00F30EA9">
      <w:pPr>
        <w:pStyle w:val="3"/>
        <w:adjustRightInd w:val="0"/>
        <w:spacing w:beforeLines="50" w:before="156" w:afterLines="50" w:after="156" w:line="440" w:lineRule="exact"/>
        <w:ind w:firstLineChars="200" w:firstLine="562"/>
        <w:jc w:val="left"/>
        <w:rPr>
          <w:rFonts w:ascii="黑体" w:eastAsia="黑体" w:hint="eastAsia"/>
          <w:b/>
          <w:sz w:val="28"/>
          <w:szCs w:val="28"/>
        </w:rPr>
      </w:pPr>
      <w:bookmarkStart w:id="1" w:name="_Toc247869871"/>
      <w:bookmarkStart w:id="2" w:name="_Toc256506321"/>
      <w:r>
        <w:rPr>
          <w:rFonts w:ascii="黑体" w:eastAsia="黑体" w:hint="eastAsia"/>
          <w:b/>
          <w:sz w:val="28"/>
          <w:szCs w:val="28"/>
        </w:rPr>
        <w:t>一、</w:t>
      </w:r>
      <w:r w:rsidRPr="00800D22">
        <w:rPr>
          <w:rFonts w:ascii="黑体" w:eastAsia="黑体" w:hint="eastAsia"/>
          <w:b/>
          <w:sz w:val="28"/>
          <w:szCs w:val="28"/>
        </w:rPr>
        <w:t>美国市政债券</w:t>
      </w:r>
      <w:bookmarkEnd w:id="1"/>
      <w:bookmarkEnd w:id="2"/>
    </w:p>
    <w:p w14:paraId="45084D93" w14:textId="3EC1310C" w:rsidR="00F30EA9" w:rsidRPr="00800D22" w:rsidRDefault="00F30EA9" w:rsidP="00F30EA9">
      <w:pPr>
        <w:widowControl/>
        <w:spacing w:line="440" w:lineRule="exact"/>
        <w:ind w:firstLineChars="200" w:firstLine="480"/>
        <w:jc w:val="left"/>
        <w:rPr>
          <w:rFonts w:eastAsia="新宋体"/>
          <w:kern w:val="0"/>
          <w:sz w:val="24"/>
        </w:rPr>
      </w:pPr>
      <w:r w:rsidRPr="00800D22">
        <w:rPr>
          <w:rFonts w:eastAsia="新宋体" w:hAnsi="新宋体"/>
          <w:kern w:val="0"/>
          <w:sz w:val="24"/>
        </w:rPr>
        <w:t>从成熟市场的实践来看，市政债券发行量最大的国家是美国和日本，其次是加拿大</w:t>
      </w:r>
      <w:r w:rsidRPr="00800D22">
        <w:rPr>
          <w:rFonts w:eastAsia="新宋体" w:hAnsi="新宋体" w:hint="eastAsia"/>
          <w:kern w:val="0"/>
          <w:sz w:val="24"/>
        </w:rPr>
        <w:t>和</w:t>
      </w:r>
      <w:r w:rsidRPr="00800D22">
        <w:rPr>
          <w:rFonts w:eastAsia="新宋体" w:hAnsi="新宋体"/>
          <w:kern w:val="0"/>
          <w:sz w:val="24"/>
        </w:rPr>
        <w:t>德国。</w:t>
      </w:r>
      <w:r w:rsidRPr="00800D22">
        <w:rPr>
          <w:rStyle w:val="af0"/>
          <w:rFonts w:ascii="黑体" w:eastAsia="黑体"/>
          <w:bCs/>
          <w:sz w:val="32"/>
          <w:szCs w:val="32"/>
        </w:rPr>
        <w:footnoteReference w:id="1"/>
      </w:r>
      <w:r w:rsidRPr="00800D22">
        <w:rPr>
          <w:rFonts w:eastAsia="新宋体" w:hAnsi="新宋体"/>
          <w:kern w:val="0"/>
          <w:sz w:val="24"/>
        </w:rPr>
        <w:t>在美国</w:t>
      </w:r>
      <w:r w:rsidRPr="00800D22">
        <w:rPr>
          <w:rFonts w:eastAsia="新宋体" w:hAnsi="新宋体" w:hint="eastAsia"/>
          <w:kern w:val="0"/>
          <w:sz w:val="24"/>
        </w:rPr>
        <w:t>，</w:t>
      </w:r>
      <w:r w:rsidRPr="00800D22">
        <w:rPr>
          <w:rFonts w:eastAsia="新宋体"/>
          <w:kern w:val="0"/>
          <w:sz w:val="24"/>
        </w:rPr>
        <w:t>1990</w:t>
      </w:r>
      <w:r w:rsidRPr="00800D22">
        <w:rPr>
          <w:rFonts w:eastAsia="新宋体" w:hAnsi="新宋体"/>
          <w:kern w:val="0"/>
          <w:sz w:val="24"/>
        </w:rPr>
        <w:t>年以来市政债券余额占</w:t>
      </w:r>
      <w:r w:rsidRPr="00800D22">
        <w:rPr>
          <w:rFonts w:eastAsia="新宋体"/>
          <w:kern w:val="0"/>
          <w:sz w:val="24"/>
        </w:rPr>
        <w:t>GDP</w:t>
      </w:r>
      <w:r w:rsidRPr="00800D22">
        <w:rPr>
          <w:rFonts w:eastAsia="新宋体" w:hAnsi="新宋体"/>
          <w:kern w:val="0"/>
          <w:sz w:val="24"/>
        </w:rPr>
        <w:t>的</w:t>
      </w:r>
      <w:r w:rsidRPr="00800D22">
        <w:rPr>
          <w:rFonts w:eastAsia="新宋体" w:hAnsi="新宋体" w:hint="eastAsia"/>
          <w:kern w:val="0"/>
          <w:sz w:val="24"/>
        </w:rPr>
        <w:t>比例为</w:t>
      </w:r>
      <w:r w:rsidRPr="00800D22">
        <w:rPr>
          <w:rFonts w:eastAsia="新宋体"/>
          <w:kern w:val="0"/>
          <w:sz w:val="24"/>
        </w:rPr>
        <w:t>15%-20%</w:t>
      </w:r>
      <w:r w:rsidRPr="00800D22">
        <w:rPr>
          <w:rFonts w:eastAsia="新宋体" w:hAnsi="新宋体"/>
          <w:kern w:val="0"/>
          <w:sz w:val="24"/>
        </w:rPr>
        <w:t>，约占美国全部债务的</w:t>
      </w:r>
      <w:r w:rsidRPr="00800D22">
        <w:rPr>
          <w:rFonts w:eastAsia="新宋体"/>
          <w:kern w:val="0"/>
          <w:sz w:val="24"/>
        </w:rPr>
        <w:t>6%</w:t>
      </w:r>
      <w:r w:rsidRPr="00800D22">
        <w:rPr>
          <w:rFonts w:eastAsia="新宋体" w:hAnsi="新宋体"/>
          <w:kern w:val="0"/>
          <w:sz w:val="24"/>
        </w:rPr>
        <w:t>。</w:t>
      </w:r>
    </w:p>
    <w:p w14:paraId="6A94DDD6" w14:textId="77777777" w:rsidR="00F30EA9" w:rsidRPr="00800D22" w:rsidRDefault="00F30EA9" w:rsidP="00F30EA9">
      <w:pPr>
        <w:widowControl/>
        <w:spacing w:line="440" w:lineRule="exact"/>
        <w:jc w:val="left"/>
        <w:rPr>
          <w:rFonts w:eastAsia="新宋体"/>
          <w:kern w:val="0"/>
          <w:sz w:val="24"/>
        </w:rPr>
      </w:pPr>
      <w:r w:rsidRPr="00800D22">
        <w:rPr>
          <w:rFonts w:ascii="新宋体" w:eastAsia="新宋体" w:hAnsi="新宋体" w:cs="宋体"/>
          <w:kern w:val="0"/>
          <w:sz w:val="24"/>
        </w:rPr>
        <w:t>  </w:t>
      </w:r>
      <w:r w:rsidRPr="00800D22">
        <w:rPr>
          <w:rFonts w:eastAsia="新宋体" w:hAnsi="新宋体"/>
          <w:kern w:val="0"/>
          <w:sz w:val="24"/>
        </w:rPr>
        <w:t>美国城市公共设施项目的市场融资渠道主要有四</w:t>
      </w:r>
      <w:r w:rsidRPr="00800D22">
        <w:rPr>
          <w:rFonts w:eastAsia="新宋体" w:hAnsi="新宋体" w:hint="eastAsia"/>
          <w:kern w:val="0"/>
          <w:sz w:val="24"/>
        </w:rPr>
        <w:t>种</w:t>
      </w:r>
      <w:r w:rsidRPr="00800D22">
        <w:rPr>
          <w:rFonts w:eastAsia="新宋体" w:hAnsi="新宋体"/>
          <w:kern w:val="0"/>
          <w:sz w:val="24"/>
        </w:rPr>
        <w:t>：（</w:t>
      </w:r>
      <w:r w:rsidRPr="00800D22">
        <w:rPr>
          <w:rFonts w:eastAsia="新宋体"/>
          <w:kern w:val="0"/>
          <w:sz w:val="24"/>
        </w:rPr>
        <w:t>1</w:t>
      </w:r>
      <w:r w:rsidRPr="00800D22">
        <w:rPr>
          <w:rFonts w:eastAsia="新宋体" w:hAnsi="新宋体"/>
          <w:kern w:val="0"/>
          <w:sz w:val="24"/>
        </w:rPr>
        <w:t>）设立专门的税费。本着</w:t>
      </w:r>
      <w:r w:rsidRPr="00800D22">
        <w:rPr>
          <w:rFonts w:eastAsia="新宋体"/>
          <w:kern w:val="0"/>
          <w:sz w:val="24"/>
        </w:rPr>
        <w:t>“</w:t>
      </w:r>
      <w:r w:rsidRPr="00800D22">
        <w:rPr>
          <w:rFonts w:eastAsia="新宋体" w:hAnsi="新宋体"/>
          <w:kern w:val="0"/>
          <w:sz w:val="24"/>
        </w:rPr>
        <w:t>谁受益谁出钱</w:t>
      </w:r>
      <w:r w:rsidRPr="00800D22">
        <w:rPr>
          <w:rFonts w:eastAsia="新宋体"/>
          <w:kern w:val="0"/>
          <w:sz w:val="24"/>
        </w:rPr>
        <w:t>”</w:t>
      </w:r>
      <w:r w:rsidRPr="00800D22">
        <w:rPr>
          <w:rFonts w:eastAsia="新宋体" w:hAnsi="新宋体"/>
          <w:kern w:val="0"/>
          <w:sz w:val="24"/>
        </w:rPr>
        <w:t>的原则。（</w:t>
      </w:r>
      <w:r w:rsidRPr="00800D22">
        <w:rPr>
          <w:rFonts w:eastAsia="新宋体"/>
          <w:kern w:val="0"/>
          <w:sz w:val="24"/>
        </w:rPr>
        <w:t>2</w:t>
      </w:r>
      <w:r w:rsidRPr="00800D22">
        <w:rPr>
          <w:rFonts w:eastAsia="新宋体" w:hAnsi="新宋体"/>
          <w:kern w:val="0"/>
          <w:sz w:val="24"/>
        </w:rPr>
        <w:t>）发行市政债券。对于建成以后可以收费的项目，如机场、收费公路、桥梁</w:t>
      </w:r>
      <w:r w:rsidRPr="00800D22">
        <w:rPr>
          <w:rFonts w:eastAsia="新宋体" w:hAnsi="新宋体" w:hint="eastAsia"/>
          <w:kern w:val="0"/>
          <w:sz w:val="24"/>
        </w:rPr>
        <w:t>和</w:t>
      </w:r>
      <w:r w:rsidRPr="00800D22">
        <w:rPr>
          <w:rFonts w:eastAsia="新宋体" w:hAnsi="新宋体"/>
          <w:kern w:val="0"/>
          <w:sz w:val="24"/>
        </w:rPr>
        <w:t>隧道等项目，许多地方政府采取这一方法筹资。如波特兰市机场扩建，</w:t>
      </w:r>
      <w:r w:rsidRPr="00800D22">
        <w:rPr>
          <w:rFonts w:eastAsia="新宋体"/>
          <w:kern w:val="0"/>
          <w:sz w:val="24"/>
        </w:rPr>
        <w:t>10</w:t>
      </w:r>
      <w:r w:rsidRPr="00800D22">
        <w:rPr>
          <w:rFonts w:eastAsia="新宋体" w:hAnsi="新宋体"/>
          <w:kern w:val="0"/>
          <w:sz w:val="24"/>
        </w:rPr>
        <w:t>亿美元的投资中</w:t>
      </w:r>
      <w:r w:rsidRPr="00800D22">
        <w:rPr>
          <w:rFonts w:eastAsia="新宋体"/>
          <w:kern w:val="0"/>
          <w:sz w:val="24"/>
        </w:rPr>
        <w:t>50%</w:t>
      </w:r>
      <w:r w:rsidRPr="00800D22">
        <w:rPr>
          <w:rFonts w:eastAsia="新宋体" w:hAnsi="新宋体"/>
          <w:kern w:val="0"/>
          <w:sz w:val="24"/>
        </w:rPr>
        <w:t>是通过发行债券解决的。这一方法是美国城市基础设施建设最主要的融资渠道。（</w:t>
      </w:r>
      <w:r w:rsidRPr="00800D22">
        <w:rPr>
          <w:rFonts w:eastAsia="新宋体"/>
          <w:kern w:val="0"/>
          <w:sz w:val="24"/>
        </w:rPr>
        <w:t>3</w:t>
      </w:r>
      <w:r w:rsidRPr="00800D22">
        <w:rPr>
          <w:rFonts w:eastAsia="新宋体" w:hAnsi="新宋体"/>
          <w:kern w:val="0"/>
          <w:sz w:val="24"/>
        </w:rPr>
        <w:t>）私人部门</w:t>
      </w:r>
      <w:r w:rsidRPr="00800D22">
        <w:rPr>
          <w:rFonts w:eastAsia="新宋体" w:hAnsi="新宋体" w:hint="eastAsia"/>
          <w:kern w:val="0"/>
          <w:sz w:val="24"/>
        </w:rPr>
        <w:t>的</w:t>
      </w:r>
      <w:r w:rsidRPr="00800D22">
        <w:rPr>
          <w:rFonts w:eastAsia="新宋体" w:hAnsi="新宋体"/>
          <w:kern w:val="0"/>
          <w:sz w:val="24"/>
        </w:rPr>
        <w:t>投资。近些年，一些原来完全由政府投资的基础设施项目开始鼓励私人部门投资。如波特兰市在与华盛顿州交界的哥伦比亚河上新建</w:t>
      </w:r>
      <w:r w:rsidRPr="00800D22">
        <w:rPr>
          <w:rFonts w:eastAsia="新宋体"/>
          <w:kern w:val="0"/>
          <w:sz w:val="24"/>
        </w:rPr>
        <w:t>5</w:t>
      </w:r>
      <w:r w:rsidRPr="00800D22">
        <w:rPr>
          <w:rFonts w:eastAsia="新宋体" w:hAnsi="新宋体"/>
          <w:kern w:val="0"/>
          <w:sz w:val="24"/>
        </w:rPr>
        <w:t>号码头，所有资金只有</w:t>
      </w:r>
      <w:r w:rsidRPr="00800D22">
        <w:rPr>
          <w:rFonts w:eastAsia="新宋体"/>
          <w:kern w:val="0"/>
          <w:sz w:val="24"/>
        </w:rPr>
        <w:t>10%</w:t>
      </w:r>
      <w:r w:rsidRPr="00800D22">
        <w:rPr>
          <w:rFonts w:eastAsia="新宋体" w:hAnsi="新宋体"/>
          <w:kern w:val="0"/>
          <w:sz w:val="24"/>
        </w:rPr>
        <w:t>是政府筹集的，</w:t>
      </w:r>
      <w:r w:rsidRPr="00800D22">
        <w:rPr>
          <w:rFonts w:eastAsia="新宋体"/>
          <w:kern w:val="0"/>
          <w:sz w:val="24"/>
        </w:rPr>
        <w:t>90%</w:t>
      </w:r>
      <w:r w:rsidRPr="00800D22">
        <w:rPr>
          <w:rFonts w:eastAsia="新宋体" w:hAnsi="新宋体"/>
          <w:kern w:val="0"/>
          <w:sz w:val="24"/>
        </w:rPr>
        <w:t>是私人部门投资的。为了鼓励私人投资，政府往往提供一些优惠政策，如免交财产税等。（</w:t>
      </w:r>
      <w:r w:rsidRPr="00800D22">
        <w:rPr>
          <w:rFonts w:eastAsia="新宋体"/>
          <w:kern w:val="0"/>
          <w:sz w:val="24"/>
        </w:rPr>
        <w:t>4</w:t>
      </w:r>
      <w:r w:rsidRPr="00800D22">
        <w:rPr>
          <w:rFonts w:eastAsia="新宋体" w:hAnsi="新宋体"/>
          <w:kern w:val="0"/>
          <w:sz w:val="24"/>
        </w:rPr>
        <w:t>）由政府提供信用</w:t>
      </w:r>
      <w:r w:rsidRPr="00800D22">
        <w:rPr>
          <w:rFonts w:eastAsia="新宋体" w:hAnsi="新宋体" w:hint="eastAsia"/>
          <w:kern w:val="0"/>
          <w:sz w:val="24"/>
        </w:rPr>
        <w:t>支持</w:t>
      </w:r>
      <w:r w:rsidRPr="00800D22">
        <w:rPr>
          <w:rFonts w:eastAsia="新宋体" w:hAnsi="新宋体"/>
          <w:kern w:val="0"/>
          <w:sz w:val="24"/>
        </w:rPr>
        <w:t>。这是鼓励私人部门参与基础设施建设的一种新方法。比如，南加州有一条国道因过于拥挤而需扩建，要投资</w:t>
      </w:r>
      <w:r w:rsidRPr="00800D22">
        <w:rPr>
          <w:rFonts w:eastAsia="新宋体"/>
          <w:kern w:val="0"/>
          <w:sz w:val="24"/>
        </w:rPr>
        <w:t>11</w:t>
      </w:r>
      <w:r w:rsidRPr="00800D22">
        <w:rPr>
          <w:rFonts w:eastAsia="新宋体" w:hAnsi="新宋体"/>
          <w:kern w:val="0"/>
          <w:sz w:val="24"/>
        </w:rPr>
        <w:t>亿美元，政府负责</w:t>
      </w:r>
      <w:r w:rsidRPr="00800D22">
        <w:rPr>
          <w:rFonts w:eastAsia="新宋体"/>
          <w:kern w:val="0"/>
          <w:sz w:val="24"/>
        </w:rPr>
        <w:t>35%</w:t>
      </w:r>
      <w:r w:rsidRPr="00800D22">
        <w:rPr>
          <w:rFonts w:eastAsia="新宋体" w:hAnsi="新宋体"/>
          <w:kern w:val="0"/>
          <w:sz w:val="24"/>
        </w:rPr>
        <w:t>的费用，其它</w:t>
      </w:r>
      <w:r w:rsidRPr="00800D22">
        <w:rPr>
          <w:rFonts w:eastAsia="新宋体"/>
          <w:kern w:val="0"/>
          <w:sz w:val="24"/>
        </w:rPr>
        <w:t>65%</w:t>
      </w:r>
      <w:r w:rsidRPr="00800D22">
        <w:rPr>
          <w:rFonts w:eastAsia="新宋体" w:hAnsi="新宋体"/>
          <w:kern w:val="0"/>
          <w:sz w:val="24"/>
        </w:rPr>
        <w:t>的费用由私人开发公司</w:t>
      </w:r>
      <w:r w:rsidRPr="00800D22">
        <w:rPr>
          <w:rFonts w:eastAsia="新宋体" w:hAnsi="新宋体" w:hint="eastAsia"/>
          <w:kern w:val="0"/>
          <w:sz w:val="24"/>
        </w:rPr>
        <w:t>通过</w:t>
      </w:r>
      <w:r w:rsidRPr="00800D22">
        <w:rPr>
          <w:rFonts w:eastAsia="新宋体" w:hAnsi="新宋体"/>
          <w:kern w:val="0"/>
          <w:sz w:val="24"/>
        </w:rPr>
        <w:t>发行</w:t>
      </w:r>
      <w:r w:rsidRPr="00800D22">
        <w:rPr>
          <w:rFonts w:eastAsia="新宋体" w:hAnsi="新宋体" w:hint="eastAsia"/>
          <w:kern w:val="0"/>
          <w:sz w:val="24"/>
        </w:rPr>
        <w:t>由</w:t>
      </w:r>
      <w:r w:rsidRPr="00800D22">
        <w:rPr>
          <w:rFonts w:eastAsia="新宋体" w:hAnsi="新宋体"/>
          <w:kern w:val="0"/>
          <w:sz w:val="24"/>
        </w:rPr>
        <w:t>政府</w:t>
      </w:r>
      <w:r w:rsidRPr="00800D22">
        <w:rPr>
          <w:rFonts w:eastAsia="新宋体" w:hAnsi="新宋体" w:hint="eastAsia"/>
          <w:kern w:val="0"/>
          <w:sz w:val="24"/>
        </w:rPr>
        <w:t>提供</w:t>
      </w:r>
      <w:r w:rsidRPr="00800D22">
        <w:rPr>
          <w:rFonts w:eastAsia="新宋体" w:hAnsi="新宋体"/>
          <w:kern w:val="0"/>
          <w:sz w:val="24"/>
        </w:rPr>
        <w:t>担保</w:t>
      </w:r>
      <w:r w:rsidRPr="00800D22">
        <w:rPr>
          <w:rFonts w:eastAsia="新宋体" w:hAnsi="新宋体" w:hint="eastAsia"/>
          <w:kern w:val="0"/>
          <w:sz w:val="24"/>
        </w:rPr>
        <w:t>的</w:t>
      </w:r>
      <w:r w:rsidRPr="00800D22">
        <w:rPr>
          <w:rFonts w:eastAsia="新宋体" w:hAnsi="新宋体"/>
          <w:kern w:val="0"/>
          <w:sz w:val="24"/>
        </w:rPr>
        <w:t>建设债券</w:t>
      </w:r>
      <w:r w:rsidRPr="00800D22">
        <w:rPr>
          <w:rFonts w:eastAsia="新宋体" w:hAnsi="新宋体" w:hint="eastAsia"/>
          <w:kern w:val="0"/>
          <w:sz w:val="24"/>
        </w:rPr>
        <w:t>的方式来筹集</w:t>
      </w:r>
      <w:r w:rsidRPr="00800D22">
        <w:rPr>
          <w:rFonts w:eastAsia="新宋体" w:hAnsi="新宋体"/>
          <w:kern w:val="0"/>
          <w:sz w:val="24"/>
        </w:rPr>
        <w:t>。如果公路运营之后的收益达不到预期</w:t>
      </w:r>
      <w:r w:rsidRPr="00800D22">
        <w:rPr>
          <w:rFonts w:eastAsia="新宋体" w:hAnsi="新宋体" w:hint="eastAsia"/>
          <w:kern w:val="0"/>
          <w:sz w:val="24"/>
        </w:rPr>
        <w:t>水平</w:t>
      </w:r>
      <w:r w:rsidRPr="00800D22">
        <w:rPr>
          <w:rFonts w:eastAsia="新宋体" w:hAnsi="新宋体"/>
          <w:kern w:val="0"/>
          <w:sz w:val="24"/>
        </w:rPr>
        <w:t>，</w:t>
      </w:r>
      <w:r w:rsidRPr="00800D22">
        <w:rPr>
          <w:rFonts w:eastAsia="新宋体" w:hAnsi="新宋体" w:hint="eastAsia"/>
          <w:kern w:val="0"/>
          <w:sz w:val="24"/>
        </w:rPr>
        <w:t>则由</w:t>
      </w:r>
      <w:r w:rsidRPr="00800D22">
        <w:rPr>
          <w:rFonts w:eastAsia="新宋体" w:hAnsi="新宋体"/>
          <w:kern w:val="0"/>
          <w:sz w:val="24"/>
        </w:rPr>
        <w:t>联邦政府负责提供贷款予以资助，以保证运营</w:t>
      </w:r>
      <w:r w:rsidRPr="00800D22">
        <w:rPr>
          <w:rFonts w:eastAsia="新宋体" w:hAnsi="新宋体" w:hint="eastAsia"/>
          <w:kern w:val="0"/>
          <w:sz w:val="24"/>
        </w:rPr>
        <w:t>的正常进行和债务的顺利偿还</w:t>
      </w:r>
      <w:r w:rsidRPr="00800D22">
        <w:rPr>
          <w:rFonts w:eastAsia="新宋体" w:hAnsi="新宋体"/>
          <w:kern w:val="0"/>
          <w:sz w:val="24"/>
        </w:rPr>
        <w:t>。</w:t>
      </w:r>
    </w:p>
    <w:p w14:paraId="6C0F47FC" w14:textId="77777777" w:rsidR="00F30EA9" w:rsidRPr="00800D22" w:rsidRDefault="00F30EA9" w:rsidP="00F30EA9">
      <w:pPr>
        <w:widowControl/>
        <w:spacing w:line="440" w:lineRule="exact"/>
        <w:ind w:firstLineChars="200" w:firstLine="480"/>
        <w:jc w:val="left"/>
        <w:rPr>
          <w:rFonts w:eastAsia="新宋体"/>
          <w:kern w:val="0"/>
          <w:sz w:val="24"/>
        </w:rPr>
      </w:pPr>
      <w:r w:rsidRPr="00800D22">
        <w:rPr>
          <w:rFonts w:eastAsia="新宋体" w:hAnsi="新宋体"/>
          <w:kern w:val="0"/>
          <w:sz w:val="24"/>
        </w:rPr>
        <w:t>在美国，一般债务债券可以由州、市、镇和县发行，都以发行者的税收能力为基础（以一种或几种税收的收入来偿还）。一般债务债券是建立在地方政府信用基础上发行的债券，</w:t>
      </w:r>
      <w:r w:rsidRPr="00800D22">
        <w:rPr>
          <w:rFonts w:eastAsia="新宋体" w:hAnsi="新宋体" w:hint="eastAsia"/>
          <w:kern w:val="0"/>
          <w:sz w:val="24"/>
        </w:rPr>
        <w:t>主要</w:t>
      </w:r>
      <w:r w:rsidRPr="00800D22">
        <w:rPr>
          <w:rFonts w:eastAsia="新宋体" w:hAnsi="新宋体"/>
          <w:kern w:val="0"/>
          <w:sz w:val="24"/>
        </w:rPr>
        <w:t>依靠税收</w:t>
      </w:r>
      <w:r w:rsidRPr="00800D22">
        <w:rPr>
          <w:rFonts w:eastAsia="新宋体" w:hAnsi="新宋体" w:hint="eastAsia"/>
          <w:kern w:val="0"/>
          <w:sz w:val="24"/>
        </w:rPr>
        <w:t>收入来保障</w:t>
      </w:r>
      <w:r w:rsidRPr="00800D22">
        <w:rPr>
          <w:rFonts w:eastAsia="新宋体" w:hAnsi="新宋体"/>
          <w:kern w:val="0"/>
          <w:sz w:val="24"/>
        </w:rPr>
        <w:t>偿付的融资工具。除非某种税收收入被特别限制，一般发行人会以自己全部可支配收入为一般责任债券担保。其中，市级政府依靠它的税收权力（财产税）</w:t>
      </w:r>
      <w:r w:rsidRPr="00800D22">
        <w:rPr>
          <w:rFonts w:eastAsia="新宋体" w:hAnsi="新宋体" w:hint="eastAsia"/>
          <w:kern w:val="0"/>
          <w:sz w:val="24"/>
        </w:rPr>
        <w:t>来</w:t>
      </w:r>
      <w:r w:rsidRPr="00800D22">
        <w:rPr>
          <w:rFonts w:eastAsia="新宋体" w:hAnsi="新宋体"/>
          <w:kern w:val="0"/>
          <w:sz w:val="24"/>
        </w:rPr>
        <w:t>发行债券，州政府则依靠其收入流如销售税或收入税</w:t>
      </w:r>
      <w:r w:rsidRPr="00800D22">
        <w:rPr>
          <w:rFonts w:eastAsia="新宋体" w:hAnsi="新宋体" w:hint="eastAsia"/>
          <w:kern w:val="0"/>
          <w:sz w:val="24"/>
        </w:rPr>
        <w:t>来</w:t>
      </w:r>
      <w:r w:rsidRPr="00800D22">
        <w:rPr>
          <w:rFonts w:eastAsia="新宋体" w:hAnsi="新宋体"/>
          <w:kern w:val="0"/>
          <w:sz w:val="24"/>
        </w:rPr>
        <w:t>发行债券。一般债务债券违约的情况极为罕见，某些一般债务债券不仅以征税权力作保证，而且以</w:t>
      </w:r>
      <w:proofErr w:type="gramStart"/>
      <w:r w:rsidRPr="00800D22">
        <w:rPr>
          <w:rFonts w:eastAsia="新宋体" w:hAnsi="新宋体"/>
          <w:kern w:val="0"/>
          <w:sz w:val="24"/>
        </w:rPr>
        <w:t>规</w:t>
      </w:r>
      <w:proofErr w:type="gramEnd"/>
      <w:r w:rsidRPr="00800D22">
        <w:rPr>
          <w:rFonts w:eastAsia="新宋体" w:hAnsi="新宋体"/>
          <w:kern w:val="0"/>
          <w:sz w:val="24"/>
        </w:rPr>
        <w:t>费、拨款和专项收费来保证，这类债券被称为双重担保的债券。</w:t>
      </w:r>
    </w:p>
    <w:p w14:paraId="2149884F" w14:textId="77777777" w:rsidR="00F30EA9" w:rsidRPr="00800D22" w:rsidRDefault="00F30EA9" w:rsidP="00F30EA9">
      <w:pPr>
        <w:widowControl/>
        <w:spacing w:line="440" w:lineRule="exact"/>
        <w:ind w:firstLineChars="200" w:firstLine="480"/>
        <w:jc w:val="left"/>
        <w:rPr>
          <w:rFonts w:eastAsia="新宋体"/>
          <w:kern w:val="0"/>
          <w:sz w:val="24"/>
        </w:rPr>
      </w:pPr>
      <w:r w:rsidRPr="00800D22">
        <w:rPr>
          <w:rFonts w:eastAsia="新宋体" w:hAnsi="新宋体"/>
          <w:kern w:val="0"/>
          <w:sz w:val="24"/>
        </w:rPr>
        <w:lastRenderedPageBreak/>
        <w:t>收益债券是指为了建设某</w:t>
      </w:r>
      <w:proofErr w:type="gramStart"/>
      <w:r w:rsidRPr="00800D22">
        <w:rPr>
          <w:rFonts w:eastAsia="新宋体" w:hAnsi="新宋体"/>
          <w:kern w:val="0"/>
          <w:sz w:val="24"/>
        </w:rPr>
        <w:t>一基础</w:t>
      </w:r>
      <w:proofErr w:type="gramEnd"/>
      <w:r w:rsidRPr="00800D22">
        <w:rPr>
          <w:rFonts w:eastAsia="新宋体" w:hAnsi="新宋体"/>
          <w:kern w:val="0"/>
          <w:sz w:val="24"/>
        </w:rPr>
        <w:t>设施而</w:t>
      </w:r>
      <w:r w:rsidRPr="00800D22">
        <w:rPr>
          <w:rFonts w:eastAsia="新宋体" w:hAnsi="新宋体" w:hint="eastAsia"/>
          <w:kern w:val="0"/>
          <w:sz w:val="24"/>
        </w:rPr>
        <w:t>由</w:t>
      </w:r>
      <w:r w:rsidRPr="00800D22">
        <w:rPr>
          <w:rFonts w:eastAsia="新宋体" w:hAnsi="新宋体"/>
          <w:kern w:val="0"/>
          <w:sz w:val="24"/>
        </w:rPr>
        <w:t>依法成立的代理机构、委员会或授权机构发行的市政债券，它由专项使用费或附加税来</w:t>
      </w:r>
      <w:r w:rsidRPr="00800D22">
        <w:rPr>
          <w:rFonts w:eastAsia="新宋体" w:hAnsi="新宋体" w:hint="eastAsia"/>
          <w:kern w:val="0"/>
          <w:sz w:val="24"/>
        </w:rPr>
        <w:t>保障</w:t>
      </w:r>
      <w:r w:rsidRPr="00800D22">
        <w:rPr>
          <w:rFonts w:eastAsia="新宋体" w:hAnsi="新宋体"/>
          <w:kern w:val="0"/>
          <w:sz w:val="24"/>
        </w:rPr>
        <w:t>还本付息，</w:t>
      </w:r>
      <w:r w:rsidRPr="00800D22">
        <w:rPr>
          <w:rFonts w:eastAsia="新宋体" w:hAnsi="新宋体" w:hint="eastAsia"/>
          <w:kern w:val="0"/>
          <w:sz w:val="24"/>
        </w:rPr>
        <w:t>并</w:t>
      </w:r>
      <w:r w:rsidRPr="00800D22">
        <w:rPr>
          <w:rFonts w:eastAsia="新宋体" w:hAnsi="新宋体"/>
          <w:kern w:val="0"/>
          <w:sz w:val="24"/>
        </w:rPr>
        <w:t>不是由一般地方政府税收担保偿付。这些基础设施包括交通设施（收费桥、收费公路、港口</w:t>
      </w:r>
      <w:r w:rsidRPr="00800D22">
        <w:rPr>
          <w:rFonts w:eastAsia="新宋体" w:hAnsi="新宋体" w:hint="eastAsia"/>
          <w:kern w:val="0"/>
          <w:sz w:val="24"/>
        </w:rPr>
        <w:t>和</w:t>
      </w:r>
      <w:r w:rsidRPr="00800D22">
        <w:rPr>
          <w:rFonts w:eastAsia="新宋体" w:hAnsi="新宋体"/>
          <w:kern w:val="0"/>
          <w:sz w:val="24"/>
        </w:rPr>
        <w:t>机场）、医院、大学宿舍</w:t>
      </w:r>
      <w:r w:rsidRPr="00800D22">
        <w:rPr>
          <w:rFonts w:eastAsia="新宋体" w:hAnsi="新宋体" w:hint="eastAsia"/>
          <w:kern w:val="0"/>
          <w:sz w:val="24"/>
        </w:rPr>
        <w:t>和</w:t>
      </w:r>
      <w:r w:rsidRPr="00800D22">
        <w:rPr>
          <w:rFonts w:eastAsia="新宋体" w:hAnsi="新宋体"/>
          <w:kern w:val="0"/>
          <w:sz w:val="24"/>
        </w:rPr>
        <w:t>公用事业（供水设施、污水处理设施、供电设施、供气设施）等。收益债券主要通过这些设施有偿使用的收入来偿还。收益债券安全性各不相同，</w:t>
      </w:r>
      <w:r w:rsidRPr="00800D22">
        <w:rPr>
          <w:rFonts w:eastAsia="新宋体" w:hAnsi="新宋体" w:hint="eastAsia"/>
          <w:kern w:val="0"/>
          <w:sz w:val="24"/>
        </w:rPr>
        <w:t>主要</w:t>
      </w:r>
      <w:r w:rsidRPr="00800D22">
        <w:rPr>
          <w:rFonts w:eastAsia="新宋体" w:hAnsi="新宋体"/>
          <w:kern w:val="0"/>
          <w:sz w:val="24"/>
        </w:rPr>
        <w:t>是它的附加收入现金流直接与其投资项目相关。例如，电力销售所得能确保建造电厂的债券偿付的安全性。但是会议中心、停车场与街灯等市政设施从征收附加销售税、汽油税或二者合并税所得收入，则不足以确保债券安全性。政府本身也可以发行收益债券，但资金只能用在能够带来收益的政府企业</w:t>
      </w:r>
      <w:r w:rsidRPr="00800D22">
        <w:rPr>
          <w:rFonts w:eastAsia="新宋体" w:hAnsi="新宋体" w:hint="eastAsia"/>
          <w:kern w:val="0"/>
          <w:sz w:val="24"/>
        </w:rPr>
        <w:t>。由于</w:t>
      </w:r>
      <w:r w:rsidRPr="00800D22">
        <w:rPr>
          <w:rFonts w:eastAsia="新宋体" w:hAnsi="新宋体"/>
          <w:kern w:val="0"/>
          <w:sz w:val="24"/>
        </w:rPr>
        <w:t>政府并不以自身的信用来担保收益债券的偿还</w:t>
      </w:r>
      <w:r w:rsidRPr="00800D22">
        <w:rPr>
          <w:rFonts w:eastAsia="新宋体" w:hAnsi="新宋体" w:hint="eastAsia"/>
          <w:kern w:val="0"/>
          <w:sz w:val="24"/>
        </w:rPr>
        <w:t>，因此，</w:t>
      </w:r>
      <w:r w:rsidRPr="00800D22">
        <w:rPr>
          <w:rFonts w:eastAsia="新宋体" w:hAnsi="新宋体"/>
          <w:kern w:val="0"/>
          <w:sz w:val="24"/>
        </w:rPr>
        <w:t>收益债券的风险往往比一般债券的风险大，利率</w:t>
      </w:r>
      <w:r w:rsidRPr="00800D22">
        <w:rPr>
          <w:rFonts w:eastAsia="新宋体" w:hAnsi="新宋体" w:hint="eastAsia"/>
          <w:kern w:val="0"/>
          <w:sz w:val="24"/>
        </w:rPr>
        <w:t>较</w:t>
      </w:r>
      <w:r w:rsidRPr="00800D22">
        <w:rPr>
          <w:rFonts w:eastAsia="新宋体" w:hAnsi="新宋体"/>
          <w:kern w:val="0"/>
          <w:sz w:val="24"/>
        </w:rPr>
        <w:t>高。</w:t>
      </w:r>
    </w:p>
    <w:p w14:paraId="1CFEF89F" w14:textId="77777777" w:rsidR="00F30EA9" w:rsidRPr="00800D22" w:rsidRDefault="00F30EA9" w:rsidP="00F30EA9">
      <w:pPr>
        <w:widowControl/>
        <w:spacing w:line="440" w:lineRule="exact"/>
        <w:ind w:firstLineChars="200" w:firstLine="480"/>
        <w:jc w:val="left"/>
        <w:rPr>
          <w:rFonts w:eastAsia="新宋体"/>
          <w:kern w:val="0"/>
          <w:sz w:val="24"/>
        </w:rPr>
      </w:pPr>
      <w:r w:rsidRPr="00800D22">
        <w:rPr>
          <w:rFonts w:eastAsia="新宋体" w:hAnsi="新宋体"/>
          <w:kern w:val="0"/>
          <w:sz w:val="24"/>
        </w:rPr>
        <w:t>从发行者来看，在美国几乎所有的地方政府和地方政府代理机构都将市政债券作为其融资工具。全美共有约</w:t>
      </w:r>
      <w:r w:rsidRPr="00800D22">
        <w:rPr>
          <w:rFonts w:eastAsia="新宋体"/>
          <w:kern w:val="0"/>
          <w:sz w:val="24"/>
        </w:rPr>
        <w:t>55,000</w:t>
      </w:r>
      <w:r w:rsidRPr="00800D22">
        <w:rPr>
          <w:rFonts w:eastAsia="新宋体" w:hAnsi="新宋体"/>
          <w:kern w:val="0"/>
          <w:sz w:val="24"/>
        </w:rPr>
        <w:t>个市政债券发行者，且大部分是小规模发债者。</w:t>
      </w:r>
    </w:p>
    <w:p w14:paraId="7C94AEE5" w14:textId="77777777" w:rsidR="00F30EA9" w:rsidRPr="00800D22" w:rsidRDefault="00F30EA9" w:rsidP="00F30EA9">
      <w:pPr>
        <w:widowControl/>
        <w:spacing w:line="440" w:lineRule="exact"/>
        <w:ind w:firstLineChars="200" w:firstLine="480"/>
        <w:jc w:val="left"/>
        <w:rPr>
          <w:rFonts w:eastAsia="新宋体"/>
          <w:kern w:val="0"/>
          <w:sz w:val="24"/>
        </w:rPr>
      </w:pPr>
      <w:r w:rsidRPr="00800D22">
        <w:rPr>
          <w:rFonts w:eastAsia="新宋体" w:hAnsi="新宋体"/>
          <w:kern w:val="0"/>
          <w:sz w:val="24"/>
        </w:rPr>
        <w:t>从投资者来看，美国市政债券的投资群体通常包括个人、保险公司、银行、共同基金、信托基金、封闭式基金、公司和对冲基金（非银行金融机构购买）等，由于投资者群体分散，非系统性风险得到有效降低。</w:t>
      </w:r>
    </w:p>
    <w:p w14:paraId="6F067DCD" w14:textId="77777777" w:rsidR="00F30EA9" w:rsidRPr="00800D22" w:rsidRDefault="00F30EA9" w:rsidP="00F30EA9">
      <w:pPr>
        <w:widowControl/>
        <w:spacing w:line="440" w:lineRule="exact"/>
        <w:ind w:firstLineChars="200" w:firstLine="480"/>
        <w:jc w:val="left"/>
        <w:rPr>
          <w:rFonts w:eastAsia="新宋体" w:hAnsi="新宋体" w:hint="eastAsia"/>
          <w:kern w:val="0"/>
          <w:sz w:val="24"/>
        </w:rPr>
      </w:pPr>
      <w:r w:rsidRPr="00800D22">
        <w:rPr>
          <w:rFonts w:eastAsia="新宋体" w:hAnsi="新宋体"/>
          <w:kern w:val="0"/>
          <w:sz w:val="24"/>
        </w:rPr>
        <w:t>美国市政债券的突出特点是税收优惠。联邦政府对个人投资者的市政债券利息所得免征税。</w:t>
      </w:r>
    </w:p>
    <w:p w14:paraId="67150FFD" w14:textId="77777777" w:rsidR="00F30EA9" w:rsidRPr="00800D22" w:rsidRDefault="00F30EA9" w:rsidP="00F30EA9">
      <w:pPr>
        <w:widowControl/>
        <w:spacing w:line="440" w:lineRule="exact"/>
        <w:ind w:firstLineChars="200" w:firstLine="480"/>
        <w:jc w:val="left"/>
        <w:rPr>
          <w:rFonts w:ascii="新宋体" w:eastAsia="新宋体" w:hAnsi="新宋体" w:cs="宋体"/>
          <w:kern w:val="0"/>
          <w:sz w:val="24"/>
        </w:rPr>
      </w:pPr>
      <w:r w:rsidRPr="00800D22">
        <w:rPr>
          <w:rFonts w:eastAsia="新宋体" w:hAnsi="新宋体" w:hint="eastAsia"/>
          <w:kern w:val="0"/>
          <w:sz w:val="24"/>
        </w:rPr>
        <w:t>美国市政债券面临的监管主要有两种：</w:t>
      </w:r>
      <w:r w:rsidRPr="00800D22">
        <w:rPr>
          <w:rFonts w:eastAsia="新宋体" w:hAnsi="新宋体"/>
          <w:kern w:val="0"/>
          <w:sz w:val="24"/>
        </w:rPr>
        <w:t>一是发行监管。发行市政债券不需要向美国证</w:t>
      </w:r>
      <w:r w:rsidRPr="00800D22">
        <w:rPr>
          <w:rFonts w:eastAsia="新宋体" w:hAnsi="新宋体" w:hint="eastAsia"/>
          <w:kern w:val="0"/>
          <w:sz w:val="24"/>
        </w:rPr>
        <w:t>监</w:t>
      </w:r>
      <w:r w:rsidRPr="00800D22">
        <w:rPr>
          <w:rFonts w:eastAsia="新宋体" w:hAnsi="新宋体"/>
          <w:kern w:val="0"/>
          <w:sz w:val="24"/>
        </w:rPr>
        <w:t>会登记，主要受《</w:t>
      </w:r>
      <w:r w:rsidRPr="00800D22">
        <w:rPr>
          <w:rFonts w:eastAsia="新宋体" w:hAnsi="新宋体" w:hint="eastAsia"/>
          <w:kern w:val="0"/>
          <w:sz w:val="24"/>
        </w:rPr>
        <w:t>1993</w:t>
      </w:r>
      <w:r w:rsidRPr="00800D22">
        <w:rPr>
          <w:rFonts w:eastAsia="新宋体" w:hAnsi="新宋体" w:hint="eastAsia"/>
          <w:kern w:val="0"/>
          <w:sz w:val="24"/>
        </w:rPr>
        <w:t>年</w:t>
      </w:r>
      <w:r w:rsidRPr="00800D22">
        <w:rPr>
          <w:rFonts w:eastAsia="新宋体" w:hAnsi="新宋体"/>
          <w:kern w:val="0"/>
          <w:sz w:val="24"/>
        </w:rPr>
        <w:t>证券法》中反欺诈条款和美国市政债券规则委员会有关规则的约束。各州和地方政府是否发行市政债券，完全由本级政府的监督委员会或者管理委员会确定，不需要上一级政府的批准和同意，委员会以及委员个人应为债券发行行为负责。二是市场监管。</w:t>
      </w:r>
      <w:r w:rsidRPr="00800D22">
        <w:rPr>
          <w:rFonts w:eastAsia="新宋体"/>
          <w:kern w:val="0"/>
          <w:sz w:val="24"/>
        </w:rPr>
        <w:t>1975</w:t>
      </w:r>
      <w:r w:rsidRPr="00800D22">
        <w:rPr>
          <w:rFonts w:eastAsia="新宋体" w:hAnsi="新宋体"/>
          <w:kern w:val="0"/>
          <w:sz w:val="24"/>
        </w:rPr>
        <w:t>年以后，</w:t>
      </w:r>
      <w:r w:rsidRPr="00800D22">
        <w:rPr>
          <w:rFonts w:eastAsia="新宋体" w:hAnsi="新宋体" w:hint="eastAsia"/>
          <w:kern w:val="0"/>
          <w:sz w:val="24"/>
        </w:rPr>
        <w:t>美国</w:t>
      </w:r>
      <w:r w:rsidRPr="00800D22">
        <w:rPr>
          <w:rFonts w:eastAsia="新宋体" w:hAnsi="新宋体"/>
          <w:kern w:val="0"/>
          <w:sz w:val="24"/>
        </w:rPr>
        <w:t>国会组建了市政债券条例制定委员会（</w:t>
      </w:r>
      <w:r w:rsidRPr="00800D22">
        <w:rPr>
          <w:rFonts w:eastAsia="新宋体"/>
          <w:kern w:val="0"/>
          <w:sz w:val="24"/>
        </w:rPr>
        <w:t>MSRB</w:t>
      </w:r>
      <w:r w:rsidRPr="00800D22">
        <w:rPr>
          <w:rFonts w:eastAsia="新宋体" w:hAnsi="新宋体"/>
          <w:kern w:val="0"/>
          <w:sz w:val="24"/>
        </w:rPr>
        <w:t>），由它提出有关市政债券市场的监管提案，经过证券交易委员会批准，由全国证券交易商协会中监管市政债券交易商的部门以及自营银行的有关监管机构负责实施和控制。</w:t>
      </w:r>
    </w:p>
    <w:p w14:paraId="2E135A1E" w14:textId="6E041422" w:rsidR="00F30EA9" w:rsidRPr="00800D22" w:rsidRDefault="00F30EA9" w:rsidP="00F30EA9">
      <w:pPr>
        <w:pStyle w:val="3"/>
        <w:adjustRightInd w:val="0"/>
        <w:spacing w:beforeLines="50" w:before="156" w:afterLines="50" w:after="156" w:line="440" w:lineRule="exact"/>
        <w:ind w:firstLineChars="200" w:firstLine="562"/>
        <w:jc w:val="left"/>
        <w:rPr>
          <w:rFonts w:ascii="黑体" w:eastAsia="黑体" w:hint="eastAsia"/>
          <w:b/>
          <w:sz w:val="28"/>
          <w:szCs w:val="28"/>
        </w:rPr>
      </w:pPr>
      <w:bookmarkStart w:id="3" w:name="_Toc247869872"/>
      <w:bookmarkStart w:id="4" w:name="_Toc256506322"/>
      <w:r>
        <w:rPr>
          <w:rFonts w:ascii="黑体" w:eastAsia="黑体" w:hint="eastAsia"/>
          <w:b/>
          <w:sz w:val="28"/>
          <w:szCs w:val="28"/>
        </w:rPr>
        <w:t xml:space="preserve">二、 </w:t>
      </w:r>
      <w:r w:rsidRPr="00800D22">
        <w:rPr>
          <w:rFonts w:ascii="黑体" w:eastAsia="黑体" w:hint="eastAsia"/>
          <w:b/>
          <w:sz w:val="28"/>
          <w:szCs w:val="28"/>
        </w:rPr>
        <w:t>对我国发展准地方政府债券的启示</w:t>
      </w:r>
      <w:bookmarkEnd w:id="3"/>
      <w:bookmarkEnd w:id="4"/>
    </w:p>
    <w:p w14:paraId="3774F862" w14:textId="77777777" w:rsidR="00F30EA9" w:rsidRPr="00800D22" w:rsidRDefault="00F30EA9" w:rsidP="00F30EA9">
      <w:pPr>
        <w:widowControl/>
        <w:spacing w:line="440" w:lineRule="exact"/>
        <w:ind w:firstLineChars="200" w:firstLine="480"/>
        <w:jc w:val="left"/>
        <w:rPr>
          <w:rFonts w:eastAsia="新宋体"/>
          <w:kern w:val="0"/>
          <w:sz w:val="24"/>
        </w:rPr>
      </w:pPr>
      <w:r w:rsidRPr="00800D22">
        <w:rPr>
          <w:rFonts w:eastAsia="新宋体" w:hAnsi="新宋体"/>
          <w:kern w:val="0"/>
          <w:sz w:val="24"/>
        </w:rPr>
        <w:t>鉴于当前我国城投公司事实上承担了部分政府职能，囿于法律规定</w:t>
      </w:r>
      <w:r w:rsidRPr="00800D22">
        <w:rPr>
          <w:rFonts w:eastAsia="新宋体" w:hAnsi="新宋体" w:hint="eastAsia"/>
          <w:kern w:val="0"/>
          <w:sz w:val="24"/>
        </w:rPr>
        <w:t>地方</w:t>
      </w:r>
      <w:r w:rsidRPr="00800D22">
        <w:rPr>
          <w:rFonts w:eastAsia="新宋体" w:hAnsi="新宋体"/>
          <w:kern w:val="0"/>
          <w:sz w:val="24"/>
        </w:rPr>
        <w:t>政府不能对其债务担保存在一定不合理性。</w:t>
      </w:r>
      <w:r w:rsidRPr="00800D22">
        <w:rPr>
          <w:rFonts w:eastAsia="新宋体" w:hAnsi="新宋体" w:hint="eastAsia"/>
          <w:kern w:val="0"/>
          <w:sz w:val="24"/>
        </w:rPr>
        <w:t>笔者</w:t>
      </w:r>
      <w:r w:rsidRPr="00800D22">
        <w:rPr>
          <w:rFonts w:eastAsia="新宋体" w:hAnsi="新宋体"/>
          <w:kern w:val="0"/>
          <w:sz w:val="24"/>
        </w:rPr>
        <w:t>建议在严格认定城投公司的基础上放松</w:t>
      </w:r>
      <w:r w:rsidRPr="00800D22">
        <w:rPr>
          <w:rFonts w:eastAsia="新宋体" w:hAnsi="新宋体" w:hint="eastAsia"/>
          <w:kern w:val="0"/>
          <w:sz w:val="24"/>
        </w:rPr>
        <w:t>地方</w:t>
      </w:r>
      <w:r w:rsidRPr="00800D22">
        <w:rPr>
          <w:rFonts w:eastAsia="新宋体" w:hAnsi="新宋体"/>
          <w:kern w:val="0"/>
          <w:sz w:val="24"/>
        </w:rPr>
        <w:t>政府不能对其债务担保的法律规定，允许地方政府对其下属城投公司因投资基础设施项目而产生的债务进行担保，消除潜在法律纠纷，降低投资者风险，减少发行成本。</w:t>
      </w:r>
    </w:p>
    <w:p w14:paraId="1D698605" w14:textId="77777777" w:rsidR="00F30EA9" w:rsidRPr="00800D22" w:rsidRDefault="00F30EA9" w:rsidP="00F30EA9">
      <w:pPr>
        <w:widowControl/>
        <w:spacing w:line="440" w:lineRule="exact"/>
        <w:ind w:firstLineChars="196" w:firstLine="472"/>
        <w:jc w:val="left"/>
        <w:rPr>
          <w:rFonts w:eastAsia="新宋体"/>
          <w:kern w:val="0"/>
          <w:sz w:val="24"/>
        </w:rPr>
      </w:pPr>
      <w:r w:rsidRPr="00800D22">
        <w:rPr>
          <w:rFonts w:eastAsia="新宋体" w:hAnsi="新宋体"/>
          <w:b/>
          <w:bCs/>
          <w:kern w:val="0"/>
          <w:sz w:val="24"/>
        </w:rPr>
        <w:t>（</w:t>
      </w:r>
      <w:r w:rsidRPr="00800D22">
        <w:rPr>
          <w:rFonts w:eastAsia="新宋体"/>
          <w:b/>
          <w:bCs/>
          <w:kern w:val="0"/>
          <w:sz w:val="24"/>
        </w:rPr>
        <w:t>1</w:t>
      </w:r>
      <w:r w:rsidRPr="00800D22">
        <w:rPr>
          <w:rFonts w:eastAsia="新宋体" w:hAnsi="新宋体"/>
          <w:b/>
          <w:bCs/>
          <w:kern w:val="0"/>
          <w:sz w:val="24"/>
        </w:rPr>
        <w:t>）进一步提高我国准地方政府债券发行市场化程度</w:t>
      </w:r>
    </w:p>
    <w:p w14:paraId="74472D0E" w14:textId="77777777" w:rsidR="00F30EA9" w:rsidRPr="00800D22" w:rsidRDefault="00F30EA9" w:rsidP="00F30EA9">
      <w:pPr>
        <w:widowControl/>
        <w:spacing w:line="440" w:lineRule="exact"/>
        <w:ind w:firstLineChars="200" w:firstLine="480"/>
        <w:jc w:val="left"/>
        <w:rPr>
          <w:rFonts w:eastAsia="新宋体" w:hint="eastAsia"/>
          <w:kern w:val="0"/>
          <w:sz w:val="24"/>
        </w:rPr>
      </w:pPr>
      <w:r w:rsidRPr="00800D22">
        <w:rPr>
          <w:rFonts w:eastAsia="新宋体" w:hAnsi="新宋体"/>
          <w:kern w:val="0"/>
          <w:sz w:val="24"/>
        </w:rPr>
        <w:t>近年来我国包括准地方政府债券在内的企业债券发行市场化程度有所提高，但目前的核准制还带有相当程度的审批色彩。审核发行制度存在效率低、周期长、程序难以预期等</w:t>
      </w:r>
      <w:r w:rsidRPr="00800D22">
        <w:rPr>
          <w:rFonts w:eastAsia="新宋体" w:hAnsi="新宋体" w:hint="eastAsia"/>
          <w:kern w:val="0"/>
          <w:sz w:val="24"/>
        </w:rPr>
        <w:t>问题</w:t>
      </w:r>
      <w:r w:rsidRPr="00800D22">
        <w:rPr>
          <w:rFonts w:eastAsia="新宋体" w:hAnsi="新宋体"/>
          <w:kern w:val="0"/>
          <w:sz w:val="24"/>
        </w:rPr>
        <w:t>，不利于市场主体</w:t>
      </w:r>
      <w:r w:rsidRPr="00800D22">
        <w:rPr>
          <w:rFonts w:eastAsia="新宋体" w:hAnsi="新宋体" w:hint="eastAsia"/>
          <w:kern w:val="0"/>
          <w:sz w:val="24"/>
        </w:rPr>
        <w:t>的培</w:t>
      </w:r>
      <w:r w:rsidRPr="00800D22">
        <w:rPr>
          <w:rFonts w:eastAsia="新宋体" w:hAnsi="新宋体"/>
          <w:kern w:val="0"/>
          <w:sz w:val="24"/>
        </w:rPr>
        <w:t>育。虽然我国债券市场违约几乎没有出现过，但这是以价格机制难以有效运行为代价的，不利于风险的揭示和释放。建议短期内降低准地方政府债券发行门槛，发行</w:t>
      </w:r>
      <w:proofErr w:type="gramStart"/>
      <w:r w:rsidRPr="00800D22">
        <w:rPr>
          <w:rFonts w:eastAsia="新宋体" w:hAnsi="新宋体"/>
          <w:kern w:val="0"/>
          <w:sz w:val="24"/>
        </w:rPr>
        <w:t>额主要</w:t>
      </w:r>
      <w:proofErr w:type="gramEnd"/>
      <w:r w:rsidRPr="00800D22">
        <w:rPr>
          <w:rFonts w:eastAsia="新宋体" w:hAnsi="新宋体"/>
          <w:kern w:val="0"/>
          <w:sz w:val="24"/>
        </w:rPr>
        <w:t>和地方可支配财力以及主营业务现金流等对偿债具有实质性支撑的因素挂钩。</w:t>
      </w:r>
      <w:r w:rsidRPr="00800D22">
        <w:rPr>
          <w:rFonts w:eastAsia="新宋体" w:hAnsi="新宋体" w:hint="eastAsia"/>
          <w:kern w:val="0"/>
          <w:sz w:val="24"/>
        </w:rPr>
        <w:t>从长期角度出发，应</w:t>
      </w:r>
      <w:r w:rsidRPr="00800D22">
        <w:rPr>
          <w:rFonts w:eastAsia="新宋体" w:hAnsi="新宋体"/>
          <w:kern w:val="0"/>
          <w:sz w:val="24"/>
        </w:rPr>
        <w:t>进一步提高发行市场化程度，逐步过渡到注册制，让市场主体承担信息披露、搜集及承担损失的责任，让债券收益率真正体现其风险大小。</w:t>
      </w:r>
    </w:p>
    <w:p w14:paraId="6998579D" w14:textId="77777777" w:rsidR="00F30EA9" w:rsidRPr="00800D22" w:rsidRDefault="00F30EA9" w:rsidP="00F30EA9">
      <w:pPr>
        <w:widowControl/>
        <w:spacing w:line="440" w:lineRule="exact"/>
        <w:ind w:firstLineChars="196" w:firstLine="472"/>
        <w:jc w:val="left"/>
        <w:rPr>
          <w:rFonts w:eastAsia="新宋体"/>
          <w:kern w:val="0"/>
          <w:sz w:val="24"/>
        </w:rPr>
      </w:pPr>
      <w:r w:rsidRPr="00800D22">
        <w:rPr>
          <w:rFonts w:eastAsia="新宋体" w:hAnsi="新宋体"/>
          <w:b/>
          <w:bCs/>
          <w:kern w:val="0"/>
          <w:sz w:val="24"/>
        </w:rPr>
        <w:t>（</w:t>
      </w:r>
      <w:r w:rsidRPr="00800D22">
        <w:rPr>
          <w:rFonts w:eastAsia="新宋体"/>
          <w:b/>
          <w:bCs/>
          <w:kern w:val="0"/>
          <w:sz w:val="24"/>
        </w:rPr>
        <w:t>2</w:t>
      </w:r>
      <w:r w:rsidRPr="00800D22">
        <w:rPr>
          <w:rFonts w:eastAsia="新宋体" w:hAnsi="新宋体"/>
          <w:b/>
          <w:bCs/>
          <w:kern w:val="0"/>
          <w:sz w:val="24"/>
        </w:rPr>
        <w:t>）提高非银行金融机构市场参与度</w:t>
      </w:r>
    </w:p>
    <w:p w14:paraId="146600AC" w14:textId="77777777" w:rsidR="00F30EA9" w:rsidRPr="00800D22" w:rsidRDefault="00F30EA9" w:rsidP="00F30EA9">
      <w:pPr>
        <w:widowControl/>
        <w:spacing w:line="440" w:lineRule="exact"/>
        <w:ind w:firstLineChars="200" w:firstLine="480"/>
        <w:jc w:val="left"/>
        <w:rPr>
          <w:rFonts w:eastAsia="新宋体" w:hAnsi="新宋体" w:hint="eastAsia"/>
          <w:kern w:val="0"/>
          <w:sz w:val="24"/>
        </w:rPr>
      </w:pPr>
      <w:r w:rsidRPr="00800D22">
        <w:rPr>
          <w:rFonts w:eastAsia="新宋体" w:hAnsi="新宋体"/>
          <w:kern w:val="0"/>
          <w:sz w:val="24"/>
        </w:rPr>
        <w:t>目前我国的准地方政府债券基本都是在银行间市场发行，商业银行是该类产品的最大投资者，根据中国银行间市场交易商协会《中国债券市场</w:t>
      </w:r>
      <w:r w:rsidRPr="00800D22">
        <w:rPr>
          <w:rFonts w:eastAsia="新宋体"/>
          <w:kern w:val="0"/>
          <w:sz w:val="24"/>
        </w:rPr>
        <w:t>2009</w:t>
      </w:r>
      <w:r w:rsidRPr="00800D22">
        <w:rPr>
          <w:rFonts w:eastAsia="新宋体" w:hAnsi="新宋体"/>
          <w:kern w:val="0"/>
          <w:sz w:val="24"/>
        </w:rPr>
        <w:t>年第二季度分析报告》的数据，</w:t>
      </w:r>
      <w:r w:rsidRPr="00800D22">
        <w:rPr>
          <w:rFonts w:eastAsia="新宋体"/>
          <w:kern w:val="0"/>
          <w:sz w:val="24"/>
        </w:rPr>
        <w:t>2009</w:t>
      </w:r>
      <w:r w:rsidRPr="00800D22">
        <w:rPr>
          <w:rFonts w:eastAsia="新宋体" w:hAnsi="新宋体"/>
          <w:kern w:val="0"/>
          <w:sz w:val="24"/>
        </w:rPr>
        <w:t>年第二季度我国银行间市场商业银行债券托管余额占总托管额的</w:t>
      </w:r>
      <w:r w:rsidRPr="00800D22">
        <w:rPr>
          <w:rFonts w:eastAsia="新宋体"/>
          <w:kern w:val="0"/>
          <w:sz w:val="24"/>
        </w:rPr>
        <w:t>67.89%</w:t>
      </w:r>
      <w:r w:rsidRPr="00800D22">
        <w:rPr>
          <w:rFonts w:eastAsia="新宋体" w:hAnsi="新宋体"/>
          <w:kern w:val="0"/>
          <w:sz w:val="24"/>
        </w:rPr>
        <w:t>，比一季度上升</w:t>
      </w:r>
      <w:r w:rsidRPr="00800D22">
        <w:rPr>
          <w:rFonts w:eastAsia="新宋体"/>
          <w:kern w:val="0"/>
          <w:sz w:val="24"/>
        </w:rPr>
        <w:t>2</w:t>
      </w:r>
      <w:r w:rsidRPr="00800D22">
        <w:rPr>
          <w:rFonts w:eastAsia="新宋体" w:hAnsi="新宋体"/>
          <w:kern w:val="0"/>
          <w:sz w:val="24"/>
        </w:rPr>
        <w:t>个百分点。保险、基金</w:t>
      </w:r>
      <w:r w:rsidRPr="00800D22">
        <w:rPr>
          <w:rFonts w:eastAsia="新宋体" w:hAnsi="新宋体" w:hint="eastAsia"/>
          <w:kern w:val="0"/>
          <w:sz w:val="24"/>
        </w:rPr>
        <w:t>和</w:t>
      </w:r>
      <w:r w:rsidRPr="00800D22">
        <w:rPr>
          <w:rFonts w:eastAsia="新宋体" w:hAnsi="新宋体"/>
          <w:kern w:val="0"/>
          <w:sz w:val="24"/>
        </w:rPr>
        <w:t>证券等非银行金融机构托管余额占比合计不到</w:t>
      </w:r>
      <w:r w:rsidRPr="00800D22">
        <w:rPr>
          <w:rFonts w:eastAsia="新宋体"/>
          <w:kern w:val="0"/>
          <w:sz w:val="24"/>
        </w:rPr>
        <w:t>15%</w:t>
      </w:r>
      <w:r w:rsidRPr="00800D22">
        <w:rPr>
          <w:rFonts w:eastAsia="新宋体" w:hAnsi="新宋体"/>
          <w:kern w:val="0"/>
          <w:sz w:val="24"/>
        </w:rPr>
        <w:t>，参与程度较低。我国地方债务风险过分集中于银行体系，从市场均衡发展的角度看，应该逐步降低机构和个人进入银行间市场参与城投公司债券交易的门槛，提高非银行机构</w:t>
      </w:r>
      <w:r w:rsidRPr="00800D22">
        <w:rPr>
          <w:rFonts w:eastAsia="新宋体" w:hAnsi="新宋体" w:hint="eastAsia"/>
          <w:kern w:val="0"/>
          <w:sz w:val="24"/>
        </w:rPr>
        <w:t>的市场参与程度</w:t>
      </w:r>
      <w:r w:rsidRPr="00800D22">
        <w:rPr>
          <w:rFonts w:eastAsia="新宋体" w:hAnsi="新宋体"/>
          <w:kern w:val="0"/>
          <w:sz w:val="24"/>
        </w:rPr>
        <w:t>。从投资风险角度看，股票作为风险远高于城投公司债券的投资品种已经对</w:t>
      </w:r>
      <w:r w:rsidRPr="00800D22">
        <w:rPr>
          <w:rFonts w:eastAsia="新宋体" w:hAnsi="新宋体" w:hint="eastAsia"/>
          <w:kern w:val="0"/>
          <w:sz w:val="24"/>
        </w:rPr>
        <w:t>主要</w:t>
      </w:r>
      <w:r w:rsidRPr="00800D22">
        <w:rPr>
          <w:rFonts w:eastAsia="新宋体" w:hAnsi="新宋体"/>
          <w:kern w:val="0"/>
          <w:sz w:val="24"/>
        </w:rPr>
        <w:t>市场投资者开放，降低准地方政府债券的投资门槛</w:t>
      </w:r>
      <w:r w:rsidRPr="00800D22">
        <w:rPr>
          <w:rFonts w:eastAsia="新宋体" w:hAnsi="新宋体" w:hint="eastAsia"/>
          <w:kern w:val="0"/>
          <w:sz w:val="24"/>
        </w:rPr>
        <w:t>也是合乎常理的</w:t>
      </w:r>
      <w:r w:rsidRPr="00800D22">
        <w:rPr>
          <w:rFonts w:eastAsia="新宋体" w:hAnsi="新宋体"/>
          <w:kern w:val="0"/>
          <w:sz w:val="24"/>
        </w:rPr>
        <w:t>。</w:t>
      </w:r>
    </w:p>
    <w:p w14:paraId="283489C6" w14:textId="77777777" w:rsidR="00F30EA9" w:rsidRPr="00800D22" w:rsidRDefault="00F30EA9" w:rsidP="00F30EA9">
      <w:pPr>
        <w:widowControl/>
        <w:spacing w:line="440" w:lineRule="exact"/>
        <w:ind w:firstLineChars="200" w:firstLine="482"/>
        <w:jc w:val="left"/>
        <w:rPr>
          <w:rFonts w:eastAsia="新宋体"/>
          <w:kern w:val="0"/>
          <w:sz w:val="24"/>
        </w:rPr>
      </w:pPr>
      <w:r w:rsidRPr="00800D22">
        <w:rPr>
          <w:rFonts w:eastAsia="新宋体" w:hAnsi="新宋体"/>
          <w:b/>
          <w:bCs/>
          <w:kern w:val="0"/>
          <w:sz w:val="24"/>
        </w:rPr>
        <w:t>（</w:t>
      </w:r>
      <w:r w:rsidRPr="00800D22">
        <w:rPr>
          <w:rFonts w:eastAsia="新宋体"/>
          <w:b/>
          <w:bCs/>
          <w:kern w:val="0"/>
          <w:sz w:val="24"/>
        </w:rPr>
        <w:t>3</w:t>
      </w:r>
      <w:r w:rsidRPr="00800D22">
        <w:rPr>
          <w:rFonts w:eastAsia="新宋体" w:hAnsi="新宋体"/>
          <w:b/>
          <w:bCs/>
          <w:kern w:val="0"/>
          <w:sz w:val="24"/>
        </w:rPr>
        <w:t>）加快推进财政转移支付立法，实现财政转移支付程序化</w:t>
      </w:r>
      <w:r w:rsidRPr="00800D22">
        <w:rPr>
          <w:rFonts w:eastAsia="新宋体" w:hAnsi="新宋体" w:hint="eastAsia"/>
          <w:b/>
          <w:bCs/>
          <w:kern w:val="0"/>
          <w:sz w:val="24"/>
        </w:rPr>
        <w:t>和</w:t>
      </w:r>
      <w:r w:rsidRPr="00800D22">
        <w:rPr>
          <w:rFonts w:eastAsia="新宋体" w:hAnsi="新宋体"/>
          <w:b/>
          <w:bCs/>
          <w:kern w:val="0"/>
          <w:sz w:val="24"/>
        </w:rPr>
        <w:t>透明化，稳定投资者预期</w:t>
      </w:r>
    </w:p>
    <w:p w14:paraId="55A633F4" w14:textId="77283685" w:rsidR="00F900CB" w:rsidRPr="00F30EA9" w:rsidRDefault="00F30EA9" w:rsidP="00F30EA9">
      <w:pPr>
        <w:widowControl/>
        <w:spacing w:line="440" w:lineRule="exact"/>
        <w:ind w:firstLine="480"/>
        <w:jc w:val="left"/>
      </w:pPr>
      <w:r w:rsidRPr="00800D22">
        <w:rPr>
          <w:rFonts w:eastAsia="新宋体" w:hAnsi="新宋体"/>
          <w:kern w:val="0"/>
          <w:sz w:val="24"/>
        </w:rPr>
        <w:t>从国际经验可以看出，政府间财政转移支付制度要真正作为一种规范性的制度建立起来，必须遵循法治化原则。因此，我国要完善财政转移支付制度，</w:t>
      </w:r>
      <w:r w:rsidRPr="00800D22">
        <w:rPr>
          <w:rFonts w:eastAsia="新宋体" w:hAnsi="新宋体" w:hint="eastAsia"/>
          <w:kern w:val="0"/>
          <w:sz w:val="24"/>
        </w:rPr>
        <w:t>就</w:t>
      </w:r>
      <w:r w:rsidRPr="00800D22">
        <w:rPr>
          <w:rFonts w:eastAsia="新宋体" w:hAnsi="新宋体"/>
          <w:kern w:val="0"/>
          <w:sz w:val="24"/>
        </w:rPr>
        <w:t>要加快制定《财政转移支付法》，就转移支付的原则、内容、时间、形式、对象、依据、用途和监督等以立法形式加以规定，</w:t>
      </w:r>
      <w:proofErr w:type="gramStart"/>
      <w:r w:rsidRPr="00800D22">
        <w:rPr>
          <w:rFonts w:eastAsia="新宋体" w:hAnsi="新宋体"/>
          <w:kern w:val="0"/>
          <w:sz w:val="24"/>
        </w:rPr>
        <w:t>稳定准</w:t>
      </w:r>
      <w:proofErr w:type="gramEnd"/>
      <w:r w:rsidRPr="00800D22">
        <w:rPr>
          <w:rFonts w:eastAsia="新宋体" w:hAnsi="新宋体"/>
          <w:kern w:val="0"/>
          <w:sz w:val="24"/>
        </w:rPr>
        <w:t>地方政府债券投资者预期，从而促进准地方政府债券市场的发展。</w:t>
      </w:r>
    </w:p>
    <w:sectPr w:rsidR="00F900CB" w:rsidRPr="00F30EA9" w:rsidSect="00F900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EED59" w14:textId="77777777" w:rsidR="00094A58" w:rsidRDefault="00094A58" w:rsidP="00F30EA9">
      <w:r>
        <w:separator/>
      </w:r>
    </w:p>
  </w:endnote>
  <w:endnote w:type="continuationSeparator" w:id="0">
    <w:p w14:paraId="3066FA27" w14:textId="77777777" w:rsidR="00094A58" w:rsidRDefault="00094A58" w:rsidP="00F3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ˎ̥">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9572" w14:textId="77777777" w:rsidR="00094A58" w:rsidRDefault="00094A58" w:rsidP="00F30EA9">
      <w:r>
        <w:separator/>
      </w:r>
    </w:p>
  </w:footnote>
  <w:footnote w:type="continuationSeparator" w:id="0">
    <w:p w14:paraId="7EDCA6E5" w14:textId="77777777" w:rsidR="00094A58" w:rsidRDefault="00094A58" w:rsidP="00F30EA9">
      <w:r>
        <w:continuationSeparator/>
      </w:r>
    </w:p>
  </w:footnote>
  <w:footnote w:id="1">
    <w:p w14:paraId="1483711A" w14:textId="77777777" w:rsidR="00F30EA9" w:rsidRPr="00CE1E26" w:rsidRDefault="00F30EA9" w:rsidP="00F30EA9">
      <w:pPr>
        <w:pStyle w:val="ae"/>
        <w:rPr>
          <w:rFonts w:hint="eastAsia"/>
        </w:rPr>
      </w:pPr>
      <w:r>
        <w:rPr>
          <w:rStyle w:val="af0"/>
        </w:rPr>
        <w:footnoteRef/>
      </w:r>
      <w:r>
        <w:t xml:space="preserve"> </w:t>
      </w:r>
      <w:r>
        <w:rPr>
          <w:rFonts w:hint="eastAsia"/>
        </w:rPr>
        <w:t xml:space="preserve"> </w:t>
      </w:r>
      <w:r w:rsidRPr="00C2565B">
        <w:rPr>
          <w:rFonts w:hAnsi="ˎ̥"/>
        </w:rPr>
        <w:t>巴曙松，邢毓静</w:t>
      </w:r>
      <w:r w:rsidRPr="00C2565B">
        <w:t xml:space="preserve">. </w:t>
      </w:r>
      <w:r w:rsidRPr="00C2565B">
        <w:rPr>
          <w:rFonts w:hAnsi="ˎ̥"/>
        </w:rPr>
        <w:t>从城</w:t>
      </w:r>
      <w:proofErr w:type="gramStart"/>
      <w:r w:rsidRPr="00C2565B">
        <w:rPr>
          <w:rFonts w:hAnsi="ˎ̥"/>
        </w:rPr>
        <w:t>投债到</w:t>
      </w:r>
      <w:proofErr w:type="gramEnd"/>
      <w:r w:rsidRPr="00C2565B">
        <w:rPr>
          <w:rFonts w:hAnsi="ˎ̥"/>
        </w:rPr>
        <w:t>市政债券：成熟市场的经验</w:t>
      </w:r>
      <w:r w:rsidRPr="00C2565B">
        <w:t>[J]</w:t>
      </w:r>
      <w:r w:rsidRPr="00C2565B">
        <w:rPr>
          <w:rFonts w:hAnsi="ˎ̥"/>
        </w:rPr>
        <w:t>，观点地产，</w:t>
      </w:r>
      <w:r w:rsidRPr="00C2565B">
        <w:t>2009</w:t>
      </w:r>
      <w:r w:rsidRPr="00C2565B">
        <w:rPr>
          <w:rFonts w:hAnsi="ˎ̥"/>
        </w:rPr>
        <w:t>，（</w:t>
      </w:r>
      <w:r w:rsidRPr="00C2565B">
        <w:t>11</w:t>
      </w:r>
      <w:r w:rsidRPr="00C2565B">
        <w:rPr>
          <w:rFonts w:hAnsi="ˎ̥"/>
        </w:rPr>
        <w:t>）</w:t>
      </w:r>
      <w:r w:rsidRPr="00C2565B">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F30EA9"/>
    <w:rsid w:val="00094A58"/>
    <w:rsid w:val="00C7398C"/>
    <w:rsid w:val="00F30EA9"/>
    <w:rsid w:val="00F90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8154"/>
  <w15:chartTrackingRefBased/>
  <w15:docId w15:val="{053433EC-B8A0-49FD-BE61-7EA6038B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EA9"/>
    <w:pPr>
      <w:widowControl w:val="0"/>
      <w:spacing w:line="240" w:lineRule="auto"/>
    </w:pPr>
    <w:rPr>
      <w:rFonts w:ascii="Times New Roman" w:eastAsia="宋体" w:hAnsi="Times New Roman" w:cs="Times New Roman"/>
      <w:szCs w:val="24"/>
    </w:rPr>
  </w:style>
  <w:style w:type="paragraph" w:styleId="1">
    <w:name w:val="heading 1"/>
    <w:basedOn w:val="a"/>
    <w:next w:val="a"/>
    <w:link w:val="10"/>
    <w:uiPriority w:val="9"/>
    <w:qFormat/>
    <w:rsid w:val="00F30EA9"/>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F30EA9"/>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nhideWhenUsed/>
    <w:qFormat/>
    <w:rsid w:val="00F30EA9"/>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F30EA9"/>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F30EA9"/>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F30EA9"/>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F30EA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0EA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30EA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0EA9"/>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F30EA9"/>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F30EA9"/>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F30EA9"/>
    <w:rPr>
      <w:rFonts w:cstheme="majorBidi"/>
      <w:color w:val="365F91" w:themeColor="accent1" w:themeShade="BF"/>
      <w:sz w:val="28"/>
      <w:szCs w:val="28"/>
    </w:rPr>
  </w:style>
  <w:style w:type="character" w:customStyle="1" w:styleId="50">
    <w:name w:val="标题 5 字符"/>
    <w:basedOn w:val="a0"/>
    <w:link w:val="5"/>
    <w:uiPriority w:val="9"/>
    <w:semiHidden/>
    <w:rsid w:val="00F30EA9"/>
    <w:rPr>
      <w:rFonts w:cstheme="majorBidi"/>
      <w:color w:val="365F91" w:themeColor="accent1" w:themeShade="BF"/>
      <w:sz w:val="24"/>
      <w:szCs w:val="24"/>
    </w:rPr>
  </w:style>
  <w:style w:type="character" w:customStyle="1" w:styleId="60">
    <w:name w:val="标题 6 字符"/>
    <w:basedOn w:val="a0"/>
    <w:link w:val="6"/>
    <w:uiPriority w:val="9"/>
    <w:semiHidden/>
    <w:rsid w:val="00F30EA9"/>
    <w:rPr>
      <w:rFonts w:cstheme="majorBidi"/>
      <w:b/>
      <w:bCs/>
      <w:color w:val="365F91" w:themeColor="accent1" w:themeShade="BF"/>
    </w:rPr>
  </w:style>
  <w:style w:type="character" w:customStyle="1" w:styleId="70">
    <w:name w:val="标题 7 字符"/>
    <w:basedOn w:val="a0"/>
    <w:link w:val="7"/>
    <w:uiPriority w:val="9"/>
    <w:semiHidden/>
    <w:rsid w:val="00F30EA9"/>
    <w:rPr>
      <w:rFonts w:cstheme="majorBidi"/>
      <w:b/>
      <w:bCs/>
      <w:color w:val="595959" w:themeColor="text1" w:themeTint="A6"/>
    </w:rPr>
  </w:style>
  <w:style w:type="character" w:customStyle="1" w:styleId="80">
    <w:name w:val="标题 8 字符"/>
    <w:basedOn w:val="a0"/>
    <w:link w:val="8"/>
    <w:uiPriority w:val="9"/>
    <w:semiHidden/>
    <w:rsid w:val="00F30EA9"/>
    <w:rPr>
      <w:rFonts w:cstheme="majorBidi"/>
      <w:color w:val="595959" w:themeColor="text1" w:themeTint="A6"/>
    </w:rPr>
  </w:style>
  <w:style w:type="character" w:customStyle="1" w:styleId="90">
    <w:name w:val="标题 9 字符"/>
    <w:basedOn w:val="a0"/>
    <w:link w:val="9"/>
    <w:uiPriority w:val="9"/>
    <w:semiHidden/>
    <w:rsid w:val="00F30EA9"/>
    <w:rPr>
      <w:rFonts w:eastAsiaTheme="majorEastAsia" w:cstheme="majorBidi"/>
      <w:color w:val="595959" w:themeColor="text1" w:themeTint="A6"/>
    </w:rPr>
  </w:style>
  <w:style w:type="paragraph" w:styleId="a3">
    <w:name w:val="Title"/>
    <w:basedOn w:val="a"/>
    <w:next w:val="a"/>
    <w:link w:val="a4"/>
    <w:uiPriority w:val="10"/>
    <w:qFormat/>
    <w:rsid w:val="00F30E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0E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E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0E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EA9"/>
    <w:pPr>
      <w:spacing w:before="160" w:after="160"/>
      <w:jc w:val="center"/>
    </w:pPr>
    <w:rPr>
      <w:i/>
      <w:iCs/>
      <w:color w:val="404040" w:themeColor="text1" w:themeTint="BF"/>
    </w:rPr>
  </w:style>
  <w:style w:type="character" w:customStyle="1" w:styleId="a8">
    <w:name w:val="引用 字符"/>
    <w:basedOn w:val="a0"/>
    <w:link w:val="a7"/>
    <w:uiPriority w:val="29"/>
    <w:rsid w:val="00F30EA9"/>
    <w:rPr>
      <w:i/>
      <w:iCs/>
      <w:color w:val="404040" w:themeColor="text1" w:themeTint="BF"/>
    </w:rPr>
  </w:style>
  <w:style w:type="paragraph" w:styleId="a9">
    <w:name w:val="List Paragraph"/>
    <w:basedOn w:val="a"/>
    <w:uiPriority w:val="34"/>
    <w:qFormat/>
    <w:rsid w:val="00F30EA9"/>
    <w:pPr>
      <w:ind w:left="720"/>
      <w:contextualSpacing/>
    </w:pPr>
  </w:style>
  <w:style w:type="character" w:styleId="aa">
    <w:name w:val="Intense Emphasis"/>
    <w:basedOn w:val="a0"/>
    <w:uiPriority w:val="21"/>
    <w:qFormat/>
    <w:rsid w:val="00F30EA9"/>
    <w:rPr>
      <w:i/>
      <w:iCs/>
      <w:color w:val="365F91" w:themeColor="accent1" w:themeShade="BF"/>
    </w:rPr>
  </w:style>
  <w:style w:type="paragraph" w:styleId="ab">
    <w:name w:val="Intense Quote"/>
    <w:basedOn w:val="a"/>
    <w:next w:val="a"/>
    <w:link w:val="ac"/>
    <w:uiPriority w:val="30"/>
    <w:qFormat/>
    <w:rsid w:val="00F30E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F30EA9"/>
    <w:rPr>
      <w:i/>
      <w:iCs/>
      <w:color w:val="365F91" w:themeColor="accent1" w:themeShade="BF"/>
    </w:rPr>
  </w:style>
  <w:style w:type="character" w:styleId="ad">
    <w:name w:val="Intense Reference"/>
    <w:basedOn w:val="a0"/>
    <w:uiPriority w:val="32"/>
    <w:qFormat/>
    <w:rsid w:val="00F30EA9"/>
    <w:rPr>
      <w:b/>
      <w:bCs/>
      <w:smallCaps/>
      <w:color w:val="365F91" w:themeColor="accent1" w:themeShade="BF"/>
      <w:spacing w:val="5"/>
    </w:rPr>
  </w:style>
  <w:style w:type="character" w:customStyle="1" w:styleId="3Char">
    <w:name w:val="标题 3 Char"/>
    <w:rsid w:val="00F30EA9"/>
    <w:rPr>
      <w:b/>
      <w:bCs/>
      <w:kern w:val="2"/>
      <w:sz w:val="32"/>
      <w:szCs w:val="32"/>
    </w:rPr>
  </w:style>
  <w:style w:type="paragraph" w:styleId="ae">
    <w:name w:val="footnote text"/>
    <w:basedOn w:val="a"/>
    <w:link w:val="Char"/>
    <w:semiHidden/>
    <w:rsid w:val="00F30EA9"/>
    <w:pPr>
      <w:snapToGrid w:val="0"/>
      <w:jc w:val="left"/>
    </w:pPr>
    <w:rPr>
      <w:sz w:val="18"/>
      <w:szCs w:val="18"/>
    </w:rPr>
  </w:style>
  <w:style w:type="character" w:customStyle="1" w:styleId="af">
    <w:name w:val="脚注文本 字符"/>
    <w:basedOn w:val="a0"/>
    <w:uiPriority w:val="99"/>
    <w:semiHidden/>
    <w:rsid w:val="00F30EA9"/>
    <w:rPr>
      <w:rFonts w:ascii="Times New Roman" w:eastAsia="宋体" w:hAnsi="Times New Roman" w:cs="Times New Roman"/>
      <w:sz w:val="18"/>
      <w:szCs w:val="18"/>
    </w:rPr>
  </w:style>
  <w:style w:type="character" w:customStyle="1" w:styleId="Char">
    <w:name w:val="脚注文本 Char"/>
    <w:link w:val="ae"/>
    <w:semiHidden/>
    <w:rsid w:val="00F30EA9"/>
    <w:rPr>
      <w:rFonts w:ascii="Times New Roman" w:eastAsia="宋体" w:hAnsi="Times New Roman" w:cs="Times New Roman"/>
      <w:sz w:val="18"/>
      <w:szCs w:val="18"/>
    </w:rPr>
  </w:style>
  <w:style w:type="character" w:styleId="af0">
    <w:name w:val="footnote reference"/>
    <w:semiHidden/>
    <w:rsid w:val="00F30E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2025-10-21T08:43:00Z</dcterms:created>
  <dcterms:modified xsi:type="dcterms:W3CDTF">2025-10-21T08:45:00Z</dcterms:modified>
</cp:coreProperties>
</file>