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CF0067">
      <w:pPr>
        <w:pStyle w:val="3"/>
        <w:spacing w:before="156" w:beforeLines="50" w:after="156" w:afterLines="50" w:line="440" w:lineRule="exact"/>
        <w:jc w:val="center"/>
        <w:rPr>
          <w:rFonts w:hint="eastAsia" w:ascii="黑体" w:hAnsi="Times New Roman" w:eastAsiaTheme="majorEastAsia"/>
          <w:b/>
          <w:lang w:val="en-US" w:eastAsia="zh-CN"/>
        </w:rPr>
      </w:pPr>
      <w:bookmarkStart w:id="0" w:name="_Toc256506304"/>
      <w:r>
        <w:rPr>
          <w:rFonts w:hint="eastAsia" w:ascii="黑体" w:hAnsi="Times New Roman"/>
          <w:b/>
        </w:rPr>
        <w:t>可转换公司债券</w:t>
      </w:r>
      <w:bookmarkEnd w:id="0"/>
      <w:r>
        <w:rPr>
          <w:rFonts w:hint="eastAsia" w:ascii="黑体" w:hAnsi="Times New Roman"/>
          <w:b/>
          <w:lang w:val="en-US" w:eastAsia="zh-CN"/>
        </w:rPr>
        <w:t>研究</w:t>
      </w:r>
      <w:bookmarkStart w:id="12" w:name="_GoBack"/>
      <w:bookmarkEnd w:id="12"/>
    </w:p>
    <w:p w14:paraId="2F4F5698">
      <w:pPr>
        <w:pStyle w:val="4"/>
        <w:adjustRightInd w:val="0"/>
        <w:spacing w:before="156" w:beforeLines="50" w:after="156" w:afterLines="50" w:line="440" w:lineRule="exact"/>
        <w:ind w:firstLine="562" w:firstLineChars="200"/>
        <w:jc w:val="left"/>
        <w:rPr>
          <w:rFonts w:hint="eastAsia" w:ascii="黑体" w:eastAsia="黑体"/>
          <w:b/>
          <w:sz w:val="28"/>
          <w:szCs w:val="28"/>
        </w:rPr>
      </w:pPr>
      <w:bookmarkStart w:id="1" w:name="_Toc256506305"/>
      <w:r>
        <w:rPr>
          <w:rFonts w:hint="eastAsia" w:ascii="黑体" w:eastAsia="黑体"/>
          <w:b/>
          <w:sz w:val="28"/>
          <w:szCs w:val="28"/>
        </w:rPr>
        <w:t>一、发展概况</w:t>
      </w:r>
      <w:bookmarkEnd w:id="1"/>
    </w:p>
    <w:p w14:paraId="11B9E3A2">
      <w:pPr>
        <w:spacing w:line="440" w:lineRule="exact"/>
        <w:ind w:firstLine="480" w:firstLineChars="200"/>
        <w:rPr>
          <w:rFonts w:hint="eastAsia" w:eastAsia="黑体"/>
          <w:sz w:val="28"/>
          <w:szCs w:val="28"/>
        </w:rPr>
      </w:pPr>
      <w:r>
        <w:rPr>
          <w:rFonts w:hint="eastAsia" w:eastAsia="新宋体"/>
          <w:sz w:val="24"/>
        </w:rPr>
        <w:t>可转换公司债券（Convertible Bond）是一种根据约定，可在特定时间、特定条件下转换为普通股股票的特殊公司债券。可转换公司债券兼具债券和股票的特性，同时还含有选择权成分，是一种衍生、复合型的证券品种。</w:t>
      </w:r>
    </w:p>
    <w:p w14:paraId="235E6C3C">
      <w:pPr>
        <w:spacing w:line="440" w:lineRule="exact"/>
        <w:ind w:firstLine="480" w:firstLineChars="200"/>
        <w:rPr>
          <w:rFonts w:hint="eastAsia" w:eastAsia="新宋体"/>
          <w:sz w:val="24"/>
        </w:rPr>
      </w:pPr>
      <w:r>
        <w:rPr>
          <w:rFonts w:hint="eastAsia" w:eastAsia="新宋体"/>
          <w:sz w:val="24"/>
        </w:rPr>
        <w:t>1997年3月25日，原国务院证券委员会发布《可转换公司债券管理暂行办</w:t>
      </w:r>
      <w:r>
        <w:rPr>
          <w:rFonts w:eastAsia="新宋体"/>
          <w:sz w:val="24"/>
        </w:rPr>
        <w:t>法》（</w:t>
      </w:r>
      <w:r>
        <w:rPr>
          <w:rFonts w:hAnsi="Arial"/>
          <w:sz w:val="24"/>
        </w:rPr>
        <w:t>证委发</w:t>
      </w:r>
      <w:r>
        <w:rPr>
          <w:sz w:val="24"/>
        </w:rPr>
        <w:t>[1997]16</w:t>
      </w:r>
      <w:r>
        <w:rPr>
          <w:rFonts w:hAnsi="Arial"/>
          <w:sz w:val="24"/>
        </w:rPr>
        <w:t>号）</w:t>
      </w:r>
      <w:r>
        <w:rPr>
          <w:rFonts w:eastAsia="新宋体"/>
          <w:sz w:val="24"/>
        </w:rPr>
        <w:t>，指出上市公司及</w:t>
      </w:r>
      <w:r>
        <w:rPr>
          <w:rFonts w:hint="eastAsia" w:eastAsia="新宋体"/>
          <w:sz w:val="24"/>
        </w:rPr>
        <w:t>非上市重点国有企业均可发行可转换公司。1998年9月2日和9月15日，两家试点国有非上市企业可转换债券——南化转债和丝绸转债分别上市交易，从而拉开了我国上市公司发行可转换公司债券的序幕。2001年4月28日，中国证监会颁布了《上市公司发行可转换公司债券实施办法》</w:t>
      </w:r>
      <w:r>
        <w:rPr>
          <w:rStyle w:val="17"/>
          <w:rFonts w:eastAsia="新宋体"/>
          <w:sz w:val="24"/>
        </w:rPr>
        <w:footnoteReference w:id="0"/>
      </w:r>
      <w:r>
        <w:rPr>
          <w:rFonts w:hint="eastAsia" w:eastAsia="新宋体"/>
          <w:sz w:val="24"/>
        </w:rPr>
        <w:t>（</w:t>
      </w:r>
      <w:r>
        <w:rPr>
          <w:rFonts w:hint="eastAsia"/>
          <w:sz w:val="24"/>
        </w:rPr>
        <w:t>证监会令第2号）</w:t>
      </w:r>
      <w:r>
        <w:rPr>
          <w:rFonts w:hint="eastAsia" w:eastAsia="新宋体"/>
          <w:sz w:val="24"/>
        </w:rPr>
        <w:t>，对上市公司发行可转换公司债券的性质、发行条件等事项作出了详细规定。根据上市公司在可转换债券发行准备过程中存在的具体问题，2001年12月25日，中国证监会又发布了《关于做好上市公司可转换公司债券发行工作的通知》</w:t>
      </w:r>
      <w:r>
        <w:rPr>
          <w:rStyle w:val="17"/>
          <w:rFonts w:eastAsia="新宋体"/>
          <w:sz w:val="24"/>
        </w:rPr>
        <w:footnoteReference w:id="1"/>
      </w:r>
      <w:r>
        <w:rPr>
          <w:rFonts w:hint="eastAsia" w:eastAsia="新宋体"/>
          <w:sz w:val="24"/>
        </w:rPr>
        <w:t>（</w:t>
      </w:r>
      <w:r>
        <w:rPr>
          <w:rFonts w:hint="eastAsia"/>
          <w:sz w:val="24"/>
        </w:rPr>
        <w:t>证监会发行字[2001]115号）</w:t>
      </w:r>
      <w:r>
        <w:rPr>
          <w:rFonts w:hint="eastAsia" w:eastAsia="新宋体"/>
          <w:sz w:val="24"/>
        </w:rPr>
        <w:t>，进一步明确了上市公司发行可转换公司债券的具体条款。在上述政策的共同推动下，可转换公司债券的发行开始快速增长，2004年发行规模达到213.03亿元。</w:t>
      </w:r>
      <w:r>
        <w:rPr>
          <w:sz w:val="24"/>
        </w:rPr>
        <w:t>2006年</w:t>
      </w:r>
      <w:r>
        <w:rPr>
          <w:rFonts w:hint="eastAsia"/>
          <w:sz w:val="24"/>
        </w:rPr>
        <w:t>5月6日</w:t>
      </w:r>
      <w:r>
        <w:rPr>
          <w:sz w:val="24"/>
        </w:rPr>
        <w:t>出台的《上市公司证券发行管理办法》</w:t>
      </w:r>
      <w:r>
        <w:rPr>
          <w:rFonts w:hint="eastAsia"/>
          <w:sz w:val="24"/>
        </w:rPr>
        <w:t>（</w:t>
      </w:r>
      <w:r>
        <w:rPr>
          <w:rFonts w:hint="eastAsia"/>
          <w:sz w:val="24"/>
        </w:rPr>
        <w:t>证监会令第30号</w:t>
      </w:r>
      <w:r>
        <w:rPr>
          <w:rFonts w:hint="eastAsia"/>
          <w:sz w:val="24"/>
        </w:rPr>
        <w:t>）对可转换公司债券的发行进行了重新规定，</w:t>
      </w:r>
      <w:r>
        <w:rPr>
          <w:rFonts w:hint="eastAsia" w:eastAsia="新宋体"/>
          <w:sz w:val="24"/>
        </w:rPr>
        <w:t>目前我国可转换公司债券发行条件见下表。</w:t>
      </w:r>
    </w:p>
    <w:p w14:paraId="786AFDFA">
      <w:pPr>
        <w:pStyle w:val="11"/>
        <w:spacing w:before="312" w:beforeLines="100"/>
        <w:jc w:val="center"/>
        <w:rPr>
          <w:rFonts w:hint="eastAsia" w:ascii="Times New Roman" w:hAnsi="新宋体" w:eastAsia="新宋体" w:cs="Times New Roman"/>
          <w:sz w:val="21"/>
          <w:szCs w:val="21"/>
        </w:rPr>
      </w:pPr>
      <w:bookmarkStart w:id="2" w:name="_Toc256506477"/>
      <w:r>
        <w:rPr>
          <w:rFonts w:hint="eastAsia" w:ascii="Times New Roman" w:hAnsi="新宋体" w:eastAsia="新宋体" w:cs="Times New Roman"/>
          <w:sz w:val="21"/>
          <w:szCs w:val="21"/>
        </w:rPr>
        <w:t>表</w:t>
      </w:r>
      <w:r>
        <w:rPr>
          <w:rFonts w:ascii="Times New Roman" w:hAnsi="新宋体" w:eastAsia="新宋体" w:cs="Times New Roman"/>
          <w:sz w:val="21"/>
          <w:szCs w:val="21"/>
        </w:rPr>
        <w:fldChar w:fldCharType="begin"/>
      </w:r>
      <w:r>
        <w:rPr>
          <w:rFonts w:ascii="Times New Roman" w:hAnsi="新宋体" w:eastAsia="新宋体" w:cs="Times New Roman"/>
          <w:sz w:val="21"/>
          <w:szCs w:val="21"/>
        </w:rPr>
        <w:instrText xml:space="preserve"> </w:instrText>
      </w:r>
      <w:r>
        <w:rPr>
          <w:rFonts w:hint="eastAsia" w:ascii="Times New Roman" w:hAnsi="新宋体" w:eastAsia="新宋体" w:cs="Times New Roman"/>
          <w:sz w:val="21"/>
          <w:szCs w:val="21"/>
        </w:rPr>
        <w:instrText xml:space="preserve">SEQ 表8. \* ARABIC</w:instrText>
      </w:r>
      <w:r>
        <w:rPr>
          <w:rFonts w:ascii="Times New Roman" w:hAnsi="新宋体" w:eastAsia="新宋体" w:cs="Times New Roman"/>
          <w:sz w:val="21"/>
          <w:szCs w:val="21"/>
        </w:rPr>
        <w:instrText xml:space="preserve"> </w:instrText>
      </w:r>
      <w:r>
        <w:rPr>
          <w:rFonts w:ascii="Times New Roman" w:hAnsi="新宋体" w:eastAsia="新宋体" w:cs="Times New Roman"/>
          <w:sz w:val="21"/>
          <w:szCs w:val="21"/>
        </w:rPr>
        <w:fldChar w:fldCharType="separate"/>
      </w:r>
      <w:r>
        <w:rPr>
          <w:rFonts w:ascii="Times New Roman" w:hAnsi="新宋体" w:eastAsia="新宋体" w:cs="Times New Roman"/>
          <w:sz w:val="21"/>
          <w:szCs w:val="21"/>
        </w:rPr>
        <w:t>1</w:t>
      </w:r>
      <w:r>
        <w:rPr>
          <w:rFonts w:ascii="Times New Roman" w:hAnsi="新宋体" w:eastAsia="新宋体" w:cs="Times New Roman"/>
          <w:sz w:val="21"/>
          <w:szCs w:val="21"/>
        </w:rPr>
        <w:fldChar w:fldCharType="end"/>
      </w:r>
      <w:r>
        <w:rPr>
          <w:rFonts w:hint="eastAsia" w:ascii="Times New Roman" w:hAnsi="新宋体" w:eastAsia="新宋体" w:cs="Times New Roman"/>
          <w:sz w:val="21"/>
          <w:szCs w:val="21"/>
        </w:rPr>
        <w:t xml:space="preserve">  我国可转换公司债券发行条件</w:t>
      </w:r>
      <w:bookmarkEnd w:id="2"/>
    </w:p>
    <w:p w14:paraId="3B9E6B43">
      <w:pPr>
        <w:jc w:val="center"/>
        <w:rPr>
          <w:rFonts w:hint="eastAsia"/>
        </w:rPr>
      </w:pPr>
      <w:r>
        <w:rPr>
          <w:rFonts w:hint="eastAsia"/>
          <w:szCs w:val="21"/>
        </w:rPr>
        <w:t>T</w:t>
      </w:r>
      <w:r>
        <w:rPr>
          <w:szCs w:val="21"/>
        </w:rPr>
        <w:t>able</w:t>
      </w:r>
      <w:r>
        <w:rPr>
          <w:rFonts w:hint="eastAsia"/>
          <w:szCs w:val="21"/>
        </w:rPr>
        <w:t xml:space="preserve"> 1  </w:t>
      </w:r>
      <w:r>
        <w:rPr>
          <w:rFonts w:hint="eastAsia"/>
        </w:rPr>
        <w:t>I</w:t>
      </w:r>
      <w:r>
        <w:t>ssue terms of China's convertible bond</w:t>
      </w:r>
      <w:r>
        <w:rPr>
          <w:rFonts w:hint="eastAsia"/>
        </w:rPr>
        <w:t>s</w:t>
      </w:r>
    </w:p>
    <w:tbl>
      <w:tblPr>
        <w:tblStyle w:val="15"/>
        <w:tblW w:w="5000" w:type="pct"/>
        <w:tblInd w:w="0" w:type="dxa"/>
        <w:tblLayout w:type="autofit"/>
        <w:tblCellMar>
          <w:top w:w="0" w:type="dxa"/>
          <w:left w:w="108" w:type="dxa"/>
          <w:bottom w:w="0" w:type="dxa"/>
          <w:right w:w="108" w:type="dxa"/>
        </w:tblCellMar>
      </w:tblPr>
      <w:tblGrid>
        <w:gridCol w:w="718"/>
        <w:gridCol w:w="7804"/>
      </w:tblGrid>
      <w:tr w14:paraId="71D14B0D">
        <w:tblPrEx>
          <w:tblCellMar>
            <w:top w:w="0" w:type="dxa"/>
            <w:left w:w="108" w:type="dxa"/>
            <w:bottom w:w="0" w:type="dxa"/>
            <w:right w:w="108" w:type="dxa"/>
          </w:tblCellMar>
        </w:tblPrEx>
        <w:tc>
          <w:tcPr>
            <w:tcW w:w="5000" w:type="pct"/>
            <w:gridSpan w:val="2"/>
            <w:tcBorders>
              <w:top w:val="single" w:color="auto" w:sz="4" w:space="0"/>
              <w:bottom w:val="single" w:color="auto" w:sz="4" w:space="0"/>
            </w:tcBorders>
            <w:vAlign w:val="center"/>
          </w:tcPr>
          <w:p w14:paraId="4785C487">
            <w:pPr>
              <w:rPr>
                <w:rFonts w:hint="eastAsia" w:ascii="新宋体" w:hAnsi="新宋体" w:eastAsia="新宋体"/>
                <w:szCs w:val="21"/>
              </w:rPr>
            </w:pPr>
            <w:r>
              <w:rPr>
                <w:rFonts w:hint="eastAsia" w:ascii="新宋体" w:hAnsi="新宋体" w:eastAsia="新宋体"/>
                <w:szCs w:val="21"/>
              </w:rPr>
              <w:t>发行条件</w:t>
            </w:r>
          </w:p>
        </w:tc>
      </w:tr>
      <w:tr w14:paraId="2C428CF3">
        <w:tblPrEx>
          <w:tblCellMar>
            <w:top w:w="0" w:type="dxa"/>
            <w:left w:w="108" w:type="dxa"/>
            <w:bottom w:w="0" w:type="dxa"/>
            <w:right w:w="108" w:type="dxa"/>
          </w:tblCellMar>
        </w:tblPrEx>
        <w:tc>
          <w:tcPr>
            <w:tcW w:w="421" w:type="pct"/>
            <w:vMerge w:val="restart"/>
            <w:tcBorders>
              <w:top w:val="single" w:color="auto" w:sz="4" w:space="0"/>
            </w:tcBorders>
            <w:vAlign w:val="center"/>
          </w:tcPr>
          <w:p w14:paraId="05393407">
            <w:pPr>
              <w:rPr>
                <w:rFonts w:hint="eastAsia" w:ascii="新宋体" w:hAnsi="新宋体" w:eastAsia="新宋体"/>
                <w:sz w:val="18"/>
                <w:szCs w:val="18"/>
              </w:rPr>
            </w:pPr>
            <w:r>
              <w:rPr>
                <w:rFonts w:hint="eastAsia" w:ascii="新宋体" w:hAnsi="新宋体" w:eastAsia="新宋体"/>
                <w:sz w:val="18"/>
                <w:szCs w:val="18"/>
              </w:rPr>
              <w:t>一般</w:t>
            </w:r>
          </w:p>
          <w:p w14:paraId="7E8D9F38">
            <w:pPr>
              <w:rPr>
                <w:rFonts w:hint="eastAsia" w:ascii="新宋体" w:hAnsi="新宋体" w:eastAsia="新宋体"/>
                <w:sz w:val="18"/>
                <w:szCs w:val="18"/>
              </w:rPr>
            </w:pPr>
            <w:r>
              <w:rPr>
                <w:rFonts w:hint="eastAsia" w:ascii="新宋体" w:hAnsi="新宋体" w:eastAsia="新宋体"/>
                <w:sz w:val="18"/>
                <w:szCs w:val="18"/>
              </w:rPr>
              <w:t>条件</w:t>
            </w:r>
          </w:p>
        </w:tc>
        <w:tc>
          <w:tcPr>
            <w:tcW w:w="4579" w:type="pct"/>
            <w:tcBorders>
              <w:top w:val="single" w:color="auto" w:sz="4" w:space="0"/>
            </w:tcBorders>
            <w:vAlign w:val="center"/>
          </w:tcPr>
          <w:p w14:paraId="1A222DC5">
            <w:pPr>
              <w:rPr>
                <w:rFonts w:hint="eastAsia"/>
                <w:sz w:val="18"/>
                <w:szCs w:val="18"/>
              </w:rPr>
            </w:pPr>
            <w:r>
              <w:rPr>
                <w:rFonts w:hint="eastAsia" w:ascii="新宋体" w:hAnsi="新宋体" w:eastAsia="新宋体"/>
                <w:sz w:val="18"/>
                <w:szCs w:val="18"/>
              </w:rPr>
              <w:t>①上市公司与控股股东或实际控制人的人员、资产、财务分开，机构、业务独立，能够自主经营管理；</w:t>
            </w:r>
          </w:p>
        </w:tc>
      </w:tr>
      <w:tr w14:paraId="385E6007">
        <w:tblPrEx>
          <w:tblCellMar>
            <w:top w:w="0" w:type="dxa"/>
            <w:left w:w="108" w:type="dxa"/>
            <w:bottom w:w="0" w:type="dxa"/>
            <w:right w:w="108" w:type="dxa"/>
          </w:tblCellMar>
        </w:tblPrEx>
        <w:tc>
          <w:tcPr>
            <w:tcW w:w="421" w:type="pct"/>
            <w:vMerge w:val="continue"/>
            <w:vAlign w:val="center"/>
          </w:tcPr>
          <w:p w14:paraId="10260A77">
            <w:pPr>
              <w:rPr>
                <w:rFonts w:hint="eastAsia" w:ascii="新宋体" w:hAnsi="新宋体" w:eastAsia="新宋体"/>
                <w:sz w:val="18"/>
                <w:szCs w:val="18"/>
              </w:rPr>
            </w:pPr>
          </w:p>
        </w:tc>
        <w:tc>
          <w:tcPr>
            <w:tcW w:w="4579" w:type="pct"/>
            <w:vAlign w:val="center"/>
          </w:tcPr>
          <w:p w14:paraId="1E6C35F3">
            <w:pPr>
              <w:rPr>
                <w:rFonts w:hint="eastAsia"/>
                <w:sz w:val="18"/>
                <w:szCs w:val="18"/>
              </w:rPr>
            </w:pPr>
            <w:r>
              <w:rPr>
                <w:rFonts w:hint="eastAsia" w:ascii="新宋体" w:hAnsi="新宋体" w:eastAsia="新宋体"/>
                <w:sz w:val="18"/>
                <w:szCs w:val="18"/>
              </w:rPr>
              <w:t>②最近十二个月内不存在违规对外提供担保的行为；</w:t>
            </w:r>
          </w:p>
        </w:tc>
      </w:tr>
      <w:tr w14:paraId="073030D2">
        <w:tblPrEx>
          <w:tblCellMar>
            <w:top w:w="0" w:type="dxa"/>
            <w:left w:w="108" w:type="dxa"/>
            <w:bottom w:w="0" w:type="dxa"/>
            <w:right w:w="108" w:type="dxa"/>
          </w:tblCellMar>
        </w:tblPrEx>
        <w:tc>
          <w:tcPr>
            <w:tcW w:w="421" w:type="pct"/>
            <w:vMerge w:val="continue"/>
            <w:vAlign w:val="center"/>
          </w:tcPr>
          <w:p w14:paraId="1796C197">
            <w:pPr>
              <w:rPr>
                <w:rFonts w:hint="eastAsia" w:ascii="新宋体" w:hAnsi="新宋体" w:eastAsia="新宋体"/>
                <w:sz w:val="18"/>
                <w:szCs w:val="18"/>
              </w:rPr>
            </w:pPr>
          </w:p>
        </w:tc>
        <w:tc>
          <w:tcPr>
            <w:tcW w:w="4579" w:type="pct"/>
            <w:vAlign w:val="center"/>
          </w:tcPr>
          <w:p w14:paraId="0D8D778E">
            <w:pPr>
              <w:rPr>
                <w:rFonts w:hint="eastAsia"/>
                <w:sz w:val="18"/>
                <w:szCs w:val="18"/>
              </w:rPr>
            </w:pPr>
            <w:r>
              <w:rPr>
                <w:rFonts w:hint="eastAsia" w:ascii="新宋体" w:hAnsi="新宋体" w:eastAsia="新宋体"/>
                <w:sz w:val="18"/>
                <w:szCs w:val="18"/>
              </w:rPr>
              <w:t>③最近三个会计年度连续盈利。扣除非经常性损益后的净利润与扣除前的净利润相比，以低者作为计算依据；</w:t>
            </w:r>
          </w:p>
        </w:tc>
      </w:tr>
      <w:tr w14:paraId="0CACDBB9">
        <w:tblPrEx>
          <w:tblCellMar>
            <w:top w:w="0" w:type="dxa"/>
            <w:left w:w="108" w:type="dxa"/>
            <w:bottom w:w="0" w:type="dxa"/>
            <w:right w:w="108" w:type="dxa"/>
          </w:tblCellMar>
        </w:tblPrEx>
        <w:tc>
          <w:tcPr>
            <w:tcW w:w="421" w:type="pct"/>
            <w:vMerge w:val="continue"/>
            <w:vAlign w:val="center"/>
          </w:tcPr>
          <w:p w14:paraId="5ECD9E89">
            <w:pPr>
              <w:rPr>
                <w:rFonts w:hint="eastAsia" w:ascii="新宋体" w:hAnsi="新宋体" w:eastAsia="新宋体"/>
                <w:sz w:val="18"/>
                <w:szCs w:val="18"/>
              </w:rPr>
            </w:pPr>
          </w:p>
        </w:tc>
        <w:tc>
          <w:tcPr>
            <w:tcW w:w="4579" w:type="pct"/>
            <w:vAlign w:val="center"/>
          </w:tcPr>
          <w:p w14:paraId="1147DB18">
            <w:pPr>
              <w:rPr>
                <w:rFonts w:hint="eastAsia"/>
                <w:sz w:val="18"/>
                <w:szCs w:val="18"/>
              </w:rPr>
            </w:pPr>
            <w:r>
              <w:rPr>
                <w:rFonts w:hint="eastAsia" w:ascii="新宋体" w:hAnsi="新宋体" w:eastAsia="新宋体"/>
                <w:sz w:val="18"/>
                <w:szCs w:val="18"/>
              </w:rPr>
              <w:t>④业务和盈利来源相对稳定，不存在严重依赖于控股股东、实际控制人的情形；</w:t>
            </w:r>
          </w:p>
        </w:tc>
      </w:tr>
      <w:tr w14:paraId="3A18C4FF">
        <w:tblPrEx>
          <w:tblCellMar>
            <w:top w:w="0" w:type="dxa"/>
            <w:left w:w="108" w:type="dxa"/>
            <w:bottom w:w="0" w:type="dxa"/>
            <w:right w:w="108" w:type="dxa"/>
          </w:tblCellMar>
        </w:tblPrEx>
        <w:tc>
          <w:tcPr>
            <w:tcW w:w="421" w:type="pct"/>
            <w:vMerge w:val="continue"/>
            <w:vAlign w:val="center"/>
          </w:tcPr>
          <w:p w14:paraId="5E75FDEE">
            <w:pPr>
              <w:rPr>
                <w:rFonts w:hint="eastAsia" w:ascii="新宋体" w:hAnsi="新宋体" w:eastAsia="新宋体"/>
                <w:sz w:val="18"/>
                <w:szCs w:val="18"/>
              </w:rPr>
            </w:pPr>
          </w:p>
        </w:tc>
        <w:tc>
          <w:tcPr>
            <w:tcW w:w="4579" w:type="pct"/>
            <w:vAlign w:val="center"/>
          </w:tcPr>
          <w:p w14:paraId="6F9B765D">
            <w:pPr>
              <w:rPr>
                <w:rFonts w:hint="eastAsia"/>
                <w:sz w:val="18"/>
                <w:szCs w:val="18"/>
              </w:rPr>
            </w:pPr>
            <w:r>
              <w:rPr>
                <w:rFonts w:hint="eastAsia" w:ascii="新宋体" w:hAnsi="新宋体" w:eastAsia="新宋体"/>
                <w:sz w:val="18"/>
                <w:szCs w:val="18"/>
              </w:rPr>
              <w:t>⑤高级管理人员和核心技术人员稳定，最近12个月内未发生重大不利变化；</w:t>
            </w:r>
          </w:p>
        </w:tc>
      </w:tr>
      <w:tr w14:paraId="5F9EBB19">
        <w:tblPrEx>
          <w:tblCellMar>
            <w:top w:w="0" w:type="dxa"/>
            <w:left w:w="108" w:type="dxa"/>
            <w:bottom w:w="0" w:type="dxa"/>
            <w:right w:w="108" w:type="dxa"/>
          </w:tblCellMar>
        </w:tblPrEx>
        <w:tc>
          <w:tcPr>
            <w:tcW w:w="421" w:type="pct"/>
            <w:vMerge w:val="continue"/>
            <w:vAlign w:val="center"/>
          </w:tcPr>
          <w:p w14:paraId="634A442D">
            <w:pPr>
              <w:rPr>
                <w:rFonts w:hint="eastAsia" w:ascii="新宋体" w:hAnsi="新宋体" w:eastAsia="新宋体"/>
                <w:sz w:val="18"/>
                <w:szCs w:val="18"/>
              </w:rPr>
            </w:pPr>
          </w:p>
        </w:tc>
        <w:tc>
          <w:tcPr>
            <w:tcW w:w="4579" w:type="pct"/>
            <w:vAlign w:val="center"/>
          </w:tcPr>
          <w:p w14:paraId="33264E83">
            <w:pPr>
              <w:rPr>
                <w:rFonts w:hint="eastAsia"/>
                <w:sz w:val="18"/>
                <w:szCs w:val="18"/>
              </w:rPr>
            </w:pPr>
            <w:r>
              <w:rPr>
                <w:rFonts w:hint="eastAsia" w:ascii="新宋体" w:hAnsi="新宋体" w:eastAsia="新宋体"/>
                <w:sz w:val="18"/>
                <w:szCs w:val="18"/>
              </w:rPr>
              <w:t>⑥公司重要资产、核心技术或其他重大权益的取得合法，能够持续使用，不存在现实或可预见的重大不利变化；</w:t>
            </w:r>
          </w:p>
        </w:tc>
      </w:tr>
    </w:tbl>
    <w:p w14:paraId="677CA12B">
      <w:pPr>
        <w:spacing w:before="312" w:beforeLines="100" w:line="440" w:lineRule="exact"/>
        <w:ind w:firstLine="7455" w:firstLineChars="3550"/>
        <w:rPr>
          <w:rFonts w:hint="eastAsia" w:eastAsia="新宋体"/>
          <w:szCs w:val="21"/>
        </w:rPr>
      </w:pPr>
      <w:r>
        <w:rPr>
          <w:rFonts w:hint="eastAsia" w:eastAsia="新宋体"/>
          <w:szCs w:val="21"/>
        </w:rPr>
        <w:t>（续表）</w:t>
      </w:r>
    </w:p>
    <w:tbl>
      <w:tblPr>
        <w:tblStyle w:val="15"/>
        <w:tblW w:w="5000" w:type="pct"/>
        <w:tblInd w:w="0" w:type="dxa"/>
        <w:tblLayout w:type="autofit"/>
        <w:tblCellMar>
          <w:top w:w="0" w:type="dxa"/>
          <w:left w:w="108" w:type="dxa"/>
          <w:bottom w:w="0" w:type="dxa"/>
          <w:right w:w="108" w:type="dxa"/>
        </w:tblCellMar>
      </w:tblPr>
      <w:tblGrid>
        <w:gridCol w:w="718"/>
        <w:gridCol w:w="7804"/>
      </w:tblGrid>
      <w:tr w14:paraId="36B9E653">
        <w:tblPrEx>
          <w:tblCellMar>
            <w:top w:w="0" w:type="dxa"/>
            <w:left w:w="108" w:type="dxa"/>
            <w:bottom w:w="0" w:type="dxa"/>
            <w:right w:w="108" w:type="dxa"/>
          </w:tblCellMar>
        </w:tblPrEx>
        <w:tc>
          <w:tcPr>
            <w:tcW w:w="5000" w:type="pct"/>
            <w:gridSpan w:val="2"/>
            <w:tcBorders>
              <w:top w:val="single" w:color="auto" w:sz="4" w:space="0"/>
              <w:bottom w:val="single" w:color="auto" w:sz="4" w:space="0"/>
            </w:tcBorders>
            <w:vAlign w:val="center"/>
          </w:tcPr>
          <w:p w14:paraId="333FEED3">
            <w:pPr>
              <w:rPr>
                <w:rFonts w:hint="eastAsia" w:ascii="新宋体" w:hAnsi="新宋体" w:eastAsia="新宋体"/>
                <w:szCs w:val="21"/>
              </w:rPr>
            </w:pPr>
            <w:r>
              <w:rPr>
                <w:rFonts w:hint="eastAsia" w:ascii="新宋体" w:hAnsi="新宋体" w:eastAsia="新宋体"/>
                <w:szCs w:val="21"/>
              </w:rPr>
              <w:t>发行条件</w:t>
            </w:r>
          </w:p>
        </w:tc>
      </w:tr>
      <w:tr w14:paraId="3C7D2DF6">
        <w:tblPrEx>
          <w:tblCellMar>
            <w:top w:w="0" w:type="dxa"/>
            <w:left w:w="108" w:type="dxa"/>
            <w:bottom w:w="0" w:type="dxa"/>
            <w:right w:w="108" w:type="dxa"/>
          </w:tblCellMar>
        </w:tblPrEx>
        <w:tc>
          <w:tcPr>
            <w:tcW w:w="421" w:type="pct"/>
            <w:vMerge w:val="restart"/>
            <w:vAlign w:val="center"/>
          </w:tcPr>
          <w:p w14:paraId="14C5D78B">
            <w:pPr>
              <w:rPr>
                <w:rFonts w:hint="eastAsia" w:ascii="新宋体" w:hAnsi="新宋体" w:eastAsia="新宋体"/>
                <w:sz w:val="18"/>
                <w:szCs w:val="18"/>
              </w:rPr>
            </w:pPr>
          </w:p>
        </w:tc>
        <w:tc>
          <w:tcPr>
            <w:tcW w:w="4579" w:type="pct"/>
            <w:vAlign w:val="center"/>
          </w:tcPr>
          <w:p w14:paraId="04EABDBA">
            <w:pPr>
              <w:rPr>
                <w:rFonts w:hint="eastAsia"/>
                <w:sz w:val="18"/>
                <w:szCs w:val="18"/>
              </w:rPr>
            </w:pPr>
            <w:r>
              <w:rPr>
                <w:rFonts w:hint="eastAsia" w:ascii="新宋体" w:hAnsi="新宋体" w:eastAsia="新宋体"/>
                <w:sz w:val="18"/>
                <w:szCs w:val="18"/>
              </w:rPr>
              <w:t>⑦最近二十四个月内曾公开发行证券的，不存在发行当年营业利润比上年下降百分之五十以上的情形；</w:t>
            </w:r>
          </w:p>
        </w:tc>
      </w:tr>
      <w:tr w14:paraId="7D61E1B6">
        <w:tblPrEx>
          <w:tblCellMar>
            <w:top w:w="0" w:type="dxa"/>
            <w:left w:w="108" w:type="dxa"/>
            <w:bottom w:w="0" w:type="dxa"/>
            <w:right w:w="108" w:type="dxa"/>
          </w:tblCellMar>
        </w:tblPrEx>
        <w:tc>
          <w:tcPr>
            <w:tcW w:w="421" w:type="pct"/>
            <w:vMerge w:val="continue"/>
            <w:vAlign w:val="center"/>
          </w:tcPr>
          <w:p w14:paraId="29590259">
            <w:pPr>
              <w:rPr>
                <w:rFonts w:hint="eastAsia" w:ascii="新宋体" w:hAnsi="新宋体" w:eastAsia="新宋体"/>
                <w:sz w:val="18"/>
                <w:szCs w:val="18"/>
              </w:rPr>
            </w:pPr>
          </w:p>
        </w:tc>
        <w:tc>
          <w:tcPr>
            <w:tcW w:w="4579" w:type="pct"/>
            <w:vAlign w:val="center"/>
          </w:tcPr>
          <w:p w14:paraId="56BBCADA">
            <w:pPr>
              <w:rPr>
                <w:rFonts w:hint="eastAsia"/>
                <w:sz w:val="18"/>
                <w:szCs w:val="18"/>
              </w:rPr>
            </w:pPr>
            <w:r>
              <w:rPr>
                <w:rFonts w:hint="eastAsia" w:ascii="新宋体" w:hAnsi="新宋体" w:eastAsia="新宋体"/>
                <w:sz w:val="18"/>
                <w:szCs w:val="18"/>
              </w:rPr>
              <w:t>⑧最近三年及一期财务报表未被注册会计师出具保留意见、否定意见或无法表示意见的审计报告；被注册会计师出具带强调事项段的无保留意见审计报告的，所涉及的事项对发行人无重大不利影响或者在发行前重大不利影响已经消除；</w:t>
            </w:r>
          </w:p>
        </w:tc>
      </w:tr>
      <w:tr w14:paraId="33D96840">
        <w:tblPrEx>
          <w:tblCellMar>
            <w:top w:w="0" w:type="dxa"/>
            <w:left w:w="108" w:type="dxa"/>
            <w:bottom w:w="0" w:type="dxa"/>
            <w:right w:w="108" w:type="dxa"/>
          </w:tblCellMar>
        </w:tblPrEx>
        <w:tc>
          <w:tcPr>
            <w:tcW w:w="421" w:type="pct"/>
            <w:vMerge w:val="continue"/>
            <w:vAlign w:val="center"/>
          </w:tcPr>
          <w:p w14:paraId="2F1CFF20">
            <w:pPr>
              <w:adjustRightInd w:val="0"/>
              <w:rPr>
                <w:rFonts w:ascii="新宋体" w:hAnsi="新宋体" w:eastAsia="新宋体"/>
                <w:sz w:val="18"/>
                <w:szCs w:val="18"/>
              </w:rPr>
            </w:pPr>
          </w:p>
        </w:tc>
        <w:tc>
          <w:tcPr>
            <w:tcW w:w="4579" w:type="pct"/>
            <w:vAlign w:val="center"/>
          </w:tcPr>
          <w:p w14:paraId="067439C8">
            <w:pPr>
              <w:adjustRightInd w:val="0"/>
              <w:rPr>
                <w:rFonts w:hint="eastAsia" w:ascii="新宋体" w:hAnsi="新宋体" w:eastAsia="新宋体"/>
                <w:sz w:val="18"/>
                <w:szCs w:val="18"/>
              </w:rPr>
            </w:pPr>
            <w:r>
              <w:rPr>
                <w:rFonts w:hint="eastAsia" w:ascii="新宋体" w:hAnsi="新宋体" w:eastAsia="新宋体"/>
                <w:sz w:val="18"/>
                <w:szCs w:val="18"/>
              </w:rPr>
              <w:t>⑨</w:t>
            </w:r>
            <w:r>
              <w:rPr>
                <w:rFonts w:ascii="新宋体" w:hAnsi="新宋体" w:eastAsia="新宋体"/>
                <w:sz w:val="18"/>
                <w:szCs w:val="18"/>
              </w:rPr>
              <w:t>最近三年以现金方式累计分配的利润不少于最近三年实现的年均可分配利润的百分之三十</w:t>
            </w:r>
            <w:r>
              <w:rPr>
                <w:rFonts w:hint="eastAsia" w:ascii="新宋体" w:hAnsi="新宋体" w:eastAsia="新宋体"/>
                <w:sz w:val="18"/>
                <w:szCs w:val="18"/>
              </w:rPr>
              <w:t>。</w:t>
            </w:r>
          </w:p>
        </w:tc>
      </w:tr>
      <w:tr w14:paraId="45D13583">
        <w:tblPrEx>
          <w:tblCellMar>
            <w:top w:w="0" w:type="dxa"/>
            <w:left w:w="108" w:type="dxa"/>
            <w:bottom w:w="0" w:type="dxa"/>
            <w:right w:w="108" w:type="dxa"/>
          </w:tblCellMar>
        </w:tblPrEx>
        <w:tc>
          <w:tcPr>
            <w:tcW w:w="421" w:type="pct"/>
            <w:vMerge w:val="restart"/>
            <w:tcBorders>
              <w:bottom w:val="single" w:color="auto" w:sz="4" w:space="0"/>
            </w:tcBorders>
            <w:vAlign w:val="center"/>
          </w:tcPr>
          <w:p w14:paraId="36813ABD">
            <w:pPr>
              <w:rPr>
                <w:rFonts w:hint="eastAsia"/>
                <w:sz w:val="18"/>
                <w:szCs w:val="18"/>
              </w:rPr>
            </w:pPr>
            <w:r>
              <w:rPr>
                <w:rFonts w:hint="eastAsia"/>
                <w:sz w:val="18"/>
                <w:szCs w:val="18"/>
              </w:rPr>
              <w:t>特定</w:t>
            </w:r>
          </w:p>
          <w:p w14:paraId="16B7362F">
            <w:pPr>
              <w:rPr>
                <w:rFonts w:hint="eastAsia"/>
                <w:sz w:val="18"/>
                <w:szCs w:val="18"/>
              </w:rPr>
            </w:pPr>
            <w:r>
              <w:rPr>
                <w:rFonts w:hint="eastAsia"/>
                <w:sz w:val="18"/>
                <w:szCs w:val="18"/>
              </w:rPr>
              <w:t>条件</w:t>
            </w:r>
          </w:p>
        </w:tc>
        <w:tc>
          <w:tcPr>
            <w:tcW w:w="4579" w:type="pct"/>
            <w:vAlign w:val="center"/>
          </w:tcPr>
          <w:p w14:paraId="0DA67488">
            <w:pPr>
              <w:rPr>
                <w:rFonts w:hint="eastAsia"/>
                <w:sz w:val="18"/>
                <w:szCs w:val="18"/>
              </w:rPr>
            </w:pPr>
            <w:r>
              <w:rPr>
                <w:rFonts w:hint="eastAsia" w:ascii="新宋体" w:hAnsi="新宋体" w:eastAsia="新宋体"/>
                <w:sz w:val="18"/>
                <w:szCs w:val="18"/>
              </w:rPr>
              <w:t>①最近三个会计年度加权平均净资产收益率平均不低于百分之六。扣除非经常性损益后的净利润与扣除前的净利润相比，以低者作为加权平均净资产收益率的计算依据；</w:t>
            </w:r>
          </w:p>
        </w:tc>
      </w:tr>
      <w:tr w14:paraId="0D8FCEE5">
        <w:tblPrEx>
          <w:tblCellMar>
            <w:top w:w="0" w:type="dxa"/>
            <w:left w:w="108" w:type="dxa"/>
            <w:bottom w:w="0" w:type="dxa"/>
            <w:right w:w="108" w:type="dxa"/>
          </w:tblCellMar>
        </w:tblPrEx>
        <w:tc>
          <w:tcPr>
            <w:tcW w:w="421" w:type="pct"/>
            <w:vMerge w:val="continue"/>
            <w:tcBorders>
              <w:bottom w:val="single" w:color="auto" w:sz="4" w:space="0"/>
            </w:tcBorders>
            <w:vAlign w:val="center"/>
          </w:tcPr>
          <w:p w14:paraId="05FEAD99">
            <w:pPr>
              <w:rPr>
                <w:rFonts w:hint="eastAsia"/>
                <w:sz w:val="18"/>
                <w:szCs w:val="18"/>
              </w:rPr>
            </w:pPr>
          </w:p>
        </w:tc>
        <w:tc>
          <w:tcPr>
            <w:tcW w:w="4579" w:type="pct"/>
            <w:vAlign w:val="center"/>
          </w:tcPr>
          <w:p w14:paraId="1656733E">
            <w:pPr>
              <w:rPr>
                <w:rFonts w:hint="eastAsia"/>
                <w:sz w:val="18"/>
                <w:szCs w:val="18"/>
              </w:rPr>
            </w:pPr>
            <w:r>
              <w:rPr>
                <w:rFonts w:hint="eastAsia" w:ascii="新宋体" w:hAnsi="新宋体" w:eastAsia="新宋体"/>
                <w:sz w:val="18"/>
                <w:szCs w:val="18"/>
              </w:rPr>
              <w:t>②本次发行后累计公司债券余额不超过最近一期末净资产额的百分之四十；</w:t>
            </w:r>
          </w:p>
        </w:tc>
      </w:tr>
      <w:tr w14:paraId="7E3D6F5D">
        <w:tblPrEx>
          <w:tblCellMar>
            <w:top w:w="0" w:type="dxa"/>
            <w:left w:w="108" w:type="dxa"/>
            <w:bottom w:w="0" w:type="dxa"/>
            <w:right w:w="108" w:type="dxa"/>
          </w:tblCellMar>
        </w:tblPrEx>
        <w:tc>
          <w:tcPr>
            <w:tcW w:w="421" w:type="pct"/>
            <w:vMerge w:val="continue"/>
            <w:tcBorders>
              <w:bottom w:val="single" w:color="auto" w:sz="4" w:space="0"/>
            </w:tcBorders>
            <w:vAlign w:val="center"/>
          </w:tcPr>
          <w:p w14:paraId="6100D199">
            <w:pPr>
              <w:rPr>
                <w:rFonts w:hint="eastAsia"/>
                <w:sz w:val="18"/>
                <w:szCs w:val="18"/>
              </w:rPr>
            </w:pPr>
          </w:p>
        </w:tc>
        <w:tc>
          <w:tcPr>
            <w:tcW w:w="4579" w:type="pct"/>
            <w:tcBorders>
              <w:bottom w:val="single" w:color="auto" w:sz="4" w:space="0"/>
            </w:tcBorders>
            <w:vAlign w:val="center"/>
          </w:tcPr>
          <w:p w14:paraId="7775D370">
            <w:pPr>
              <w:rPr>
                <w:rFonts w:hint="eastAsia"/>
                <w:sz w:val="18"/>
                <w:szCs w:val="18"/>
              </w:rPr>
            </w:pPr>
            <w:r>
              <w:rPr>
                <w:rFonts w:hint="eastAsia" w:ascii="新宋体" w:hAnsi="新宋体" w:eastAsia="新宋体"/>
                <w:sz w:val="18"/>
                <w:szCs w:val="18"/>
              </w:rPr>
              <w:t>③最近三个会计年度实现的年均可分配利润不少于公司债券一年的利息。</w:t>
            </w:r>
          </w:p>
        </w:tc>
      </w:tr>
    </w:tbl>
    <w:p w14:paraId="15E63068">
      <w:pPr>
        <w:spacing w:before="312" w:beforeLines="100" w:after="312" w:afterLines="100" w:line="440" w:lineRule="exact"/>
        <w:ind w:firstLine="480" w:firstLineChars="200"/>
        <w:rPr>
          <w:rFonts w:hint="eastAsia" w:eastAsia="黑体"/>
          <w:sz w:val="28"/>
          <w:szCs w:val="28"/>
        </w:rPr>
      </w:pPr>
      <w:r>
        <w:rPr>
          <w:rFonts w:hint="eastAsia" w:eastAsia="新宋体"/>
          <w:sz w:val="24"/>
        </w:rPr>
        <w:t>截至2009年12月31日，我国一共发行了66期可转换公司债券</w:t>
      </w:r>
      <w:r>
        <w:rPr>
          <w:rStyle w:val="17"/>
          <w:rFonts w:eastAsia="新宋体"/>
          <w:sz w:val="24"/>
        </w:rPr>
        <w:footnoteReference w:id="2"/>
      </w:r>
      <w:r>
        <w:rPr>
          <w:rFonts w:hint="eastAsia" w:eastAsia="新宋体"/>
          <w:sz w:val="24"/>
        </w:rPr>
        <w:t>，发行总规模为757.19亿元，各年发行期数及发行规模见下图，从图中可以看出，我国可转换债券市场波动较大。</w:t>
      </w:r>
    </w:p>
    <w:p w14:paraId="3ADBD5BB">
      <w:pPr>
        <w:rPr>
          <w:rFonts w:hint="eastAsia"/>
          <w:sz w:val="24"/>
        </w:rPr>
      </w:pPr>
      <w:r>
        <w:drawing>
          <wp:inline distT="0" distB="0" distL="0" distR="0">
            <wp:extent cx="5272405" cy="2636520"/>
            <wp:effectExtent l="0" t="0" r="0" b="0"/>
            <wp:docPr id="127679265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792655" name="图片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72405" cy="2636520"/>
                    </a:xfrm>
                    <a:prstGeom prst="rect">
                      <a:avLst/>
                    </a:prstGeom>
                    <a:noFill/>
                    <a:ln>
                      <a:noFill/>
                    </a:ln>
                  </pic:spPr>
                </pic:pic>
              </a:graphicData>
            </a:graphic>
          </wp:inline>
        </w:drawing>
      </w:r>
    </w:p>
    <w:p w14:paraId="1EA33982">
      <w:pPr>
        <w:pStyle w:val="11"/>
        <w:jc w:val="center"/>
        <w:rPr>
          <w:rFonts w:hint="eastAsia" w:ascii="Times New Roman" w:hAnsi="新宋体" w:eastAsia="新宋体" w:cs="Times New Roman"/>
          <w:sz w:val="21"/>
          <w:szCs w:val="21"/>
        </w:rPr>
      </w:pPr>
      <w:bookmarkStart w:id="3" w:name="_Toc256507143"/>
      <w:r>
        <w:rPr>
          <w:rFonts w:hint="eastAsia" w:ascii="Times New Roman" w:hAnsi="新宋体" w:eastAsia="新宋体" w:cs="Times New Roman"/>
          <w:sz w:val="21"/>
          <w:szCs w:val="21"/>
        </w:rPr>
        <w:t>图</w:t>
      </w:r>
      <w:r>
        <w:rPr>
          <w:rFonts w:ascii="Times New Roman" w:hAnsi="新宋体" w:eastAsia="新宋体" w:cs="Times New Roman"/>
          <w:sz w:val="21"/>
          <w:szCs w:val="21"/>
        </w:rPr>
        <w:fldChar w:fldCharType="begin"/>
      </w:r>
      <w:r>
        <w:rPr>
          <w:rFonts w:ascii="Times New Roman" w:hAnsi="新宋体" w:eastAsia="新宋体" w:cs="Times New Roman"/>
          <w:sz w:val="21"/>
          <w:szCs w:val="21"/>
        </w:rPr>
        <w:instrText xml:space="preserve"> </w:instrText>
      </w:r>
      <w:r>
        <w:rPr>
          <w:rFonts w:hint="eastAsia" w:ascii="Times New Roman" w:hAnsi="新宋体" w:eastAsia="新宋体" w:cs="Times New Roman"/>
          <w:sz w:val="21"/>
          <w:szCs w:val="21"/>
        </w:rPr>
        <w:instrText xml:space="preserve">SEQ 图8. \* ARABIC</w:instrText>
      </w:r>
      <w:r>
        <w:rPr>
          <w:rFonts w:ascii="Times New Roman" w:hAnsi="新宋体" w:eastAsia="新宋体" w:cs="Times New Roman"/>
          <w:sz w:val="21"/>
          <w:szCs w:val="21"/>
        </w:rPr>
        <w:instrText xml:space="preserve"> </w:instrText>
      </w:r>
      <w:r>
        <w:rPr>
          <w:rFonts w:ascii="Times New Roman" w:hAnsi="新宋体" w:eastAsia="新宋体" w:cs="Times New Roman"/>
          <w:sz w:val="21"/>
          <w:szCs w:val="21"/>
        </w:rPr>
        <w:fldChar w:fldCharType="separate"/>
      </w:r>
      <w:r>
        <w:rPr>
          <w:rFonts w:ascii="Times New Roman" w:hAnsi="新宋体" w:eastAsia="新宋体" w:cs="Times New Roman"/>
          <w:sz w:val="21"/>
          <w:szCs w:val="21"/>
        </w:rPr>
        <w:t>1</w:t>
      </w:r>
      <w:r>
        <w:rPr>
          <w:rFonts w:ascii="Times New Roman" w:hAnsi="新宋体" w:eastAsia="新宋体" w:cs="Times New Roman"/>
          <w:sz w:val="21"/>
          <w:szCs w:val="21"/>
        </w:rPr>
        <w:fldChar w:fldCharType="end"/>
      </w:r>
      <w:r>
        <w:rPr>
          <w:rFonts w:hint="eastAsia" w:ascii="Times New Roman" w:hAnsi="新宋体" w:eastAsia="新宋体" w:cs="Times New Roman"/>
          <w:sz w:val="21"/>
          <w:szCs w:val="21"/>
        </w:rPr>
        <w:t xml:space="preserve">  1998-2009年我国可转换公司债券发行期数及发行规模</w:t>
      </w:r>
      <w:bookmarkEnd w:id="3"/>
    </w:p>
    <w:p w14:paraId="76E1EA25">
      <w:pPr>
        <w:pStyle w:val="11"/>
        <w:jc w:val="center"/>
        <w:rPr>
          <w:rFonts w:ascii="Times New Roman" w:hAnsi="Times New Roman" w:cs="Times New Roman"/>
          <w:sz w:val="21"/>
          <w:szCs w:val="21"/>
        </w:rPr>
      </w:pPr>
      <w:r>
        <w:rPr>
          <w:rFonts w:ascii="Times New Roman" w:hAnsi="Times New Roman" w:eastAsia="新宋体" w:cs="Times New Roman"/>
          <w:bCs/>
          <w:kern w:val="0"/>
          <w:sz w:val="21"/>
          <w:szCs w:val="21"/>
        </w:rPr>
        <w:t xml:space="preserve">Figure 1  </w:t>
      </w:r>
      <w:r>
        <w:rPr>
          <w:rFonts w:ascii="Times New Roman" w:hAnsi="Times New Roman" w:cs="Times New Roman"/>
          <w:sz w:val="21"/>
          <w:szCs w:val="21"/>
        </w:rPr>
        <w:t xml:space="preserve">Issue number and issue size of China's convertible bonds </w:t>
      </w:r>
    </w:p>
    <w:p w14:paraId="53E076F1">
      <w:pPr>
        <w:pStyle w:val="11"/>
        <w:spacing w:after="312" w:afterLines="100"/>
        <w:jc w:val="center"/>
        <w:rPr>
          <w:rFonts w:ascii="Times New Roman" w:hAnsi="Times New Roman" w:cs="Times New Roman"/>
          <w:sz w:val="21"/>
          <w:szCs w:val="21"/>
        </w:rPr>
      </w:pPr>
      <w:r>
        <w:rPr>
          <w:rFonts w:ascii="Times New Roman" w:hAnsi="Times New Roman" w:cs="Times New Roman"/>
          <w:sz w:val="21"/>
          <w:szCs w:val="21"/>
        </w:rPr>
        <w:t>During the period from 1998-2009</w:t>
      </w:r>
    </w:p>
    <w:p w14:paraId="653FCBCC">
      <w:pPr>
        <w:pStyle w:val="11"/>
        <w:spacing w:line="440" w:lineRule="exact"/>
        <w:ind w:firstLine="480" w:firstLineChars="200"/>
        <w:rPr>
          <w:rFonts w:hint="eastAsia" w:ascii="Times New Roman" w:hAnsi="Times New Roman" w:eastAsia="新宋体" w:cs="Times New Roman"/>
          <w:sz w:val="24"/>
          <w:szCs w:val="24"/>
        </w:rPr>
      </w:pPr>
      <w:r>
        <w:rPr>
          <w:rFonts w:hint="eastAsia" w:ascii="Times New Roman" w:hAnsi="Times New Roman" w:eastAsia="新宋体" w:cs="Times New Roman"/>
          <w:sz w:val="24"/>
          <w:szCs w:val="24"/>
        </w:rPr>
        <w:t>从发行期限来看，我国可转换公司债券大多为5年和6年期。从信用等级分布来看，已发行的可转换公司债券基本都为高信用等级债券，其中AAA级占比为46.97%，这主要是由于2007年10月12日之前，大部分可转换公司债券都采用了银行担保的增信方式。除银行担保之外，第三方担保也是我国可转换公司债券的主要增信方式之一；此外，截至2009年12月31日，无担保可转换公司债券占比也达到13.64%。</w:t>
      </w:r>
    </w:p>
    <w:p w14:paraId="5B7A3F8D">
      <w:pPr>
        <w:keepNext/>
        <w:spacing w:before="156" w:beforeLines="50" w:line="360" w:lineRule="auto"/>
        <w:jc w:val="center"/>
        <w:rPr>
          <w:rFonts w:hint="eastAsia" w:eastAsia="新宋体"/>
          <w:szCs w:val="21"/>
        </w:rPr>
      </w:pPr>
      <w:r>
        <w:drawing>
          <wp:inline distT="0" distB="0" distL="0" distR="0">
            <wp:extent cx="5272405" cy="2636520"/>
            <wp:effectExtent l="0" t="0" r="0" b="0"/>
            <wp:docPr id="116298351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983515" name="图片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272405" cy="2636520"/>
                    </a:xfrm>
                    <a:prstGeom prst="rect">
                      <a:avLst/>
                    </a:prstGeom>
                    <a:noFill/>
                    <a:ln>
                      <a:noFill/>
                    </a:ln>
                  </pic:spPr>
                </pic:pic>
              </a:graphicData>
            </a:graphic>
          </wp:inline>
        </w:drawing>
      </w:r>
    </w:p>
    <w:p w14:paraId="7BE4FA62">
      <w:pPr>
        <w:pStyle w:val="11"/>
        <w:jc w:val="center"/>
        <w:rPr>
          <w:rFonts w:hint="eastAsia" w:ascii="Times New Roman" w:hAnsi="新宋体" w:eastAsia="新宋体" w:cs="Times New Roman"/>
          <w:sz w:val="21"/>
          <w:szCs w:val="21"/>
        </w:rPr>
      </w:pPr>
      <w:bookmarkStart w:id="4" w:name="_Toc256507144"/>
      <w:r>
        <w:rPr>
          <w:rFonts w:hint="eastAsia" w:ascii="Times New Roman" w:hAnsi="新宋体" w:eastAsia="新宋体" w:cs="Times New Roman"/>
          <w:sz w:val="21"/>
          <w:szCs w:val="21"/>
        </w:rPr>
        <w:t>图</w:t>
      </w:r>
      <w:r>
        <w:rPr>
          <w:rFonts w:ascii="Times New Roman" w:hAnsi="新宋体" w:eastAsia="新宋体" w:cs="Times New Roman"/>
          <w:sz w:val="21"/>
          <w:szCs w:val="21"/>
        </w:rPr>
        <w:fldChar w:fldCharType="begin"/>
      </w:r>
      <w:r>
        <w:rPr>
          <w:rFonts w:ascii="Times New Roman" w:hAnsi="新宋体" w:eastAsia="新宋体" w:cs="Times New Roman"/>
          <w:sz w:val="21"/>
          <w:szCs w:val="21"/>
        </w:rPr>
        <w:instrText xml:space="preserve"> </w:instrText>
      </w:r>
      <w:r>
        <w:rPr>
          <w:rFonts w:hint="eastAsia" w:ascii="Times New Roman" w:hAnsi="新宋体" w:eastAsia="新宋体" w:cs="Times New Roman"/>
          <w:sz w:val="21"/>
          <w:szCs w:val="21"/>
        </w:rPr>
        <w:instrText xml:space="preserve">SEQ 图8. \* ARABIC</w:instrText>
      </w:r>
      <w:r>
        <w:rPr>
          <w:rFonts w:ascii="Times New Roman" w:hAnsi="新宋体" w:eastAsia="新宋体" w:cs="Times New Roman"/>
          <w:sz w:val="21"/>
          <w:szCs w:val="21"/>
        </w:rPr>
        <w:instrText xml:space="preserve"> </w:instrText>
      </w:r>
      <w:r>
        <w:rPr>
          <w:rFonts w:ascii="Times New Roman" w:hAnsi="新宋体" w:eastAsia="新宋体" w:cs="Times New Roman"/>
          <w:sz w:val="21"/>
          <w:szCs w:val="21"/>
        </w:rPr>
        <w:fldChar w:fldCharType="separate"/>
      </w:r>
      <w:r>
        <w:rPr>
          <w:rFonts w:ascii="Times New Roman" w:hAnsi="新宋体" w:eastAsia="新宋体" w:cs="Times New Roman"/>
          <w:sz w:val="21"/>
          <w:szCs w:val="21"/>
        </w:rPr>
        <w:t>2</w:t>
      </w:r>
      <w:r>
        <w:rPr>
          <w:rFonts w:ascii="Times New Roman" w:hAnsi="新宋体" w:eastAsia="新宋体" w:cs="Times New Roman"/>
          <w:sz w:val="21"/>
          <w:szCs w:val="21"/>
        </w:rPr>
        <w:fldChar w:fldCharType="end"/>
      </w:r>
      <w:r>
        <w:rPr>
          <w:rFonts w:hint="eastAsia" w:ascii="Times New Roman" w:hAnsi="新宋体" w:eastAsia="新宋体" w:cs="Times New Roman"/>
          <w:sz w:val="21"/>
          <w:szCs w:val="21"/>
        </w:rPr>
        <w:t xml:space="preserve">  截至2009年12月31日我国可转换公司债券发行期限情况</w:t>
      </w:r>
      <w:bookmarkEnd w:id="4"/>
    </w:p>
    <w:p w14:paraId="1A666C9A">
      <w:pPr>
        <w:spacing w:after="312" w:afterLines="100"/>
        <w:jc w:val="center"/>
        <w:rPr>
          <w:rFonts w:hint="eastAsia"/>
          <w:sz w:val="24"/>
        </w:rPr>
      </w:pPr>
      <w:r>
        <w:rPr>
          <w:rFonts w:eastAsia="新宋体"/>
          <w:bCs/>
          <w:kern w:val="0"/>
          <w:szCs w:val="21"/>
        </w:rPr>
        <w:t xml:space="preserve">Figure </w:t>
      </w:r>
      <w:r>
        <w:rPr>
          <w:rFonts w:hint="eastAsia" w:eastAsia="新宋体"/>
          <w:bCs/>
          <w:kern w:val="0"/>
          <w:szCs w:val="21"/>
        </w:rPr>
        <w:t>2</w:t>
      </w:r>
      <w:r>
        <w:rPr>
          <w:rFonts w:eastAsia="新宋体"/>
          <w:bCs/>
          <w:kern w:val="0"/>
          <w:szCs w:val="21"/>
        </w:rPr>
        <w:t xml:space="preserve">  </w:t>
      </w:r>
      <w:r>
        <w:rPr>
          <w:rFonts w:hint="eastAsia"/>
        </w:rPr>
        <w:t>M</w:t>
      </w:r>
      <w:r>
        <w:t>aturites</w:t>
      </w:r>
      <w:r>
        <w:rPr>
          <w:rFonts w:hint="eastAsia"/>
        </w:rPr>
        <w:t xml:space="preserve"> of </w:t>
      </w:r>
      <w:r>
        <w:t>China's convertible bond</w:t>
      </w:r>
      <w:r>
        <w:rPr>
          <w:rFonts w:hint="eastAsia"/>
        </w:rPr>
        <w:t xml:space="preserve">s by </w:t>
      </w:r>
      <w:r>
        <w:t>December 31</w:t>
      </w:r>
      <w:r>
        <w:rPr>
          <w:rFonts w:hint="eastAsia"/>
        </w:rPr>
        <w:t>,</w:t>
      </w:r>
      <w:r>
        <w:t>2009</w:t>
      </w:r>
    </w:p>
    <w:p w14:paraId="6661121B">
      <w:pPr>
        <w:spacing w:line="360" w:lineRule="auto"/>
        <w:rPr>
          <w:rFonts w:hint="eastAsia"/>
          <w:sz w:val="24"/>
        </w:rPr>
      </w:pPr>
      <w:r>
        <w:drawing>
          <wp:inline distT="0" distB="0" distL="0" distR="0">
            <wp:extent cx="5272405" cy="2636520"/>
            <wp:effectExtent l="0" t="0" r="0" b="0"/>
            <wp:docPr id="150426077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260777" name="图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272405" cy="2636520"/>
                    </a:xfrm>
                    <a:prstGeom prst="rect">
                      <a:avLst/>
                    </a:prstGeom>
                    <a:noFill/>
                    <a:ln>
                      <a:noFill/>
                    </a:ln>
                  </pic:spPr>
                </pic:pic>
              </a:graphicData>
            </a:graphic>
          </wp:inline>
        </w:drawing>
      </w:r>
    </w:p>
    <w:p w14:paraId="35007E8F">
      <w:pPr>
        <w:pStyle w:val="11"/>
        <w:jc w:val="center"/>
        <w:rPr>
          <w:rFonts w:hint="eastAsia" w:ascii="Times New Roman" w:hAnsi="新宋体" w:eastAsia="新宋体" w:cs="Times New Roman"/>
          <w:sz w:val="21"/>
          <w:szCs w:val="21"/>
        </w:rPr>
      </w:pPr>
      <w:bookmarkStart w:id="5" w:name="_Toc256507145"/>
      <w:bookmarkStart w:id="6" w:name="_Toc246425428"/>
      <w:bookmarkStart w:id="7" w:name="_Toc246328529"/>
      <w:r>
        <w:rPr>
          <w:rFonts w:hint="eastAsia" w:ascii="Times New Roman" w:hAnsi="新宋体" w:eastAsia="新宋体" w:cs="Times New Roman"/>
          <w:sz w:val="21"/>
          <w:szCs w:val="21"/>
        </w:rPr>
        <w:t>图</w:t>
      </w:r>
      <w:r>
        <w:rPr>
          <w:rFonts w:ascii="Times New Roman" w:hAnsi="新宋体" w:eastAsia="新宋体" w:cs="Times New Roman"/>
          <w:sz w:val="21"/>
          <w:szCs w:val="21"/>
        </w:rPr>
        <w:fldChar w:fldCharType="begin"/>
      </w:r>
      <w:r>
        <w:rPr>
          <w:rFonts w:ascii="Times New Roman" w:hAnsi="新宋体" w:eastAsia="新宋体" w:cs="Times New Roman"/>
          <w:sz w:val="21"/>
          <w:szCs w:val="21"/>
        </w:rPr>
        <w:instrText xml:space="preserve"> </w:instrText>
      </w:r>
      <w:r>
        <w:rPr>
          <w:rFonts w:hint="eastAsia" w:ascii="Times New Roman" w:hAnsi="新宋体" w:eastAsia="新宋体" w:cs="Times New Roman"/>
          <w:sz w:val="21"/>
          <w:szCs w:val="21"/>
        </w:rPr>
        <w:instrText xml:space="preserve">SEQ 图8. \* ARABIC</w:instrText>
      </w:r>
      <w:r>
        <w:rPr>
          <w:rFonts w:ascii="Times New Roman" w:hAnsi="新宋体" w:eastAsia="新宋体" w:cs="Times New Roman"/>
          <w:sz w:val="21"/>
          <w:szCs w:val="21"/>
        </w:rPr>
        <w:instrText xml:space="preserve"> </w:instrText>
      </w:r>
      <w:r>
        <w:rPr>
          <w:rFonts w:ascii="Times New Roman" w:hAnsi="新宋体" w:eastAsia="新宋体" w:cs="Times New Roman"/>
          <w:sz w:val="21"/>
          <w:szCs w:val="21"/>
        </w:rPr>
        <w:fldChar w:fldCharType="separate"/>
      </w:r>
      <w:r>
        <w:rPr>
          <w:rFonts w:ascii="Times New Roman" w:hAnsi="新宋体" w:eastAsia="新宋体" w:cs="Times New Roman"/>
          <w:sz w:val="21"/>
          <w:szCs w:val="21"/>
        </w:rPr>
        <w:t>3</w:t>
      </w:r>
      <w:r>
        <w:rPr>
          <w:rFonts w:ascii="Times New Roman" w:hAnsi="新宋体" w:eastAsia="新宋体" w:cs="Times New Roman"/>
          <w:sz w:val="21"/>
          <w:szCs w:val="21"/>
        </w:rPr>
        <w:fldChar w:fldCharType="end"/>
      </w:r>
      <w:r>
        <w:rPr>
          <w:rFonts w:hint="eastAsia" w:ascii="Times New Roman" w:hAnsi="新宋体" w:eastAsia="新宋体" w:cs="Times New Roman"/>
          <w:sz w:val="21"/>
          <w:szCs w:val="21"/>
        </w:rPr>
        <w:t xml:space="preserve">  截至2009年12月31日我国可转换公司债券信用等级分布</w:t>
      </w:r>
      <w:bookmarkEnd w:id="5"/>
    </w:p>
    <w:bookmarkEnd w:id="6"/>
    <w:bookmarkEnd w:id="7"/>
    <w:p w14:paraId="6F040B3D">
      <w:pPr>
        <w:spacing w:after="312" w:afterLines="100"/>
        <w:jc w:val="center"/>
        <w:rPr>
          <w:rFonts w:hint="eastAsia"/>
          <w:sz w:val="24"/>
        </w:rPr>
      </w:pPr>
      <w:r>
        <w:rPr>
          <w:rFonts w:eastAsia="新宋体"/>
          <w:bCs/>
          <w:kern w:val="0"/>
          <w:szCs w:val="21"/>
        </w:rPr>
        <w:t xml:space="preserve">Figure </w:t>
      </w:r>
      <w:r>
        <w:rPr>
          <w:rFonts w:hint="eastAsia" w:eastAsia="新宋体"/>
          <w:bCs/>
          <w:kern w:val="0"/>
          <w:szCs w:val="21"/>
        </w:rPr>
        <w:t>3</w:t>
      </w:r>
      <w:r>
        <w:rPr>
          <w:rFonts w:eastAsia="新宋体"/>
          <w:bCs/>
          <w:kern w:val="0"/>
          <w:szCs w:val="21"/>
        </w:rPr>
        <w:t xml:space="preserve">  </w:t>
      </w:r>
      <w:r>
        <w:rPr>
          <w:rFonts w:hint="eastAsia"/>
        </w:rPr>
        <w:t>C</w:t>
      </w:r>
      <w:r>
        <w:t xml:space="preserve">redit rating distribution of China's convertible bonds </w:t>
      </w:r>
      <w:r>
        <w:rPr>
          <w:rFonts w:hint="eastAsia"/>
        </w:rPr>
        <w:t>by</w:t>
      </w:r>
      <w:r>
        <w:t xml:space="preserve"> December 31, 200</w:t>
      </w:r>
      <w:r>
        <w:rPr>
          <w:rFonts w:hint="eastAsia"/>
        </w:rPr>
        <w:t>9</w:t>
      </w:r>
    </w:p>
    <w:p w14:paraId="09301475">
      <w:pPr>
        <w:spacing w:line="360" w:lineRule="auto"/>
        <w:rPr>
          <w:rFonts w:hint="eastAsia"/>
          <w:sz w:val="24"/>
        </w:rPr>
      </w:pPr>
      <w:r>
        <w:drawing>
          <wp:inline distT="0" distB="0" distL="0" distR="0">
            <wp:extent cx="5272405" cy="2636520"/>
            <wp:effectExtent l="0" t="0" r="0" b="0"/>
            <wp:docPr id="106390964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909642"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272405" cy="2636520"/>
                    </a:xfrm>
                    <a:prstGeom prst="rect">
                      <a:avLst/>
                    </a:prstGeom>
                    <a:noFill/>
                    <a:ln>
                      <a:noFill/>
                    </a:ln>
                  </pic:spPr>
                </pic:pic>
              </a:graphicData>
            </a:graphic>
          </wp:inline>
        </w:drawing>
      </w:r>
    </w:p>
    <w:p w14:paraId="148D7232">
      <w:pPr>
        <w:pStyle w:val="11"/>
        <w:jc w:val="center"/>
        <w:rPr>
          <w:rFonts w:hint="eastAsia" w:ascii="Times New Roman" w:hAnsi="新宋体" w:eastAsia="新宋体" w:cs="Times New Roman"/>
          <w:sz w:val="21"/>
          <w:szCs w:val="21"/>
        </w:rPr>
      </w:pPr>
      <w:bookmarkStart w:id="8" w:name="_Toc256507146"/>
      <w:r>
        <w:rPr>
          <w:rFonts w:hint="eastAsia" w:ascii="Times New Roman" w:hAnsi="新宋体" w:eastAsia="新宋体" w:cs="Times New Roman"/>
          <w:sz w:val="21"/>
          <w:szCs w:val="21"/>
        </w:rPr>
        <w:t>图</w:t>
      </w:r>
      <w:r>
        <w:rPr>
          <w:rFonts w:ascii="Times New Roman" w:hAnsi="新宋体" w:eastAsia="新宋体" w:cs="Times New Roman"/>
          <w:sz w:val="21"/>
          <w:szCs w:val="21"/>
        </w:rPr>
        <w:fldChar w:fldCharType="begin"/>
      </w:r>
      <w:r>
        <w:rPr>
          <w:rFonts w:ascii="Times New Roman" w:hAnsi="新宋体" w:eastAsia="新宋体" w:cs="Times New Roman"/>
          <w:sz w:val="21"/>
          <w:szCs w:val="21"/>
        </w:rPr>
        <w:instrText xml:space="preserve"> </w:instrText>
      </w:r>
      <w:r>
        <w:rPr>
          <w:rFonts w:hint="eastAsia" w:ascii="Times New Roman" w:hAnsi="新宋体" w:eastAsia="新宋体" w:cs="Times New Roman"/>
          <w:sz w:val="21"/>
          <w:szCs w:val="21"/>
        </w:rPr>
        <w:instrText xml:space="preserve">SEQ 图8. \* ARABIC</w:instrText>
      </w:r>
      <w:r>
        <w:rPr>
          <w:rFonts w:ascii="Times New Roman" w:hAnsi="新宋体" w:eastAsia="新宋体" w:cs="Times New Roman"/>
          <w:sz w:val="21"/>
          <w:szCs w:val="21"/>
        </w:rPr>
        <w:instrText xml:space="preserve"> </w:instrText>
      </w:r>
      <w:r>
        <w:rPr>
          <w:rFonts w:ascii="Times New Roman" w:hAnsi="新宋体" w:eastAsia="新宋体" w:cs="Times New Roman"/>
          <w:sz w:val="21"/>
          <w:szCs w:val="21"/>
        </w:rPr>
        <w:fldChar w:fldCharType="separate"/>
      </w:r>
      <w:r>
        <w:rPr>
          <w:rFonts w:ascii="Times New Roman" w:hAnsi="新宋体" w:eastAsia="新宋体" w:cs="Times New Roman"/>
          <w:sz w:val="21"/>
          <w:szCs w:val="21"/>
        </w:rPr>
        <w:t>4</w:t>
      </w:r>
      <w:r>
        <w:rPr>
          <w:rFonts w:ascii="Times New Roman" w:hAnsi="新宋体" w:eastAsia="新宋体" w:cs="Times New Roman"/>
          <w:sz w:val="21"/>
          <w:szCs w:val="21"/>
        </w:rPr>
        <w:fldChar w:fldCharType="end"/>
      </w:r>
      <w:r>
        <w:rPr>
          <w:rFonts w:hint="eastAsia" w:ascii="Times New Roman" w:hAnsi="新宋体" w:eastAsia="新宋体" w:cs="Times New Roman"/>
          <w:sz w:val="21"/>
          <w:szCs w:val="21"/>
        </w:rPr>
        <w:t xml:space="preserve">  截至2009年12月31日我国可转换公司债券增信方式结构分布</w:t>
      </w:r>
      <w:bookmarkEnd w:id="8"/>
    </w:p>
    <w:p w14:paraId="1162A9A8">
      <w:pPr>
        <w:jc w:val="center"/>
        <w:rPr>
          <w:rFonts w:hint="eastAsia"/>
        </w:rPr>
      </w:pPr>
      <w:r>
        <w:rPr>
          <w:rFonts w:eastAsia="新宋体"/>
          <w:bCs/>
          <w:kern w:val="0"/>
          <w:szCs w:val="21"/>
        </w:rPr>
        <w:t xml:space="preserve">Figure </w:t>
      </w:r>
      <w:r>
        <w:rPr>
          <w:rFonts w:hint="eastAsia" w:eastAsia="新宋体"/>
          <w:bCs/>
          <w:kern w:val="0"/>
          <w:szCs w:val="21"/>
        </w:rPr>
        <w:t>4</w:t>
      </w:r>
      <w:r>
        <w:rPr>
          <w:rFonts w:eastAsia="新宋体"/>
          <w:bCs/>
          <w:kern w:val="0"/>
          <w:szCs w:val="21"/>
        </w:rPr>
        <w:t xml:space="preserve">  </w:t>
      </w:r>
      <w:r>
        <w:rPr>
          <w:rFonts w:hint="eastAsia"/>
        </w:rPr>
        <w:t xml:space="preserve">Credit enhancement mode </w:t>
      </w:r>
      <w:r>
        <w:t xml:space="preserve">distribution of China's convertible bonds </w:t>
      </w:r>
    </w:p>
    <w:p w14:paraId="11133C12">
      <w:pPr>
        <w:spacing w:after="312" w:afterLines="100"/>
        <w:jc w:val="center"/>
        <w:rPr>
          <w:rFonts w:hint="eastAsia"/>
        </w:rPr>
      </w:pPr>
      <w:r>
        <w:rPr>
          <w:rFonts w:hint="eastAsia"/>
        </w:rPr>
        <w:t>by</w:t>
      </w:r>
      <w:r>
        <w:t xml:space="preserve"> December 31, 2009</w:t>
      </w:r>
    </w:p>
    <w:p w14:paraId="29F42E32">
      <w:pPr>
        <w:pStyle w:val="4"/>
        <w:adjustRightInd w:val="0"/>
        <w:spacing w:before="156" w:beforeLines="50" w:after="156" w:afterLines="50" w:line="440" w:lineRule="exact"/>
        <w:ind w:firstLine="562" w:firstLineChars="200"/>
        <w:jc w:val="left"/>
        <w:rPr>
          <w:rFonts w:hint="eastAsia" w:ascii="黑体" w:eastAsia="黑体"/>
          <w:b/>
          <w:sz w:val="28"/>
          <w:szCs w:val="28"/>
        </w:rPr>
      </w:pPr>
      <w:bookmarkStart w:id="9" w:name="_Toc256506306"/>
      <w:r>
        <w:rPr>
          <w:rFonts w:hint="eastAsia" w:ascii="黑体" w:eastAsia="黑体"/>
          <w:b/>
          <w:sz w:val="28"/>
          <w:szCs w:val="28"/>
        </w:rPr>
        <w:t>二、增信原理</w:t>
      </w:r>
      <w:bookmarkEnd w:id="9"/>
    </w:p>
    <w:p w14:paraId="179CFBB9">
      <w:pPr>
        <w:spacing w:line="440" w:lineRule="exact"/>
        <w:ind w:firstLine="482"/>
        <w:rPr>
          <w:rFonts w:hint="eastAsia"/>
          <w:sz w:val="24"/>
        </w:rPr>
      </w:pPr>
      <w:r>
        <w:rPr>
          <w:rFonts w:hint="eastAsia"/>
          <w:sz w:val="24"/>
        </w:rPr>
        <w:t>债权性、股权性和转股权是可转换公司债券的三大特性。首先，与其他债券一样，可转换公司债券也有规定的利率和期限，投资者可以选择持有债券，到期收取本金和利息。其次，可转换公司债券在转换成股票之前是纯债券，但在特定条件下转换成股票之后，原债券持有人就由债权人变成了公司的股东，享有同其他股东完全一样的权利和义务。第三，转股权是可转换公司债券的最重要标志，债券持有者可以按约定的条件将债券转换成股票，转股权是投资者享有的、一般债券所没有的选择权。可转换公司债券在发行时就明确约定债券持有者可按照发行时约定的价格在特定的时间（即转股期）内将债券转换成公司的普通股股票。而如果债券持有者不想转换，则可继续持有债券，直到偿还期满时收取本金和利息，或者在流动市场出售变现。</w:t>
      </w:r>
    </w:p>
    <w:p w14:paraId="7C71AD96">
      <w:pPr>
        <w:spacing w:line="440" w:lineRule="exact"/>
        <w:ind w:firstLine="482"/>
        <w:rPr>
          <w:rFonts w:hint="eastAsia"/>
          <w:sz w:val="24"/>
        </w:rPr>
      </w:pPr>
      <w:r>
        <w:rPr>
          <w:rFonts w:hint="eastAsia"/>
          <w:sz w:val="24"/>
        </w:rPr>
        <w:t>同时，可转换公司债券往往附有回售或赎回条款。回售条款规定当公司股票的市场价格持续低于转股价（即按约定可转换公司债券转换成股票的价格）达到一定的幅度时，投资者可以将债券按约定条件出售给发行人。赎回条款规定在一定时期内，若公司股票的市场价格高于转股价达到一定幅度并持续一段时间时，发行人可以按约定条件强制赎回债券。</w:t>
      </w:r>
    </w:p>
    <w:p w14:paraId="301D5B57">
      <w:pPr>
        <w:spacing w:line="440" w:lineRule="exact"/>
        <w:ind w:firstLine="482"/>
        <w:rPr>
          <w:rFonts w:hint="eastAsia"/>
          <w:sz w:val="24"/>
        </w:rPr>
      </w:pPr>
      <w:r>
        <w:rPr>
          <w:rFonts w:hint="eastAsia"/>
          <w:sz w:val="24"/>
        </w:rPr>
        <w:t>可转换公司债券的增信主要与其转股权的特性有关。投资者在购买可转换公司债券的时候被赋予了在未来一定时期内将债券转换成股票的选择权，即使债券发生违约，投资者也可以通过转股来降低损失。因此，</w:t>
      </w:r>
      <w:r>
        <w:rPr>
          <w:kern w:val="0"/>
          <w:sz w:val="24"/>
        </w:rPr>
        <w:t>笔者认为可</w:t>
      </w:r>
      <w:r>
        <w:rPr>
          <w:rFonts w:hint="eastAsia"/>
          <w:kern w:val="0"/>
          <w:sz w:val="24"/>
        </w:rPr>
        <w:t>转换公司</w:t>
      </w:r>
      <w:r>
        <w:rPr>
          <w:kern w:val="0"/>
          <w:sz w:val="24"/>
        </w:rPr>
        <w:t>债券可以看做是一种包含了隐性增信方式的债券品种，实质上相当于隐性的股权质押</w:t>
      </w:r>
      <w:r>
        <w:rPr>
          <w:rFonts w:hint="eastAsia"/>
          <w:sz w:val="24"/>
        </w:rPr>
        <w:t>，其增信是通过债券的含权设计来实现的。</w:t>
      </w:r>
    </w:p>
    <w:p w14:paraId="7145D838">
      <w:pPr>
        <w:pStyle w:val="4"/>
        <w:adjustRightInd w:val="0"/>
        <w:spacing w:before="156" w:beforeLines="50" w:after="156" w:afterLines="50" w:line="440" w:lineRule="exact"/>
        <w:ind w:firstLine="562" w:firstLineChars="200"/>
        <w:jc w:val="left"/>
        <w:rPr>
          <w:rFonts w:hint="eastAsia" w:ascii="黑体" w:eastAsia="黑体"/>
          <w:b/>
          <w:sz w:val="28"/>
          <w:szCs w:val="28"/>
        </w:rPr>
      </w:pPr>
      <w:bookmarkStart w:id="10" w:name="_Toc256506307"/>
      <w:r>
        <w:rPr>
          <w:rFonts w:hint="eastAsia" w:ascii="黑体" w:eastAsia="黑体"/>
          <w:b/>
          <w:sz w:val="28"/>
          <w:szCs w:val="28"/>
        </w:rPr>
        <w:t>三、 增信效果</w:t>
      </w:r>
      <w:bookmarkEnd w:id="10"/>
    </w:p>
    <w:p w14:paraId="1F84BE5A">
      <w:pPr>
        <w:spacing w:line="360" w:lineRule="auto"/>
        <w:ind w:firstLine="480" w:firstLineChars="200"/>
        <w:rPr>
          <w:rFonts w:hint="eastAsia"/>
          <w:sz w:val="24"/>
        </w:rPr>
      </w:pPr>
      <w:r>
        <w:rPr>
          <w:rFonts w:hint="eastAsia"/>
          <w:sz w:val="24"/>
        </w:rPr>
        <w:t>从图8.5中可以看到，可转换公司债券的增信效果很明显，在相同信用等级下，可转换公司债券的发行利率远低于企业（公司）债券的发行利率。AAA、AA+、AA和AA-级别下，两者发行利率分别相差3.46%、4.65%、5.22%和5.91%</w:t>
      </w:r>
      <w:r>
        <w:rPr>
          <w:kern w:val="0"/>
          <w:sz w:val="24"/>
        </w:rPr>
        <w:t>。</w:t>
      </w:r>
    </w:p>
    <w:p w14:paraId="42874CA6">
      <w:pPr>
        <w:spacing w:line="360" w:lineRule="auto"/>
        <w:rPr>
          <w:rFonts w:hint="eastAsia"/>
          <w:sz w:val="24"/>
        </w:rPr>
      </w:pPr>
      <w:r>
        <w:drawing>
          <wp:inline distT="0" distB="0" distL="0" distR="0">
            <wp:extent cx="5272405" cy="2636520"/>
            <wp:effectExtent l="0" t="0" r="0" b="0"/>
            <wp:docPr id="87176615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766150"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272405" cy="2636520"/>
                    </a:xfrm>
                    <a:prstGeom prst="rect">
                      <a:avLst/>
                    </a:prstGeom>
                    <a:noFill/>
                    <a:ln>
                      <a:noFill/>
                    </a:ln>
                  </pic:spPr>
                </pic:pic>
              </a:graphicData>
            </a:graphic>
          </wp:inline>
        </w:drawing>
      </w:r>
    </w:p>
    <w:p w14:paraId="5B9460DB">
      <w:pPr>
        <w:pStyle w:val="11"/>
        <w:jc w:val="center"/>
        <w:rPr>
          <w:rFonts w:hint="eastAsia" w:ascii="Times New Roman" w:hAnsi="新宋体" w:eastAsia="新宋体" w:cs="Times New Roman"/>
          <w:sz w:val="21"/>
          <w:szCs w:val="21"/>
        </w:rPr>
      </w:pPr>
      <w:bookmarkStart w:id="11" w:name="_Toc256507147"/>
      <w:r>
        <w:rPr>
          <w:rFonts w:hint="eastAsia" w:ascii="Times New Roman" w:hAnsi="新宋体" w:eastAsia="新宋体" w:cs="Times New Roman"/>
          <w:sz w:val="21"/>
          <w:szCs w:val="21"/>
        </w:rPr>
        <w:t>图</w:t>
      </w:r>
      <w:r>
        <w:rPr>
          <w:rFonts w:ascii="Times New Roman" w:hAnsi="新宋体" w:eastAsia="新宋体" w:cs="Times New Roman"/>
          <w:sz w:val="21"/>
          <w:szCs w:val="21"/>
        </w:rPr>
        <w:fldChar w:fldCharType="begin"/>
      </w:r>
      <w:r>
        <w:rPr>
          <w:rFonts w:ascii="Times New Roman" w:hAnsi="新宋体" w:eastAsia="新宋体" w:cs="Times New Roman"/>
          <w:sz w:val="21"/>
          <w:szCs w:val="21"/>
        </w:rPr>
        <w:instrText xml:space="preserve"> </w:instrText>
      </w:r>
      <w:r>
        <w:rPr>
          <w:rFonts w:hint="eastAsia" w:ascii="Times New Roman" w:hAnsi="新宋体" w:eastAsia="新宋体" w:cs="Times New Roman"/>
          <w:sz w:val="21"/>
          <w:szCs w:val="21"/>
        </w:rPr>
        <w:instrText xml:space="preserve">SEQ 图8. \* ARABIC</w:instrText>
      </w:r>
      <w:r>
        <w:rPr>
          <w:rFonts w:ascii="Times New Roman" w:hAnsi="新宋体" w:eastAsia="新宋体" w:cs="Times New Roman"/>
          <w:sz w:val="21"/>
          <w:szCs w:val="21"/>
        </w:rPr>
        <w:instrText xml:space="preserve"> </w:instrText>
      </w:r>
      <w:r>
        <w:rPr>
          <w:rFonts w:ascii="Times New Roman" w:hAnsi="新宋体" w:eastAsia="新宋体" w:cs="Times New Roman"/>
          <w:sz w:val="21"/>
          <w:szCs w:val="21"/>
        </w:rPr>
        <w:fldChar w:fldCharType="separate"/>
      </w:r>
      <w:r>
        <w:rPr>
          <w:rFonts w:ascii="Times New Roman" w:hAnsi="新宋体" w:eastAsia="新宋体" w:cs="Times New Roman"/>
          <w:sz w:val="21"/>
          <w:szCs w:val="21"/>
        </w:rPr>
        <w:t>5</w:t>
      </w:r>
      <w:r>
        <w:rPr>
          <w:rFonts w:ascii="Times New Roman" w:hAnsi="新宋体" w:eastAsia="新宋体" w:cs="Times New Roman"/>
          <w:sz w:val="21"/>
          <w:szCs w:val="21"/>
        </w:rPr>
        <w:fldChar w:fldCharType="end"/>
      </w:r>
      <w:r>
        <w:rPr>
          <w:rFonts w:hint="eastAsia" w:ascii="Times New Roman" w:hAnsi="新宋体" w:eastAsia="新宋体" w:cs="Times New Roman"/>
          <w:sz w:val="21"/>
          <w:szCs w:val="21"/>
        </w:rPr>
        <w:t xml:space="preserve">  各信用等级下可转换公司债券与企业（公司）债券发行利率</w:t>
      </w:r>
      <w:r>
        <w:rPr>
          <w:rFonts w:ascii="Times New Roman" w:hAnsi="新宋体" w:eastAsia="新宋体" w:cs="Times New Roman"/>
          <w:sz w:val="21"/>
          <w:vertAlign w:val="superscript"/>
        </w:rPr>
        <w:footnoteReference w:id="3"/>
      </w:r>
      <w:r>
        <w:rPr>
          <w:rFonts w:ascii="Times New Roman" w:hAnsi="新宋体" w:eastAsia="新宋体" w:cs="Times New Roman"/>
          <w:sz w:val="21"/>
          <w:vertAlign w:val="superscript"/>
        </w:rPr>
        <w:footnoteReference w:id="4"/>
      </w:r>
      <w:r>
        <w:rPr>
          <w:rFonts w:hint="eastAsia" w:ascii="Times New Roman" w:hAnsi="新宋体" w:eastAsia="新宋体" w:cs="Times New Roman"/>
          <w:sz w:val="21"/>
          <w:szCs w:val="21"/>
        </w:rPr>
        <w:t>比较</w:t>
      </w:r>
      <w:bookmarkEnd w:id="11"/>
    </w:p>
    <w:p w14:paraId="6654A89E">
      <w:pPr>
        <w:pStyle w:val="11"/>
        <w:spacing w:after="312" w:afterLines="100"/>
        <w:jc w:val="center"/>
        <w:rPr>
          <w:rFonts w:ascii="Times New Roman" w:hAnsi="Times New Roman" w:cs="Times New Roman"/>
          <w:sz w:val="21"/>
          <w:szCs w:val="21"/>
        </w:rPr>
      </w:pPr>
      <w:r>
        <w:rPr>
          <w:rFonts w:ascii="Times New Roman" w:hAnsi="Times New Roman" w:eastAsia="新宋体" w:cs="Times New Roman"/>
          <w:bCs/>
          <w:kern w:val="0"/>
          <w:sz w:val="21"/>
          <w:szCs w:val="21"/>
        </w:rPr>
        <w:t xml:space="preserve">Figure </w:t>
      </w:r>
      <w:r>
        <w:rPr>
          <w:rFonts w:hint="eastAsia" w:ascii="Times New Roman" w:hAnsi="Times New Roman" w:eastAsia="新宋体" w:cs="Times New Roman"/>
          <w:bCs/>
          <w:kern w:val="0"/>
          <w:sz w:val="21"/>
          <w:szCs w:val="21"/>
        </w:rPr>
        <w:t>5</w:t>
      </w:r>
      <w:r>
        <w:rPr>
          <w:rFonts w:ascii="Times New Roman" w:hAnsi="Times New Roman" w:eastAsia="新宋体" w:cs="Times New Roman"/>
          <w:bCs/>
          <w:kern w:val="0"/>
          <w:sz w:val="21"/>
          <w:szCs w:val="21"/>
        </w:rPr>
        <w:t xml:space="preserve">  </w:t>
      </w:r>
      <w:r>
        <w:rPr>
          <w:rFonts w:ascii="Times New Roman" w:hAnsi="Times New Roman" w:cs="Times New Roman"/>
          <w:sz w:val="21"/>
          <w:szCs w:val="21"/>
        </w:rPr>
        <w:t>Comparison of issuance rates between convertible bonds and enterprise (company) bonds under different credit levels</w:t>
      </w:r>
    </w:p>
    <w:p w14:paraId="58D5A74A">
      <w:pPr>
        <w:spacing w:line="440" w:lineRule="exact"/>
        <w:ind w:firstLine="480" w:firstLineChars="200"/>
        <w:rPr>
          <w:kern w:val="0"/>
          <w:sz w:val="24"/>
        </w:rPr>
      </w:pPr>
      <w:r>
        <w:rPr>
          <w:rFonts w:hint="eastAsia"/>
          <w:kern w:val="0"/>
          <w:sz w:val="24"/>
        </w:rPr>
        <w:t>可转换公司债券发行利率之所以出现远低于企业（公司）债券发行利率的现象，</w:t>
      </w:r>
      <w:r>
        <w:rPr>
          <w:kern w:val="0"/>
          <w:sz w:val="24"/>
        </w:rPr>
        <w:t>笔者认为主要有以下两方面的原因：</w:t>
      </w:r>
    </w:p>
    <w:p w14:paraId="177F9F52">
      <w:pPr>
        <w:spacing w:line="440" w:lineRule="exact"/>
        <w:ind w:firstLine="480" w:firstLineChars="200"/>
        <w:rPr>
          <w:kern w:val="0"/>
          <w:sz w:val="24"/>
        </w:rPr>
      </w:pPr>
      <w:r>
        <w:rPr>
          <w:kern w:val="0"/>
          <w:sz w:val="24"/>
        </w:rPr>
        <w:t>一方面，由于</w:t>
      </w:r>
      <w:r>
        <w:rPr>
          <w:rFonts w:hint="eastAsia"/>
          <w:kern w:val="0"/>
          <w:sz w:val="24"/>
        </w:rPr>
        <w:t>可转换公司</w:t>
      </w:r>
      <w:r>
        <w:rPr>
          <w:kern w:val="0"/>
          <w:sz w:val="24"/>
        </w:rPr>
        <w:t>债券持有人有权选择将债券转换成股票，或持有到期收取本金和利息。</w:t>
      </w:r>
      <w:r>
        <w:rPr>
          <w:rFonts w:hint="eastAsia"/>
          <w:kern w:val="0"/>
          <w:sz w:val="24"/>
        </w:rPr>
        <w:t>因此</w:t>
      </w:r>
      <w:r>
        <w:rPr>
          <w:kern w:val="0"/>
          <w:sz w:val="24"/>
        </w:rPr>
        <w:t>，投资者持有可</w:t>
      </w:r>
      <w:r>
        <w:rPr>
          <w:rFonts w:hint="eastAsia"/>
          <w:kern w:val="0"/>
          <w:sz w:val="24"/>
        </w:rPr>
        <w:t>转换公司</w:t>
      </w:r>
      <w:r>
        <w:rPr>
          <w:kern w:val="0"/>
          <w:sz w:val="24"/>
        </w:rPr>
        <w:t>债券，就相当于持有</w:t>
      </w:r>
      <w:r>
        <w:rPr>
          <w:rFonts w:hint="eastAsia"/>
          <w:kern w:val="0"/>
          <w:sz w:val="24"/>
        </w:rPr>
        <w:t>公司</w:t>
      </w:r>
      <w:r>
        <w:rPr>
          <w:kern w:val="0"/>
          <w:sz w:val="24"/>
        </w:rPr>
        <w:t>股票的看涨期权。当</w:t>
      </w:r>
      <w:r>
        <w:rPr>
          <w:rFonts w:hint="eastAsia"/>
          <w:kern w:val="0"/>
          <w:sz w:val="24"/>
        </w:rPr>
        <w:t>转股价</w:t>
      </w:r>
      <w:r>
        <w:rPr>
          <w:kern w:val="0"/>
          <w:sz w:val="24"/>
        </w:rPr>
        <w:t>低于</w:t>
      </w:r>
      <w:r>
        <w:rPr>
          <w:rFonts w:hint="eastAsia"/>
          <w:kern w:val="0"/>
          <w:sz w:val="24"/>
        </w:rPr>
        <w:t>公司股票</w:t>
      </w:r>
      <w:r>
        <w:rPr>
          <w:kern w:val="0"/>
          <w:sz w:val="24"/>
        </w:rPr>
        <w:t>市场价格时，投资者就可能行使转换权利，否则投资者就会一直持有可交换债券，定期收回债券的本金及利息</w:t>
      </w:r>
      <w:r>
        <w:rPr>
          <w:sz w:val="24"/>
        </w:rPr>
        <w:t>。</w:t>
      </w:r>
      <w:r>
        <w:rPr>
          <w:kern w:val="0"/>
          <w:sz w:val="24"/>
        </w:rPr>
        <w:t>由于可</w:t>
      </w:r>
      <w:r>
        <w:rPr>
          <w:rFonts w:hint="eastAsia"/>
          <w:kern w:val="0"/>
          <w:sz w:val="24"/>
        </w:rPr>
        <w:t>转换公司债券</w:t>
      </w:r>
      <w:r>
        <w:rPr>
          <w:kern w:val="0"/>
          <w:sz w:val="24"/>
        </w:rPr>
        <w:t>给投资者提供了这种优越的投资条件，因而降低了发行利率。</w:t>
      </w:r>
    </w:p>
    <w:p w14:paraId="160FD3AD">
      <w:pPr>
        <w:spacing w:line="360" w:lineRule="auto"/>
        <w:ind w:firstLine="480" w:firstLineChars="200"/>
        <w:rPr>
          <w:rFonts w:hint="eastAsia"/>
          <w:sz w:val="24"/>
        </w:rPr>
      </w:pPr>
      <w:r>
        <w:rPr>
          <w:kern w:val="0"/>
          <w:sz w:val="24"/>
        </w:rPr>
        <w:t>另一方面，由于在债券到期时，若发行人发生违约，投资者有权转换成股票，投资者利益得到了进一步的保障，这种隐性增信效果的存在，也在一定程度上降低了可</w:t>
      </w:r>
      <w:r>
        <w:rPr>
          <w:rFonts w:hint="eastAsia"/>
          <w:kern w:val="0"/>
          <w:sz w:val="24"/>
        </w:rPr>
        <w:t>转换公司债券发行</w:t>
      </w:r>
      <w:r>
        <w:rPr>
          <w:kern w:val="0"/>
          <w:sz w:val="24"/>
        </w:rPr>
        <w:t>利率。</w:t>
      </w:r>
    </w:p>
    <w:p w14:paraId="211DD7F3">
      <w:pPr>
        <w:spacing w:line="360" w:lineRule="auto"/>
      </w:pPr>
      <w:r>
        <w:rPr>
          <w:rFonts w:hint="eastAsia"/>
          <w:sz w:val="24"/>
        </w:rPr>
        <w:t xml:space="preserve">    从中也可以看到，对于含权设计类债券，其发行利率的主要影响因素并非信用等级，而是债券的内在设计以及投资者对标的股票未来市场价格的预期。</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新宋体">
    <w:panose1 w:val="02010609030101010101"/>
    <w:charset w:val="86"/>
    <w:family w:val="modern"/>
    <w:pitch w:val="default"/>
    <w:sig w:usb0="00000203" w:usb1="288F0000" w:usb2="0000000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pPr>
        <w:spacing w:line="240" w:lineRule="auto"/>
      </w:pPr>
      <w:r>
        <w:separator/>
      </w:r>
    </w:p>
  </w:footnote>
  <w:footnote w:type="continuationSeparator" w:id="11">
    <w:p>
      <w:pPr>
        <w:spacing w:line="240" w:lineRule="auto"/>
      </w:pPr>
      <w:r>
        <w:continuationSeparator/>
      </w:r>
    </w:p>
  </w:footnote>
  <w:footnote w:id="0">
    <w:p w14:paraId="01F141DB">
      <w:pPr>
        <w:pStyle w:val="13"/>
        <w:rPr>
          <w:rFonts w:hint="eastAsia"/>
        </w:rPr>
      </w:pPr>
      <w:r>
        <w:rPr>
          <w:rStyle w:val="17"/>
        </w:rPr>
        <w:footnoteRef/>
      </w:r>
      <w:r>
        <w:t xml:space="preserve"> </w:t>
      </w:r>
      <w:r>
        <w:rPr>
          <w:rFonts w:hint="eastAsia"/>
        </w:rPr>
        <w:t xml:space="preserve"> 已于2006年5月8日废止。</w:t>
      </w:r>
    </w:p>
  </w:footnote>
  <w:footnote w:id="1">
    <w:p w14:paraId="1F780E7B">
      <w:pPr>
        <w:pStyle w:val="13"/>
        <w:rPr>
          <w:rFonts w:hint="eastAsia"/>
        </w:rPr>
      </w:pPr>
      <w:r>
        <w:rPr>
          <w:rStyle w:val="17"/>
        </w:rPr>
        <w:footnoteRef/>
      </w:r>
      <w:r>
        <w:t xml:space="preserve"> </w:t>
      </w:r>
      <w:r>
        <w:rPr>
          <w:rFonts w:hint="eastAsia"/>
        </w:rPr>
        <w:t xml:space="preserve"> 已于2006年5月8日废止。</w:t>
      </w:r>
    </w:p>
  </w:footnote>
  <w:footnote w:id="2">
    <w:p w14:paraId="5BD046B2">
      <w:pPr>
        <w:pStyle w:val="13"/>
        <w:rPr>
          <w:rFonts w:hint="eastAsia" w:ascii="新宋体" w:hAnsi="新宋体" w:eastAsia="新宋体"/>
        </w:rPr>
      </w:pPr>
      <w:r>
        <w:rPr>
          <w:rStyle w:val="17"/>
          <w:rFonts w:ascii="新宋体" w:hAnsi="新宋体" w:eastAsia="新宋体"/>
        </w:rPr>
        <w:footnoteRef/>
      </w:r>
      <w:r>
        <w:rPr>
          <w:rFonts w:ascii="新宋体" w:hAnsi="新宋体" w:eastAsia="新宋体"/>
        </w:rPr>
        <w:t xml:space="preserve"> </w:t>
      </w:r>
      <w:r>
        <w:rPr>
          <w:rFonts w:hint="eastAsia" w:ascii="新宋体" w:hAnsi="新宋体" w:eastAsia="新宋体"/>
        </w:rPr>
        <w:t xml:space="preserve"> 不含分离交易可转债。</w:t>
      </w:r>
    </w:p>
  </w:footnote>
  <w:footnote w:id="3">
    <w:p w14:paraId="60350C7A">
      <w:pPr>
        <w:pStyle w:val="13"/>
        <w:rPr>
          <w:rFonts w:hint="eastAsia"/>
        </w:rPr>
      </w:pPr>
      <w:r>
        <w:rPr>
          <w:rStyle w:val="17"/>
        </w:rPr>
        <w:footnoteRef/>
      </w:r>
      <w:r>
        <w:t xml:space="preserve"> </w:t>
      </w:r>
      <w:r>
        <w:rPr>
          <w:rFonts w:hint="eastAsia"/>
        </w:rPr>
        <w:t xml:space="preserve"> </w:t>
      </w:r>
      <w:r>
        <w:rPr>
          <w:rFonts w:hint="eastAsia"/>
          <w:kern w:val="0"/>
        </w:rPr>
        <w:t>为截至2009年12月31日所有未到期可转换公司债券与企业（公司）债券的平均发行利率。</w:t>
      </w:r>
    </w:p>
  </w:footnote>
  <w:footnote w:id="4">
    <w:p w14:paraId="6E2CA126">
      <w:pPr>
        <w:pStyle w:val="13"/>
        <w:rPr>
          <w:rFonts w:hint="eastAsia"/>
        </w:rPr>
      </w:pPr>
      <w:r>
        <w:rPr>
          <w:rStyle w:val="17"/>
        </w:rPr>
        <w:footnoteRef/>
      </w:r>
      <w:r>
        <w:t xml:space="preserve"> </w:t>
      </w:r>
      <w:r>
        <w:rPr>
          <w:rFonts w:hint="eastAsia"/>
        </w:rPr>
        <w:t xml:space="preserve"> 指第一年年利率。</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10"/>
    <w:footnote w:id="1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91796"/>
    <w:rsid w:val="00591796"/>
    <w:rsid w:val="007C646A"/>
    <w:rsid w:val="00C7398C"/>
    <w:rsid w:val="00F900CB"/>
    <w:rsid w:val="706D1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uiPriority="99" w:name="header"/>
    <w:lsdException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366091" w:themeColor="accent1" w:themeShade="BF"/>
      <w:sz w:val="48"/>
      <w:szCs w:val="48"/>
    </w:rPr>
  </w:style>
  <w:style w:type="paragraph" w:styleId="3">
    <w:name w:val="heading 2"/>
    <w:basedOn w:val="1"/>
    <w:next w:val="1"/>
    <w:link w:val="19"/>
    <w:unhideWhenUsed/>
    <w:qFormat/>
    <w:uiPriority w:val="0"/>
    <w:pPr>
      <w:keepNext/>
      <w:keepLines/>
      <w:spacing w:before="160" w:after="80"/>
      <w:outlineLvl w:val="1"/>
    </w:pPr>
    <w:rPr>
      <w:rFonts w:asciiTheme="majorHAnsi" w:hAnsiTheme="majorHAnsi" w:eastAsiaTheme="majorEastAsia" w:cstheme="majorBidi"/>
      <w:color w:val="366091" w:themeColor="accent1" w:themeShade="BF"/>
      <w:sz w:val="40"/>
      <w:szCs w:val="40"/>
    </w:rPr>
  </w:style>
  <w:style w:type="paragraph" w:styleId="4">
    <w:name w:val="heading 3"/>
    <w:basedOn w:val="1"/>
    <w:next w:val="1"/>
    <w:link w:val="20"/>
    <w:unhideWhenUsed/>
    <w:qFormat/>
    <w:uiPriority w:val="0"/>
    <w:pPr>
      <w:keepNext/>
      <w:keepLines/>
      <w:spacing w:before="160" w:after="80"/>
      <w:outlineLvl w:val="2"/>
    </w:pPr>
    <w:rPr>
      <w:rFonts w:asciiTheme="majorHAnsi" w:hAnsiTheme="majorHAnsi" w:eastAsiaTheme="majorEastAsia" w:cstheme="majorBidi"/>
      <w:color w:val="366091"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366091"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366091" w:themeColor="accent1" w:themeShade="BF"/>
      <w:sz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366091"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85858" w:themeColor="text1" w:themeTint="A6"/>
    </w:rPr>
  </w:style>
  <w:style w:type="paragraph" w:styleId="9">
    <w:name w:val="heading 8"/>
    <w:basedOn w:val="1"/>
    <w:next w:val="1"/>
    <w:link w:val="25"/>
    <w:semiHidden/>
    <w:unhideWhenUsed/>
    <w:qFormat/>
    <w:uiPriority w:val="9"/>
    <w:pPr>
      <w:keepNext/>
      <w:keepLines/>
      <w:outlineLvl w:val="7"/>
    </w:pPr>
    <w:rPr>
      <w:rFonts w:cstheme="majorBidi"/>
      <w:color w:val="585858" w:themeColor="text1" w:themeTint="A6"/>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85858" w:themeColor="text1" w:themeTint="A6"/>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caption"/>
    <w:basedOn w:val="1"/>
    <w:next w:val="1"/>
    <w:qFormat/>
    <w:uiPriority w:val="0"/>
    <w:rPr>
      <w:rFonts w:ascii="Arial" w:hAnsi="Arial" w:eastAsia="黑体" w:cs="Arial"/>
      <w:sz w:val="20"/>
      <w:szCs w:val="20"/>
    </w:rPr>
  </w:style>
  <w:style w:type="paragraph" w:styleId="12">
    <w:name w:val="Subtitle"/>
    <w:basedOn w:val="1"/>
    <w:next w:val="1"/>
    <w:link w:val="28"/>
    <w:qFormat/>
    <w:uiPriority w:val="11"/>
    <w:pPr>
      <w:spacing w:after="160"/>
      <w:jc w:val="center"/>
    </w:pPr>
    <w:rPr>
      <w:rFonts w:asciiTheme="majorHAnsi" w:hAnsiTheme="majorHAnsi" w:eastAsiaTheme="majorEastAsia" w:cstheme="majorBidi"/>
      <w:color w:val="585858" w:themeColor="text1" w:themeTint="A6"/>
      <w:spacing w:val="15"/>
      <w:sz w:val="28"/>
      <w:szCs w:val="28"/>
    </w:rPr>
  </w:style>
  <w:style w:type="paragraph" w:styleId="13">
    <w:name w:val="footnote text"/>
    <w:basedOn w:val="1"/>
    <w:link w:val="39"/>
    <w:semiHidden/>
    <w:qFormat/>
    <w:uiPriority w:val="0"/>
    <w:pPr>
      <w:snapToGrid w:val="0"/>
      <w:jc w:val="left"/>
    </w:pPr>
    <w:rPr>
      <w:sz w:val="18"/>
      <w:szCs w:val="18"/>
    </w:rPr>
  </w:style>
  <w:style w:type="paragraph" w:styleId="14">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7">
    <w:name w:val="footnote reference"/>
    <w:semiHidden/>
    <w:qFormat/>
    <w:uiPriority w:val="0"/>
    <w:rPr>
      <w:vertAlign w:val="superscript"/>
    </w:rPr>
  </w:style>
  <w:style w:type="character" w:customStyle="1" w:styleId="18">
    <w:name w:val="标题 1 字符"/>
    <w:basedOn w:val="16"/>
    <w:link w:val="2"/>
    <w:qFormat/>
    <w:uiPriority w:val="9"/>
    <w:rPr>
      <w:rFonts w:asciiTheme="majorHAnsi" w:hAnsiTheme="majorHAnsi" w:eastAsiaTheme="majorEastAsia" w:cstheme="majorBidi"/>
      <w:color w:val="366091" w:themeColor="accent1" w:themeShade="BF"/>
      <w:sz w:val="48"/>
      <w:szCs w:val="48"/>
    </w:rPr>
  </w:style>
  <w:style w:type="character" w:customStyle="1" w:styleId="19">
    <w:name w:val="标题 2 字符"/>
    <w:basedOn w:val="16"/>
    <w:link w:val="3"/>
    <w:semiHidden/>
    <w:qFormat/>
    <w:uiPriority w:val="9"/>
    <w:rPr>
      <w:rFonts w:asciiTheme="majorHAnsi" w:hAnsiTheme="majorHAnsi" w:eastAsiaTheme="majorEastAsia" w:cstheme="majorBidi"/>
      <w:color w:val="366091" w:themeColor="accent1" w:themeShade="BF"/>
      <w:sz w:val="40"/>
      <w:szCs w:val="40"/>
    </w:rPr>
  </w:style>
  <w:style w:type="character" w:customStyle="1" w:styleId="20">
    <w:name w:val="标题 3 字符"/>
    <w:basedOn w:val="16"/>
    <w:link w:val="4"/>
    <w:semiHidden/>
    <w:qFormat/>
    <w:uiPriority w:val="9"/>
    <w:rPr>
      <w:rFonts w:asciiTheme="majorHAnsi" w:hAnsiTheme="majorHAnsi" w:eastAsiaTheme="majorEastAsia" w:cstheme="majorBidi"/>
      <w:color w:val="366091" w:themeColor="accent1" w:themeShade="BF"/>
      <w:sz w:val="32"/>
      <w:szCs w:val="32"/>
    </w:rPr>
  </w:style>
  <w:style w:type="character" w:customStyle="1" w:styleId="21">
    <w:name w:val="标题 4 字符"/>
    <w:basedOn w:val="16"/>
    <w:link w:val="5"/>
    <w:semiHidden/>
    <w:qFormat/>
    <w:uiPriority w:val="9"/>
    <w:rPr>
      <w:rFonts w:cstheme="majorBidi"/>
      <w:color w:val="366091" w:themeColor="accent1" w:themeShade="BF"/>
      <w:sz w:val="28"/>
      <w:szCs w:val="28"/>
    </w:rPr>
  </w:style>
  <w:style w:type="character" w:customStyle="1" w:styleId="22">
    <w:name w:val="标题 5 字符"/>
    <w:basedOn w:val="16"/>
    <w:link w:val="6"/>
    <w:semiHidden/>
    <w:qFormat/>
    <w:uiPriority w:val="9"/>
    <w:rPr>
      <w:rFonts w:cstheme="majorBidi"/>
      <w:color w:val="366091" w:themeColor="accent1" w:themeShade="BF"/>
      <w:sz w:val="24"/>
      <w:szCs w:val="24"/>
    </w:rPr>
  </w:style>
  <w:style w:type="character" w:customStyle="1" w:styleId="23">
    <w:name w:val="标题 6 字符"/>
    <w:basedOn w:val="16"/>
    <w:link w:val="7"/>
    <w:semiHidden/>
    <w:qFormat/>
    <w:uiPriority w:val="9"/>
    <w:rPr>
      <w:rFonts w:cstheme="majorBidi"/>
      <w:b/>
      <w:bCs/>
      <w:color w:val="366091" w:themeColor="accent1" w:themeShade="BF"/>
    </w:rPr>
  </w:style>
  <w:style w:type="character" w:customStyle="1" w:styleId="24">
    <w:name w:val="标题 7 字符"/>
    <w:basedOn w:val="16"/>
    <w:link w:val="8"/>
    <w:semiHidden/>
    <w:qFormat/>
    <w:uiPriority w:val="9"/>
    <w:rPr>
      <w:rFonts w:cstheme="majorBidi"/>
      <w:b/>
      <w:bCs/>
      <w:color w:val="585858" w:themeColor="text1" w:themeTint="A6"/>
    </w:rPr>
  </w:style>
  <w:style w:type="character" w:customStyle="1" w:styleId="25">
    <w:name w:val="标题 8 字符"/>
    <w:basedOn w:val="16"/>
    <w:link w:val="9"/>
    <w:semiHidden/>
    <w:qFormat/>
    <w:uiPriority w:val="9"/>
    <w:rPr>
      <w:rFonts w:cstheme="majorBidi"/>
      <w:color w:val="585858" w:themeColor="text1" w:themeTint="A6"/>
    </w:rPr>
  </w:style>
  <w:style w:type="character" w:customStyle="1" w:styleId="26">
    <w:name w:val="标题 9 字符"/>
    <w:basedOn w:val="16"/>
    <w:link w:val="10"/>
    <w:semiHidden/>
    <w:qFormat/>
    <w:uiPriority w:val="9"/>
    <w:rPr>
      <w:rFonts w:eastAsiaTheme="majorEastAsia" w:cstheme="majorBidi"/>
      <w:color w:val="585858" w:themeColor="text1" w:themeTint="A6"/>
    </w:rPr>
  </w:style>
  <w:style w:type="character" w:customStyle="1" w:styleId="27">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6"/>
    <w:link w:val="12"/>
    <w:qFormat/>
    <w:uiPriority w:val="11"/>
    <w:rPr>
      <w:rFonts w:asciiTheme="majorHAnsi" w:hAnsiTheme="majorHAnsi" w:eastAsiaTheme="majorEastAsia" w:cstheme="majorBidi"/>
      <w:color w:val="585858" w:themeColor="text1" w:themeTint="A6"/>
      <w:spacing w:val="15"/>
      <w:sz w:val="28"/>
      <w:szCs w:val="28"/>
    </w:rPr>
  </w:style>
  <w:style w:type="paragraph" w:styleId="29">
    <w:name w:val="Quote"/>
    <w:basedOn w:val="1"/>
    <w:next w:val="1"/>
    <w:link w:val="30"/>
    <w:qFormat/>
    <w:uiPriority w:val="29"/>
    <w:pPr>
      <w:spacing w:before="160" w:after="160"/>
      <w:jc w:val="center"/>
    </w:pPr>
    <w:rPr>
      <w:i/>
      <w:iCs/>
      <w:color w:val="3F3F3F" w:themeColor="text1" w:themeTint="BF"/>
    </w:rPr>
  </w:style>
  <w:style w:type="character" w:customStyle="1" w:styleId="30">
    <w:name w:val="引用 字符"/>
    <w:basedOn w:val="16"/>
    <w:link w:val="29"/>
    <w:uiPriority w:val="29"/>
    <w:rPr>
      <w:i/>
      <w:iCs/>
      <w:color w:val="3F3F3F" w:themeColor="text1" w:themeTint="BF"/>
    </w:rPr>
  </w:style>
  <w:style w:type="paragraph" w:styleId="31">
    <w:name w:val="List Paragraph"/>
    <w:basedOn w:val="1"/>
    <w:qFormat/>
    <w:uiPriority w:val="34"/>
    <w:pPr>
      <w:ind w:left="720"/>
      <w:contextualSpacing/>
    </w:pPr>
  </w:style>
  <w:style w:type="character" w:customStyle="1" w:styleId="32">
    <w:name w:val="Intense Emphasis"/>
    <w:basedOn w:val="16"/>
    <w:qFormat/>
    <w:uiPriority w:val="21"/>
    <w:rPr>
      <w:i/>
      <w:iCs/>
      <w:color w:val="366091" w:themeColor="accent1" w:themeShade="BF"/>
    </w:rPr>
  </w:style>
  <w:style w:type="paragraph" w:styleId="33">
    <w:name w:val="Intense Quote"/>
    <w:basedOn w:val="1"/>
    <w:next w:val="1"/>
    <w:link w:val="34"/>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66091" w:themeColor="accent1" w:themeShade="BF"/>
    </w:rPr>
  </w:style>
  <w:style w:type="character" w:customStyle="1" w:styleId="34">
    <w:name w:val="明显引用 字符"/>
    <w:basedOn w:val="16"/>
    <w:link w:val="33"/>
    <w:qFormat/>
    <w:uiPriority w:val="30"/>
    <w:rPr>
      <w:i/>
      <w:iCs/>
      <w:color w:val="366091" w:themeColor="accent1" w:themeShade="BF"/>
    </w:rPr>
  </w:style>
  <w:style w:type="character" w:customStyle="1" w:styleId="35">
    <w:name w:val="Intense Reference"/>
    <w:basedOn w:val="16"/>
    <w:qFormat/>
    <w:uiPriority w:val="32"/>
    <w:rPr>
      <w:b/>
      <w:bCs/>
      <w:smallCaps/>
      <w:color w:val="366091" w:themeColor="accent1" w:themeShade="BF"/>
      <w:spacing w:val="5"/>
    </w:rPr>
  </w:style>
  <w:style w:type="character" w:customStyle="1" w:styleId="36">
    <w:name w:val="标题 2 Char"/>
    <w:qFormat/>
    <w:uiPriority w:val="0"/>
    <w:rPr>
      <w:rFonts w:ascii="Arial" w:hAnsi="Arial" w:eastAsia="黑体"/>
      <w:b/>
      <w:bCs/>
      <w:kern w:val="2"/>
      <w:sz w:val="32"/>
      <w:szCs w:val="32"/>
    </w:rPr>
  </w:style>
  <w:style w:type="character" w:customStyle="1" w:styleId="37">
    <w:name w:val="标题 3 Char"/>
    <w:qFormat/>
    <w:uiPriority w:val="0"/>
    <w:rPr>
      <w:b/>
      <w:bCs/>
      <w:kern w:val="2"/>
      <w:sz w:val="32"/>
      <w:szCs w:val="32"/>
    </w:rPr>
  </w:style>
  <w:style w:type="character" w:customStyle="1" w:styleId="38">
    <w:name w:val="脚注文本 字符"/>
    <w:basedOn w:val="16"/>
    <w:semiHidden/>
    <w:qFormat/>
    <w:uiPriority w:val="99"/>
    <w:rPr>
      <w:rFonts w:ascii="Times New Roman" w:hAnsi="Times New Roman" w:eastAsia="宋体" w:cs="Times New Roman"/>
      <w:sz w:val="18"/>
      <w:szCs w:val="18"/>
    </w:rPr>
  </w:style>
  <w:style w:type="character" w:customStyle="1" w:styleId="39">
    <w:name w:val="脚注文本 Char"/>
    <w:link w:val="13"/>
    <w:semiHidden/>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emf"/><Relationship Id="rId8" Type="http://schemas.openxmlformats.org/officeDocument/2006/relationships/image" Target="media/image3.emf"/><Relationship Id="rId7" Type="http://schemas.openxmlformats.org/officeDocument/2006/relationships/image" Target="media/image2.emf"/><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5.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2691</Words>
  <Characters>3197</Characters>
  <Lines>24</Lines>
  <Paragraphs>7</Paragraphs>
  <TotalTime>2</TotalTime>
  <ScaleCrop>false</ScaleCrop>
  <LinksUpToDate>false</LinksUpToDate>
  <CharactersWithSpaces>3293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2025-10-21T08:18:00Z</dcterms:created>
  <dc:creator>lenovo</dc:creator>
  <cp:lastModifiedBy>User</cp:lastModifiedBy>
  <dcterms:modified xsi:type="dcterms:W3CDTF">2025-10-22T06:42:29Z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eyJoZGlkIjoiMzEwNTM5NzYwMDRjMzkwZTVkZjY2ODkwMGIxNGU0OTUiLCJ1c2VySWQiOiI0MjQ4Mjc2MjgifQ==</vt:lpwstr>
  </property>
  <property fmtid="{D5CDD505-2E9C-101B-9397-08002B2CF9AE}" pid="3" name="KSOProductBuildVer">
    <vt:lpwstr>2052-12.1.0.23125</vt:lpwstr>
  </property>
  <property fmtid="{D5CDD505-2E9C-101B-9397-08002B2CF9AE}" pid="4" name="ICV">
    <vt:lpwstr>E1B5BECE69B64D6FB3655CEC087DF4F5_12</vt:lpwstr>
  </property>
</Properties>
</file>