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CC191">
      <w:pPr>
        <w:pStyle w:val="3"/>
        <w:spacing w:before="156" w:beforeLines="50" w:after="156" w:afterLines="50" w:line="440" w:lineRule="exact"/>
        <w:ind w:firstLine="3213" w:firstLineChars="800"/>
        <w:rPr>
          <w:rFonts w:hint="eastAsia" w:ascii="黑体" w:hAnsi="Times New Roman" w:eastAsiaTheme="majorEastAsia"/>
          <w:b/>
          <w:lang w:val="en-US" w:eastAsia="zh-CN"/>
        </w:rPr>
      </w:pPr>
      <w:bookmarkStart w:id="0" w:name="_Toc256506312"/>
      <w:r>
        <w:rPr>
          <w:rFonts w:hint="eastAsia" w:ascii="黑体" w:hAnsi="Times New Roman"/>
          <w:b/>
        </w:rPr>
        <w:t>可交换债券</w:t>
      </w:r>
      <w:bookmarkEnd w:id="0"/>
      <w:r>
        <w:rPr>
          <w:rFonts w:hint="eastAsia" w:ascii="黑体" w:hAnsi="Times New Roman"/>
          <w:b/>
          <w:lang w:val="en-US" w:eastAsia="zh-CN"/>
        </w:rPr>
        <w:t>研究</w:t>
      </w:r>
      <w:bookmarkStart w:id="17" w:name="_GoBack"/>
      <w:bookmarkEnd w:id="17"/>
    </w:p>
    <w:p w14:paraId="70EAC0CC">
      <w:pPr>
        <w:pStyle w:val="4"/>
        <w:adjustRightInd w:val="0"/>
        <w:spacing w:before="156" w:beforeLines="50" w:after="156" w:afterLines="50" w:line="440" w:lineRule="exact"/>
        <w:ind w:firstLine="562" w:firstLineChars="200"/>
        <w:jc w:val="left"/>
        <w:rPr>
          <w:rFonts w:ascii="黑体" w:eastAsia="黑体"/>
          <w:b/>
          <w:sz w:val="28"/>
          <w:szCs w:val="28"/>
        </w:rPr>
      </w:pPr>
      <w:bookmarkStart w:id="1" w:name="_Toc256506313"/>
      <w:r>
        <w:rPr>
          <w:rFonts w:hint="eastAsia" w:ascii="黑体" w:eastAsia="黑体"/>
          <w:b/>
          <w:sz w:val="28"/>
          <w:szCs w:val="28"/>
        </w:rPr>
        <w:t>一、发展概况</w:t>
      </w:r>
      <w:bookmarkEnd w:id="1"/>
    </w:p>
    <w:p w14:paraId="78F34C3D">
      <w:pPr>
        <w:spacing w:after="312" w:afterLines="100" w:line="440" w:lineRule="exact"/>
        <w:ind w:firstLine="480" w:firstLineChars="200"/>
        <w:rPr>
          <w:kern w:val="0"/>
          <w:sz w:val="24"/>
        </w:rPr>
      </w:pPr>
      <w:r>
        <w:rPr>
          <w:kern w:val="0"/>
          <w:sz w:val="24"/>
        </w:rPr>
        <w:t>可交换债券（Exchangeable Bonds）或称可换股债券，是指债券发行人将其持有的其他公司的股票抵押给托管机构（或登记结算公司）之后发行的公司债券，该债券的持有人在将来的某个时期内，能够按照约定的条件以持有的公司债券交换获取债券发行人发债时抵押的上市公司股权。可交换债券一般发生在母公司与控股的上市子公司之间，即由母公司发行债券，债券到期时可以转换成其上市子公司的股票。通常，可交换债券具有如下结构：</w:t>
      </w:r>
    </w:p>
    <w:p w14:paraId="28C0C35D">
      <w:pPr>
        <w:ind w:left="2"/>
        <w:jc w:val="center"/>
        <w:rPr>
          <w:kern w:val="0"/>
          <w:sz w:val="24"/>
        </w:rPr>
      </w:pPr>
      <w:r>
        <w:rPr>
          <w:kern w:val="0"/>
          <w:sz w:val="24"/>
        </w:rPr>
        <w:pict>
          <v:group id="_x0000_s2050" o:spid="_x0000_s2050" o:spt="203" style="position:absolute;left:0pt;margin-left:0pt;margin-top:0pt;height:257.4pt;width:342pt;mso-position-horizontal-relative:char;mso-position-vertical-relative:line;z-index:251659264;mso-width-relative:page;mso-height-relative:page;" coordorigin="3600,5642" coordsize="6840,5148" editas="canvas">
            <o:lock v:ext="edit"/>
            <v:shape id="_x0000_s2051" o:spid="_x0000_s2051" o:spt="75" type="#_x0000_t75" style="position:absolute;left:3600;top:5642;height:5148;width:6840;" filled="f" o:preferrelative="f" stroked="f" coordsize="21600,21600">
              <v:fill on="f" focussize="0,0"/>
              <v:stroke on="f" joinstyle="miter"/>
              <v:imagedata o:title=""/>
              <o:lock v:ext="edit" text="t" aspectratio="t"/>
            </v:shape>
            <v:line id="_x0000_s2052" o:spid="_x0000_s2052" o:spt="20" style="position:absolute;left:6299;top:7671;height:1091;width:1;" coordsize="21600,21600">
              <v:path arrowok="t"/>
              <v:fill focussize="0,0"/>
              <v:stroke endarrow="block"/>
              <v:imagedata o:title=""/>
              <o:lock v:ext="edit"/>
            </v:line>
            <v:line id="_x0000_s2053" o:spid="_x0000_s2053" o:spt="20" style="position:absolute;left:6299;top:9230;height:937;width:1;" coordsize="21600,21600">
              <v:path arrowok="t"/>
              <v:fill focussize="0,0"/>
              <v:stroke endarrow="block"/>
              <v:imagedata o:title=""/>
              <o:lock v:ext="edit"/>
            </v:line>
            <v:line id="_x0000_s2054" o:spid="_x0000_s2054" o:spt="20" style="position:absolute;left:5039;top:9230;flip:y;height:937;width:1;" coordsize="21600,21600">
              <v:path arrowok="t"/>
              <v:fill focussize="0,0"/>
              <v:stroke endarrow="block"/>
              <v:imagedata o:title=""/>
              <o:lock v:ext="edit"/>
            </v:line>
            <v:line id="_x0000_s2055" o:spid="_x0000_s2055" o:spt="20" style="position:absolute;left:5040;top:7671;flip:y;height:1091;width:1;" coordsize="21600,21600">
              <v:path arrowok="t"/>
              <v:fill focussize="0,0"/>
              <v:stroke endarrow="block"/>
              <v:imagedata o:title=""/>
              <o:lock v:ext="edit"/>
            </v:line>
            <v:line id="_x0000_s2056" o:spid="_x0000_s2056" o:spt="20" style="position:absolute;left:6660;top:7358;height:312;width:1800;" coordsize="21600,21600">
              <v:path arrowok="t"/>
              <v:fill focussize="0,0"/>
              <v:stroke endarrow="block"/>
              <v:imagedata o:title=""/>
              <o:lock v:ext="edit"/>
            </v:line>
            <v:line id="_x0000_s2057" o:spid="_x0000_s2057" o:spt="20" style="position:absolute;left:8640;top:8138;height:468;width:1;" coordsize="21600,21600">
              <v:path arrowok="t"/>
              <v:fill focussize="0,0"/>
              <v:stroke endarrow="block"/>
              <v:imagedata o:title=""/>
              <o:lock v:ext="edit"/>
            </v:line>
            <v:line id="_x0000_s2058" o:spid="_x0000_s2058" o:spt="20" style="position:absolute;left:6840;top:9074;height:468;width:1080;" coordsize="21600,21600">
              <v:path arrowok="t"/>
              <v:fill focussize="0,0"/>
              <v:stroke dashstyle="dashDot" endarrow="block"/>
              <v:imagedata o:title=""/>
              <o:lock v:ext="edit"/>
            </v:line>
            <v:shape id="_x0000_s2059" o:spid="_x0000_s2059" o:spt="202" type="#_x0000_t202" style="position:absolute;left:4500;top:7202;height:469;width:2160;" fillcolor="#CCFFCC" filled="t" coordsize="21600,21600">
              <v:path/>
              <v:fill on="t" focussize="0,0"/>
              <v:stroke dashstyle="1 1"/>
              <v:imagedata o:title=""/>
              <o:lock v:ext="edit"/>
              <v:textbox>
                <w:txbxContent>
                  <w:p w14:paraId="7B0B87EB">
                    <w:pPr>
                      <w:jc w:val="center"/>
                      <w:rPr>
                        <w:szCs w:val="21"/>
                      </w:rPr>
                    </w:pPr>
                    <w:r>
                      <w:rPr>
                        <w:rFonts w:hint="eastAsia"/>
                        <w:szCs w:val="21"/>
                      </w:rPr>
                      <w:t>发行人</w:t>
                    </w:r>
                  </w:p>
                </w:txbxContent>
              </v:textbox>
            </v:shape>
            <v:shape id="_x0000_s2060" o:spid="_x0000_s2060" o:spt="202" type="#_x0000_t202" style="position:absolute;left:4500;top:10167;height:467;width:2160;" fillcolor="#CCFFCC" filled="t" coordsize="21600,21600">
              <v:path/>
              <v:fill on="t" focussize="0,0"/>
              <v:stroke dashstyle="1 1"/>
              <v:imagedata o:title=""/>
              <o:lock v:ext="edit"/>
              <v:textbox>
                <w:txbxContent>
                  <w:p w14:paraId="7B3576F9">
                    <w:pPr>
                      <w:jc w:val="center"/>
                    </w:pPr>
                    <w:r>
                      <w:rPr>
                        <w:rFonts w:hint="eastAsia"/>
                      </w:rPr>
                      <w:t>可交换债券持有人</w:t>
                    </w:r>
                  </w:p>
                </w:txbxContent>
              </v:textbox>
            </v:shape>
            <v:shape id="_x0000_s2061" o:spid="_x0000_s2061" o:spt="202" type="#_x0000_t202" style="position:absolute;left:4500;top:8762;height:468;width:1080;" fillcolor="#CCFFCC" filled="t" coordsize="21600,21600">
              <v:path/>
              <v:fill on="t" focussize="0,0"/>
              <v:stroke dashstyle="1 1"/>
              <v:imagedata o:title=""/>
              <o:lock v:ext="edit"/>
              <v:textbox>
                <w:txbxContent>
                  <w:p w14:paraId="30541E86">
                    <w:pPr>
                      <w:jc w:val="center"/>
                    </w:pPr>
                    <w:r>
                      <w:rPr>
                        <w:rFonts w:hint="eastAsia"/>
                      </w:rPr>
                      <w:t>资金</w:t>
                    </w:r>
                  </w:p>
                </w:txbxContent>
              </v:textbox>
            </v:shape>
            <v:shape id="_x0000_s2062" o:spid="_x0000_s2062" o:spt="202" type="#_x0000_t202" style="position:absolute;left:5760;top:8762;height:468;width:1080;" fillcolor="#CCFFCC" filled="t" coordsize="21600,21600">
              <v:path/>
              <v:fill on="t" focussize="0,0"/>
              <v:stroke dashstyle="1 1"/>
              <v:imagedata o:title=""/>
              <o:lock v:ext="edit"/>
              <v:textbox>
                <w:txbxContent>
                  <w:p w14:paraId="45C27954">
                    <w:pPr>
                      <w:jc w:val="center"/>
                    </w:pPr>
                    <w:r>
                      <w:rPr>
                        <w:rFonts w:hint="eastAsia"/>
                      </w:rPr>
                      <w:t>债券</w:t>
                    </w:r>
                  </w:p>
                  <w:p w14:paraId="50B55A57"/>
                </w:txbxContent>
              </v:textbox>
            </v:shape>
            <v:shape id="_x0000_s2063" o:spid="_x0000_s2063" o:spt="202" type="#_x0000_t202" style="position:absolute;left:7740;top:7670;height:467;width:1800;" fillcolor="#CCFFCC" filled="t" coordsize="21600,21600">
              <v:path/>
              <v:fill on="t" focussize="0,0"/>
              <v:stroke dashstyle="1 1"/>
              <v:imagedata o:title=""/>
              <o:lock v:ext="edit"/>
              <v:textbox>
                <w:txbxContent>
                  <w:p w14:paraId="338B8266">
                    <w:pPr>
                      <w:jc w:val="center"/>
                    </w:pPr>
                    <w:r>
                      <w:rPr>
                        <w:rFonts w:hint="eastAsia"/>
                      </w:rPr>
                      <w:t>标的股票</w:t>
                    </w:r>
                  </w:p>
                </w:txbxContent>
              </v:textbox>
            </v:shape>
            <v:shape id="_x0000_s2064" o:spid="_x0000_s2064" o:spt="202" type="#_x0000_t202" style="position:absolute;left:7740;top:8606;height:468;width:1800;" fillcolor="#CCFFCC" filled="t" coordsize="21600,21600">
              <v:path/>
              <v:fill on="t" focussize="0,0"/>
              <v:stroke dashstyle="1 1"/>
              <v:imagedata o:title=""/>
              <o:lock v:ext="edit"/>
              <v:textbox>
                <w:txbxContent>
                  <w:p w14:paraId="12B7FFC0">
                    <w:pPr>
                      <w:jc w:val="center"/>
                    </w:pPr>
                    <w:r>
                      <w:rPr>
                        <w:rFonts w:hint="eastAsia"/>
                      </w:rPr>
                      <w:t>托管机构</w:t>
                    </w:r>
                  </w:p>
                </w:txbxContent>
              </v:textbox>
            </v:shape>
            <v:shape id="_x0000_s2065" o:spid="_x0000_s2065" o:spt="202" type="#_x0000_t202" style="position:absolute;left:7740;top:9542;height:468;width:1800;" fillcolor="#CCFFCC" filled="t" coordsize="21600,21600">
              <v:path/>
              <v:fill on="t" focussize="0,0"/>
              <v:stroke dashstyle="1 1"/>
              <v:imagedata o:title=""/>
              <o:lock v:ext="edit"/>
              <v:textbox>
                <w:txbxContent>
                  <w:p w14:paraId="6F40876D">
                    <w:pPr>
                      <w:jc w:val="center"/>
                    </w:pPr>
                    <w:r>
                      <w:rPr>
                        <w:rFonts w:hint="eastAsia"/>
                      </w:rPr>
                      <w:t>转换</w:t>
                    </w:r>
                  </w:p>
                </w:txbxContent>
              </v:textbox>
            </v:shape>
            <v:line id="_x0000_s2066" o:spid="_x0000_s2066" o:spt="20" style="position:absolute;left:6660;top:10010;flip:x;height:468;width:1980;" coordsize="21600,21600">
              <v:path arrowok="t"/>
              <v:fill focussize="0,0"/>
              <v:stroke endarrow="block"/>
              <v:imagedata o:title=""/>
              <o:lock v:ext="edit"/>
            </v:line>
            <v:line id="_x0000_s2067" o:spid="_x0000_s2067" o:spt="20" style="position:absolute;left:8640;top:9074;height:468;width:1;" coordsize="21600,21600">
              <v:path arrowok="t"/>
              <v:fill focussize="0,0"/>
              <v:stroke endarrow="block"/>
              <v:imagedata o:title=""/>
              <o:lock v:ext="edit"/>
            </v:line>
            <v:shape id="_x0000_s2068" o:spid="_x0000_s2068" o:spt="202" type="#_x0000_t202" style="position:absolute;left:4860;top:5798;height:467;width:1440;" fillcolor="#CCFFCC" filled="t" coordsize="21600,21600">
              <v:path/>
              <v:fill on="t" focussize="0,0"/>
              <v:stroke dashstyle="1 1"/>
              <v:imagedata o:title=""/>
              <o:lock v:ext="edit"/>
              <v:textbox>
                <w:txbxContent>
                  <w:p w14:paraId="01EF5674">
                    <w:pPr>
                      <w:jc w:val="center"/>
                    </w:pPr>
                    <w:r>
                      <w:rPr>
                        <w:rFonts w:hint="eastAsia"/>
                      </w:rPr>
                      <w:t>担保人</w:t>
                    </w:r>
                  </w:p>
                </w:txbxContent>
              </v:textbox>
            </v:shape>
            <v:line id="_x0000_s2069" o:spid="_x0000_s2069" o:spt="20" style="position:absolute;left:5580;top:6266;height:936;width:1;" coordsize="21600,21600">
              <v:path arrowok="t"/>
              <v:fill focussize="0,0"/>
              <v:stroke endarrow="block"/>
              <v:imagedata o:title=""/>
              <o:lock v:ext="edit"/>
            </v:line>
          </v:group>
        </w:pict>
      </w:r>
      <w:r>
        <w:rPr>
          <w:kern w:val="0"/>
          <w:sz w:val="24"/>
        </w:rPr>
        <w:pict>
          <v:shape id="_x0000_i1025" o:spt="75" type="#_x0000_t75" style="height:257.25pt;width:342pt;" filled="f" o:preferrelative="t" stroked="f" coordsize="21600,21600">
            <v:path/>
            <v:fill on="f" focussize="0,0"/>
            <v:stroke on="f" joinstyle="miter"/>
            <v:imagedata croptop="-65520f" cropbottom="65520f" o:title=""/>
            <o:lock v:ext="edit" aspectratio="t"/>
            <w10:wrap type="none"/>
            <w10:anchorlock/>
          </v:shape>
        </w:pict>
      </w:r>
    </w:p>
    <w:p w14:paraId="06137C5D">
      <w:pPr>
        <w:pStyle w:val="11"/>
        <w:jc w:val="center"/>
        <w:rPr>
          <w:rFonts w:ascii="Times New Roman" w:hAnsi="新宋体" w:eastAsia="新宋体" w:cs="Times New Roman"/>
          <w:sz w:val="21"/>
          <w:szCs w:val="21"/>
        </w:rPr>
      </w:pPr>
      <w:bookmarkStart w:id="2" w:name="_Toc256507153"/>
      <w:r>
        <w:rPr>
          <w:rFonts w:hint="eastAsia" w:ascii="Times New Roman" w:hAnsi="新宋体" w:eastAsia="新宋体" w:cs="Times New Roman"/>
          <w:sz w:val="21"/>
          <w:szCs w:val="21"/>
        </w:rPr>
        <w:t>图8.</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可交换债券结构图</w:t>
      </w:r>
      <w:bookmarkEnd w:id="2"/>
    </w:p>
    <w:p w14:paraId="3496AA64">
      <w:pPr>
        <w:spacing w:after="156" w:afterLines="50"/>
        <w:jc w:val="center"/>
        <w:rPr>
          <w:szCs w:val="21"/>
        </w:rPr>
      </w:pPr>
      <w:r>
        <w:rPr>
          <w:rFonts w:hint="eastAsia" w:hAnsi="新宋体" w:eastAsia="新宋体"/>
          <w:bCs/>
          <w:kern w:val="0"/>
          <w:szCs w:val="21"/>
        </w:rPr>
        <w:t xml:space="preserve">Figure 8.11  </w:t>
      </w:r>
      <w:r>
        <w:rPr>
          <w:rFonts w:hint="eastAsia"/>
          <w:szCs w:val="21"/>
        </w:rPr>
        <w:t>S</w:t>
      </w:r>
      <w:r>
        <w:rPr>
          <w:szCs w:val="21"/>
        </w:rPr>
        <w:t>tructure</w:t>
      </w:r>
      <w:r>
        <w:rPr>
          <w:rFonts w:hint="eastAsia"/>
          <w:szCs w:val="21"/>
        </w:rPr>
        <w:t xml:space="preserve"> of e</w:t>
      </w:r>
      <w:r>
        <w:rPr>
          <w:szCs w:val="21"/>
        </w:rPr>
        <w:t>xchangeable</w:t>
      </w:r>
      <w:r>
        <w:rPr>
          <w:rFonts w:hint="eastAsia"/>
          <w:szCs w:val="21"/>
        </w:rPr>
        <w:t xml:space="preserve"> bond</w:t>
      </w:r>
    </w:p>
    <w:p w14:paraId="1313976C">
      <w:pPr>
        <w:pStyle w:val="16"/>
        <w:spacing w:before="0" w:beforeAutospacing="0" w:after="0" w:afterAutospacing="0" w:line="440" w:lineRule="exact"/>
        <w:ind w:firstLine="461"/>
        <w:jc w:val="both"/>
        <w:rPr>
          <w:rFonts w:ascii="Times New Roman" w:hAnsi="Times New Roman" w:eastAsia="新宋体" w:cs="Times New Roman"/>
        </w:rPr>
      </w:pPr>
      <w:r>
        <w:rPr>
          <w:rFonts w:hint="eastAsia" w:ascii="Times New Roman" w:hAnsi="Times New Roman" w:eastAsia="新宋体" w:cs="Times New Roman"/>
        </w:rPr>
        <w:t>可交换债券在美国、日本以及欧洲发达国家均得到了良好的发展，已成为债券市场中重要品种之一。在我国，2008年11月17日，中国证券监督管理委员会发布《</w:t>
      </w:r>
      <w:r>
        <w:rPr>
          <w:rFonts w:ascii="Times New Roman" w:hAnsi="Times New Roman" w:eastAsia="新宋体" w:cs="Times New Roman"/>
        </w:rPr>
        <w:t>上市公司股东发行可交换公司债券试行规定</w:t>
      </w:r>
      <w:r>
        <w:rPr>
          <w:rFonts w:hint="eastAsia" w:ascii="Times New Roman" w:hAnsi="Times New Roman" w:eastAsia="新宋体" w:cs="Times New Roman"/>
        </w:rPr>
        <w:t>》（</w:t>
      </w:r>
      <w:r>
        <w:rPr>
          <w:rFonts w:ascii="Times New Roman" w:hAnsi="Times New Roman" w:eastAsia="新宋体" w:cs="Times New Roman"/>
        </w:rPr>
        <w:t>证监会公告 [2008]41号</w:t>
      </w:r>
      <w:r>
        <w:rPr>
          <w:rFonts w:hint="eastAsia" w:ascii="Times New Roman" w:hAnsi="Times New Roman" w:eastAsia="新宋体" w:cs="Times New Roman"/>
        </w:rPr>
        <w:t>），欲推动可交换债券的发行。但由于各种因素的影响，截至2009年12月31日，我国尚未成功发行过可交换债券。</w:t>
      </w:r>
    </w:p>
    <w:p w14:paraId="71A4BC95">
      <w:pPr>
        <w:pStyle w:val="4"/>
        <w:adjustRightInd w:val="0"/>
        <w:spacing w:before="156" w:beforeLines="50" w:after="156" w:afterLines="50" w:line="440" w:lineRule="exact"/>
        <w:ind w:firstLine="562" w:firstLineChars="200"/>
        <w:jc w:val="left"/>
        <w:rPr>
          <w:rFonts w:ascii="黑体" w:eastAsia="黑体"/>
          <w:b/>
          <w:sz w:val="28"/>
          <w:szCs w:val="28"/>
        </w:rPr>
      </w:pPr>
      <w:bookmarkStart w:id="3" w:name="_Toc256506314"/>
      <w:r>
        <w:rPr>
          <w:rFonts w:hint="eastAsia" w:ascii="黑体" w:eastAsia="黑体"/>
          <w:b/>
          <w:sz w:val="28"/>
          <w:szCs w:val="28"/>
        </w:rPr>
        <w:t>二、</w:t>
      </w:r>
      <w:r>
        <w:rPr>
          <w:rFonts w:ascii="黑体" w:eastAsia="黑体"/>
          <w:b/>
          <w:sz w:val="28"/>
          <w:szCs w:val="28"/>
        </w:rPr>
        <w:t>可交换债券特征</w:t>
      </w:r>
      <w:bookmarkEnd w:id="3"/>
    </w:p>
    <w:p w14:paraId="57E3A2BA">
      <w:pPr>
        <w:spacing w:line="440" w:lineRule="exact"/>
        <w:ind w:firstLine="480"/>
        <w:rPr>
          <w:sz w:val="24"/>
        </w:rPr>
      </w:pPr>
      <w:bookmarkStart w:id="4" w:name="_Toc215412030"/>
      <w:r>
        <w:rPr>
          <w:sz w:val="24"/>
        </w:rPr>
        <w:t>由于可交换债券起源于可转换</w:t>
      </w:r>
      <w:r>
        <w:rPr>
          <w:rFonts w:hint="eastAsia"/>
          <w:sz w:val="24"/>
        </w:rPr>
        <w:t>公司</w:t>
      </w:r>
      <w:r>
        <w:rPr>
          <w:sz w:val="24"/>
        </w:rPr>
        <w:t>债券，因此两者具有一些相同特性，如都是包含股票期权的公司债券，持有人在未来符合条件时可以把债券转换成标的股票等。</w:t>
      </w:r>
      <w:bookmarkEnd w:id="4"/>
      <w:bookmarkStart w:id="5" w:name="_Toc215412031"/>
      <w:r>
        <w:rPr>
          <w:sz w:val="24"/>
        </w:rPr>
        <w:t>但两者也存在着较大的差异，主要体现在以下几个方面</w:t>
      </w:r>
      <w:bookmarkEnd w:id="5"/>
      <w:r>
        <w:rPr>
          <w:sz w:val="24"/>
        </w:rPr>
        <w:t>：</w:t>
      </w:r>
    </w:p>
    <w:p w14:paraId="52E6AA7D">
      <w:pPr>
        <w:spacing w:line="440" w:lineRule="exact"/>
        <w:ind w:firstLine="472" w:firstLineChars="196"/>
        <w:rPr>
          <w:b/>
          <w:sz w:val="24"/>
        </w:rPr>
      </w:pPr>
      <w:bookmarkStart w:id="6" w:name="_Toc215412032"/>
      <w:r>
        <w:rPr>
          <w:rFonts w:hint="eastAsia" w:ascii="宋体" w:hAnsi="宋体" w:cs="宋体"/>
          <w:b/>
          <w:sz w:val="24"/>
        </w:rPr>
        <w:t>①</w:t>
      </w:r>
      <w:r>
        <w:rPr>
          <w:b/>
          <w:sz w:val="24"/>
        </w:rPr>
        <w:t>发行目的</w:t>
      </w:r>
      <w:bookmarkEnd w:id="6"/>
      <w:r>
        <w:rPr>
          <w:b/>
          <w:sz w:val="24"/>
        </w:rPr>
        <w:t>不同</w:t>
      </w:r>
    </w:p>
    <w:p w14:paraId="76274CFB">
      <w:pPr>
        <w:spacing w:line="440" w:lineRule="exact"/>
        <w:ind w:firstLine="480" w:firstLineChars="200"/>
        <w:rPr>
          <w:sz w:val="24"/>
        </w:rPr>
      </w:pPr>
      <w:r>
        <w:rPr>
          <w:sz w:val="24"/>
        </w:rPr>
        <w:t>发行可转换债券最主要的目的就是融资，尤其是在国内，很多上市公司把发行可转换债券当作一种变相的股权融资。而发行可交换债券的目的除了融资之外，至少还有两个重要的意图；其一，有效地减持上市公司的股票。公司由于经营战略上变化的需要减持某些上市的股票时，发行可交换债券要比直接在二级市场上出售股票有效的多。国际上有很多成功的先例。其二，增加资产的流动性。在一些情况下，发行人发行可交换债券并不是为了减持股票，而是为了增加投资于这一部分股票的资金的流动性。发行可交换债券以后，发行人只需在可交换债券行权的时候进行现金交割，这样就可以达到不减持股票又可以融资的目的。</w:t>
      </w:r>
    </w:p>
    <w:p w14:paraId="5CC135A3">
      <w:pPr>
        <w:spacing w:line="440" w:lineRule="exact"/>
        <w:ind w:firstLine="472" w:firstLineChars="196"/>
        <w:rPr>
          <w:b/>
          <w:sz w:val="24"/>
        </w:rPr>
      </w:pPr>
      <w:bookmarkStart w:id="7" w:name="_Toc215412033"/>
      <w:r>
        <w:rPr>
          <w:rFonts w:hint="eastAsia" w:ascii="宋体" w:hAnsi="宋体" w:cs="宋体"/>
          <w:b/>
          <w:sz w:val="24"/>
        </w:rPr>
        <w:t>②</w:t>
      </w:r>
      <w:r>
        <w:rPr>
          <w:b/>
          <w:sz w:val="24"/>
        </w:rPr>
        <w:t>产品复杂程度</w:t>
      </w:r>
      <w:bookmarkEnd w:id="7"/>
      <w:r>
        <w:rPr>
          <w:b/>
          <w:sz w:val="24"/>
        </w:rPr>
        <w:t>不同</w:t>
      </w:r>
    </w:p>
    <w:p w14:paraId="7B33A32D">
      <w:pPr>
        <w:spacing w:line="440" w:lineRule="exact"/>
        <w:ind w:firstLine="480"/>
        <w:rPr>
          <w:sz w:val="24"/>
        </w:rPr>
      </w:pPr>
      <w:r>
        <w:rPr>
          <w:sz w:val="24"/>
        </w:rPr>
        <w:t>由于可交换债券的债权和股权分属于不同的发行人，因此其发行方案的设计相对于可转换债券来说更为复杂。如可交换债券发行条款中对发行人资质的规定，既要考虑发行人自身的经营状况和财务实力，又要考虑用于交换的标的股票的价值，亦即考虑该标的股票对应的上市公司的价值；而可转换债券的发行条款在规定发行人资质时仅需考虑一个发行人的情况，因为债权和股权同属于一个发行人。另外，债权和股权归属的分离使得投资者在投资可交换债券时需要面临更多更复杂的问题，尤其是债券和股票发行人分属于两个不同的行业时，这就要求投资者具有更为专业的投资及分析技能。</w:t>
      </w:r>
      <w:bookmarkStart w:id="8" w:name="_Toc215412034"/>
    </w:p>
    <w:p w14:paraId="0707E3F2">
      <w:pPr>
        <w:spacing w:line="440" w:lineRule="exact"/>
        <w:ind w:firstLine="480"/>
        <w:rPr>
          <w:sz w:val="24"/>
        </w:rPr>
      </w:pPr>
      <w:r>
        <w:rPr>
          <w:rFonts w:hint="eastAsia" w:ascii="宋体" w:hAnsi="宋体" w:cs="宋体"/>
          <w:b/>
          <w:sz w:val="24"/>
        </w:rPr>
        <w:t>③</w:t>
      </w:r>
      <w:r>
        <w:rPr>
          <w:b/>
          <w:sz w:val="24"/>
        </w:rPr>
        <w:t>交割方式</w:t>
      </w:r>
      <w:bookmarkEnd w:id="8"/>
      <w:r>
        <w:rPr>
          <w:b/>
          <w:sz w:val="24"/>
        </w:rPr>
        <w:t>不同</w:t>
      </w:r>
    </w:p>
    <w:p w14:paraId="54C07249">
      <w:pPr>
        <w:spacing w:line="440" w:lineRule="exact"/>
        <w:ind w:firstLine="480" w:firstLineChars="200"/>
        <w:rPr>
          <w:sz w:val="24"/>
        </w:rPr>
      </w:pPr>
      <w:r>
        <w:rPr>
          <w:kern w:val="0"/>
          <w:sz w:val="24"/>
        </w:rPr>
        <w:t>在债券持有人行权时，可转换债券通常情况下是进行股票交割。而可交换债券却有三种不同的交割方式：股票、现金和混合交割。股票交割是可交换债券持有人在行权时，可交换债券的发行人用被托管的股票与可交换债券持有人进行交割结算。现金交割在行权时只用现金进行交割结算，并不进行实物交割，这种方式在目前的可交换债券交割中应用得比较少。混合交割方式赋予可交换债券发行人在交割时有选择进行股票交割或者进行现金交割的权利，相对于其他两种交割方式，混合交割方式越来越受到市场的欢迎。对于可交换债券的发行人来说，混合交割方式可以带来很多的便利，可以预计这种交割方式必将成为我国可交换债券的主要交割方式。</w:t>
      </w:r>
    </w:p>
    <w:p w14:paraId="75ED3D46">
      <w:pPr>
        <w:spacing w:line="440" w:lineRule="exact"/>
        <w:ind w:firstLine="472" w:firstLineChars="196"/>
        <w:rPr>
          <w:b/>
          <w:sz w:val="24"/>
        </w:rPr>
      </w:pPr>
      <w:bookmarkStart w:id="9" w:name="_Toc215412035"/>
      <w:r>
        <w:rPr>
          <w:rFonts w:hint="eastAsia" w:ascii="宋体" w:hAnsi="宋体" w:cs="宋体"/>
          <w:b/>
          <w:sz w:val="24"/>
        </w:rPr>
        <w:t>④</w:t>
      </w:r>
      <w:r>
        <w:rPr>
          <w:b/>
          <w:sz w:val="24"/>
        </w:rPr>
        <w:t>风险特征</w:t>
      </w:r>
      <w:bookmarkEnd w:id="9"/>
      <w:r>
        <w:rPr>
          <w:b/>
          <w:sz w:val="24"/>
        </w:rPr>
        <w:t>不同</w:t>
      </w:r>
    </w:p>
    <w:p w14:paraId="29548FB5">
      <w:pPr>
        <w:autoSpaceDE w:val="0"/>
        <w:autoSpaceDN w:val="0"/>
        <w:adjustRightInd w:val="0"/>
        <w:spacing w:line="440" w:lineRule="exact"/>
        <w:ind w:firstLine="480" w:firstLineChars="200"/>
        <w:jc w:val="left"/>
        <w:rPr>
          <w:sz w:val="24"/>
        </w:rPr>
      </w:pPr>
      <w:r>
        <w:rPr>
          <w:sz w:val="24"/>
        </w:rPr>
        <w:t>与可转换债券相比，可交换债券融资方式的一个优点是风险分散化，这将使得可交换债券在发行时更容易受到投资者青睐。债券价值和股票价值无直接关系，债券发行公司的业绩下降</w:t>
      </w:r>
      <w:r>
        <w:rPr>
          <w:rFonts w:hint="eastAsia"/>
          <w:sz w:val="24"/>
        </w:rPr>
        <w:t>和</w:t>
      </w:r>
      <w:r>
        <w:rPr>
          <w:sz w:val="24"/>
        </w:rPr>
        <w:t>财务状况恶化并不会直接导致债券价值和普通股价格的同时下跌，特别是，当债券发行人和股票发行人分散于两个不同的行业时，投资者的风险就更为分散。由于市场不完善，信息不对称，在其他条件不变的情况下，风险分散的特征可使得可交换债券的价值大大高于可转换债券的价值。</w:t>
      </w:r>
    </w:p>
    <w:p w14:paraId="2C19CE2C">
      <w:pPr>
        <w:spacing w:line="440" w:lineRule="exact"/>
        <w:ind w:firstLine="472" w:firstLineChars="196"/>
        <w:rPr>
          <w:b/>
          <w:sz w:val="24"/>
        </w:rPr>
      </w:pPr>
      <w:bookmarkStart w:id="10" w:name="_Toc215412036"/>
      <w:r>
        <w:rPr>
          <w:rFonts w:hint="eastAsia" w:ascii="宋体" w:hAnsi="宋体" w:cs="宋体"/>
          <w:b/>
          <w:sz w:val="24"/>
        </w:rPr>
        <w:t>⑤</w:t>
      </w:r>
      <w:r>
        <w:rPr>
          <w:b/>
          <w:sz w:val="24"/>
        </w:rPr>
        <w:t>对标的股票的影响</w:t>
      </w:r>
      <w:bookmarkEnd w:id="10"/>
      <w:r>
        <w:rPr>
          <w:b/>
          <w:sz w:val="24"/>
        </w:rPr>
        <w:t>不同</w:t>
      </w:r>
    </w:p>
    <w:p w14:paraId="75074965">
      <w:pPr>
        <w:pStyle w:val="16"/>
        <w:spacing w:before="0" w:beforeAutospacing="0" w:after="0" w:afterAutospacing="0" w:line="440" w:lineRule="exact"/>
        <w:ind w:firstLine="461"/>
        <w:jc w:val="both"/>
        <w:rPr>
          <w:rFonts w:ascii="Times New Roman" w:hAnsi="Times New Roman" w:eastAsia="新宋体" w:cs="Times New Roman"/>
        </w:rPr>
      </w:pPr>
      <w:r>
        <w:t>可转换债券发行以后，如果出现转股的情况，标的股票的总股本就会增加，业绩也会相应地摊薄。因此可转换债券的发行在短期内会对标的股票的股价有一个压制作用。但是从长期来看如果通过可转换债券融得的资金的收益高于发行可转换债券前该公司的净资产收益率，则发行可转换债券能够提升标的股票的股价。发行可交换债券也会对标的股票的股价产生影响，但是影响的机理不同。当大股东针对某家上市公司发行可交换债券时，市场一般会解读为大股东在减持该公司的股票，进而市场将会对该上市公司的长期发展和增长性产生怀疑，从而会影响市场对该公司的估值水平。而且，如果短期内可交换债券的持有人大量行权，市场上流通的该股票数量会有较大幅度的增加，短期内也会对该股票价格产生影响。</w:t>
      </w:r>
    </w:p>
    <w:p w14:paraId="3397989C">
      <w:pPr>
        <w:pStyle w:val="4"/>
        <w:adjustRightInd w:val="0"/>
        <w:spacing w:before="156" w:beforeLines="50" w:after="156" w:afterLines="50" w:line="440" w:lineRule="exact"/>
        <w:ind w:firstLine="562" w:firstLineChars="200"/>
        <w:jc w:val="left"/>
        <w:rPr>
          <w:rFonts w:ascii="黑体" w:eastAsia="黑体"/>
          <w:b/>
          <w:sz w:val="28"/>
          <w:szCs w:val="28"/>
        </w:rPr>
      </w:pPr>
      <w:bookmarkStart w:id="11" w:name="_Toc256506315"/>
      <w:r>
        <w:rPr>
          <w:rFonts w:hint="eastAsia" w:ascii="黑体" w:eastAsia="黑体"/>
          <w:b/>
          <w:sz w:val="28"/>
          <w:szCs w:val="28"/>
        </w:rPr>
        <w:t>三、增信原理</w:t>
      </w:r>
      <w:bookmarkEnd w:id="11"/>
    </w:p>
    <w:p w14:paraId="59C66852">
      <w:pPr>
        <w:pStyle w:val="16"/>
        <w:spacing w:before="0" w:beforeAutospacing="0" w:after="0" w:afterAutospacing="0" w:line="440" w:lineRule="exact"/>
        <w:ind w:firstLine="461"/>
        <w:jc w:val="both"/>
        <w:rPr>
          <w:rFonts w:ascii="Times New Roman" w:hAnsi="Times New Roman" w:cs="Times New Roman"/>
        </w:rPr>
      </w:pPr>
      <w:r>
        <w:rPr>
          <w:rFonts w:ascii="Times New Roman" w:hAnsi="Times New Roman" w:eastAsia="新宋体" w:cs="Times New Roman"/>
        </w:rPr>
        <w:t>根据</w:t>
      </w:r>
      <w:r>
        <w:rPr>
          <w:rFonts w:hint="eastAsia" w:ascii="Times New Roman" w:hAnsi="Times New Roman" w:eastAsia="新宋体" w:cs="Times New Roman"/>
        </w:rPr>
        <w:t>《</w:t>
      </w:r>
      <w:r>
        <w:rPr>
          <w:rFonts w:ascii="Times New Roman" w:hAnsi="Times New Roman" w:eastAsia="新宋体" w:cs="Times New Roman"/>
        </w:rPr>
        <w:t>上市公司股东发行可交换公司债券试行规定</w:t>
      </w:r>
      <w:r>
        <w:rPr>
          <w:rFonts w:hint="eastAsia" w:ascii="Times New Roman" w:hAnsi="Times New Roman" w:eastAsia="新宋体" w:cs="Times New Roman"/>
        </w:rPr>
        <w:t>》</w:t>
      </w:r>
      <w:r>
        <w:rPr>
          <w:rFonts w:ascii="Times New Roman" w:hAnsi="Times New Roman" w:eastAsia="新宋体" w:cs="Times New Roman"/>
        </w:rPr>
        <w:t>：企业在发行可交换债券时，</w:t>
      </w:r>
      <w:r>
        <w:rPr>
          <w:rFonts w:ascii="Times New Roman" w:hAnsi="Times New Roman" w:cs="Times New Roman"/>
        </w:rPr>
        <w:t>应当将预备用于交换的股票设定为本次发行的公司债券的担保物。且根据规定第7条：预备用于交换的股票及其孳息</w:t>
      </w:r>
      <w:r>
        <w:rPr>
          <w:rFonts w:hint="eastAsia" w:ascii="Times New Roman" w:hAnsi="Times New Roman" w:cs="Times New Roman"/>
        </w:rPr>
        <w:t>（</w:t>
      </w:r>
      <w:r>
        <w:rPr>
          <w:rFonts w:ascii="Times New Roman" w:hAnsi="Times New Roman" w:cs="Times New Roman"/>
        </w:rPr>
        <w:t>包括资本公积转增股本、送股、分红、派息等</w:t>
      </w:r>
      <w:r>
        <w:rPr>
          <w:rFonts w:hint="eastAsia" w:ascii="Times New Roman" w:hAnsi="Times New Roman" w:cs="Times New Roman"/>
        </w:rPr>
        <w:t>）</w:t>
      </w:r>
      <w:r>
        <w:rPr>
          <w:rFonts w:ascii="Times New Roman" w:hAnsi="Times New Roman" w:cs="Times New Roman"/>
        </w:rPr>
        <w:t>，是本次发行可交换公司债券的担保物，用于对债券持有人交换股份和本期债券本息偿付提供担保。在可交换公司债券发行前，公司债券受托管理人应当与上市公司股东就预备用于交换的股票签订担保合同，按照证券登记结算机构的业务规则设定担保，办理相关登记手续，将其专户存放，并取得担保权利证明文件。当债券持有人按照约定条件交换股份时，从作为担保物的股票中提取相应数额用于支付；债券持有人部分或者全部未选择换股且上市公司股东到期未能清偿债务时，作为担保物的股票及其孳息处分所得的价款优先用于清偿对债券持有人的负债。由此可知，实质上可交换债券就是一种隐性的股权质押担保债券。</w:t>
      </w:r>
    </w:p>
    <w:p w14:paraId="2B9CEEDA">
      <w:pPr>
        <w:pStyle w:val="4"/>
        <w:adjustRightInd w:val="0"/>
        <w:spacing w:before="156" w:beforeLines="50" w:after="156" w:afterLines="50" w:line="440" w:lineRule="exact"/>
        <w:ind w:firstLine="562" w:firstLineChars="200"/>
        <w:jc w:val="left"/>
        <w:rPr>
          <w:rFonts w:ascii="黑体" w:eastAsia="黑体"/>
          <w:b/>
          <w:sz w:val="28"/>
          <w:szCs w:val="28"/>
        </w:rPr>
      </w:pPr>
      <w:bookmarkStart w:id="12" w:name="_Toc256506316"/>
      <w:r>
        <w:rPr>
          <w:rFonts w:hint="eastAsia" w:ascii="黑体" w:eastAsia="黑体"/>
          <w:b/>
          <w:sz w:val="28"/>
          <w:szCs w:val="28"/>
        </w:rPr>
        <w:t>四、我国发展可交换债券的意义</w:t>
      </w:r>
      <w:bookmarkEnd w:id="12"/>
    </w:p>
    <w:p w14:paraId="3E83EB99">
      <w:pPr>
        <w:spacing w:line="440" w:lineRule="exact"/>
        <w:ind w:firstLine="354" w:firstLineChars="147"/>
        <w:rPr>
          <w:b/>
          <w:kern w:val="0"/>
          <w:sz w:val="24"/>
        </w:rPr>
      </w:pPr>
      <w:r>
        <w:rPr>
          <w:rFonts w:hint="eastAsia"/>
          <w:b/>
          <w:sz w:val="24"/>
        </w:rPr>
        <w:t>1、</w:t>
      </w:r>
      <w:r>
        <w:rPr>
          <w:b/>
          <w:sz w:val="24"/>
        </w:rPr>
        <w:t>对资本市场的意义</w:t>
      </w:r>
    </w:p>
    <w:p w14:paraId="65F23495">
      <w:pPr>
        <w:spacing w:line="440" w:lineRule="exact"/>
        <w:ind w:firstLine="480" w:firstLineChars="200"/>
        <w:rPr>
          <w:rFonts w:ascii="宋体" w:hAnsi="宋体" w:cs="宋体"/>
          <w:kern w:val="0"/>
          <w:sz w:val="24"/>
        </w:rPr>
      </w:pPr>
      <w:r>
        <w:rPr>
          <w:rFonts w:hint="eastAsia" w:ascii="宋体" w:hAnsi="宋体" w:cs="宋体"/>
          <w:kern w:val="0"/>
          <w:sz w:val="24"/>
        </w:rPr>
        <w:t>建立一个强大有效的资本市场，积极稳妥地发展债券市场是我国现阶段的当务之急。发展债券市场的关键是要尽快调整并完善公司债券的品种结构，逐步实现交易所衍生债券品种的多样化，如推出可交换债券等混合金融产品。可交换债券在国外已有几十年的历史，发展已较为成熟，而在国内尚属于新鲜事物。在国外，可交换债券被认为是股份减持的有效工具，已被频繁应用于股权私有化等一系列资本市场运作中。从国外债券市场发展进程来看，大部分公司发行可交换债券的目的都是用于减持股份。除此之外，可交换债券的融资、资产重组和并购功能对于资本市场的发展同样具有重要意义。在目前“大小非”减持对我国股市造成巨大冲击的背景下，适时推出可交换债券是非常有必要的。发展我国的可交换债券市场，一方面要充分借鉴国外可交换债券市场的成熟经验，另一方面，要从我国的实际情况出发，从系统性角度考虑，培育和建立具有中国特色的可交换债券市场体系。</w:t>
      </w:r>
    </w:p>
    <w:p w14:paraId="17D81677">
      <w:pPr>
        <w:spacing w:line="440" w:lineRule="exact"/>
        <w:ind w:firstLine="480" w:firstLineChars="200"/>
        <w:rPr>
          <w:rFonts w:ascii="宋体" w:hAnsi="宋体" w:cs="宋体"/>
          <w:kern w:val="0"/>
          <w:sz w:val="24"/>
        </w:rPr>
      </w:pPr>
      <w:r>
        <w:rPr>
          <w:rFonts w:hint="eastAsia" w:ascii="宋体" w:hAnsi="宋体"/>
          <w:sz w:val="24"/>
        </w:rPr>
        <w:t>①</w:t>
      </w:r>
      <w:r>
        <w:rPr>
          <w:rFonts w:hint="eastAsia"/>
          <w:sz w:val="24"/>
        </w:rPr>
        <w:t>规范大小非减持</w:t>
      </w:r>
    </w:p>
    <w:p w14:paraId="57E2A101">
      <w:pPr>
        <w:spacing w:line="440" w:lineRule="exact"/>
        <w:ind w:firstLine="480" w:firstLineChars="200"/>
        <w:rPr>
          <w:rFonts w:ascii="宋体" w:hAnsi="宋体" w:cs="宋体"/>
          <w:kern w:val="0"/>
          <w:sz w:val="24"/>
        </w:rPr>
      </w:pPr>
      <w:r>
        <w:rPr>
          <w:rFonts w:ascii="宋体" w:hAnsi="宋体" w:cs="宋体"/>
          <w:kern w:val="0"/>
          <w:sz w:val="24"/>
        </w:rPr>
        <w:t>随着股权分置改革的顺利完成，越来越多的原非流通股股东持有的股权解除限售，进入可流通状态。尽管上述股份解除限售后大部分不会被减持，但由于解除限售的股份数量很大，给市场带来了巨大的心理压力，从而严重影响了证券市场的平稳运行</w:t>
      </w:r>
      <w:r>
        <w:rPr>
          <w:rFonts w:hint="eastAsia" w:ascii="宋体" w:hAnsi="宋体" w:cs="宋体"/>
          <w:kern w:val="0"/>
          <w:sz w:val="24"/>
        </w:rPr>
        <w:t>。上市公司大股东在限售股解禁时急于套现可能是出于以下两种原因：（a）对后市持悲观态度；（b）出现暂时性的资金周转困难。</w:t>
      </w:r>
      <w:r>
        <w:rPr>
          <w:rFonts w:ascii="宋体" w:hAnsi="宋体" w:cs="宋体"/>
          <w:kern w:val="0"/>
          <w:sz w:val="24"/>
        </w:rPr>
        <w:t>我国</w:t>
      </w:r>
      <w:r>
        <w:rPr>
          <w:rFonts w:hint="eastAsia" w:ascii="宋体" w:hAnsi="宋体" w:cs="宋体"/>
          <w:kern w:val="0"/>
          <w:sz w:val="24"/>
        </w:rPr>
        <w:t>若</w:t>
      </w:r>
      <w:r>
        <w:rPr>
          <w:rFonts w:ascii="宋体" w:hAnsi="宋体" w:cs="宋体"/>
          <w:kern w:val="0"/>
          <w:sz w:val="24"/>
        </w:rPr>
        <w:t>能及时推出可交换债券，</w:t>
      </w:r>
      <w:r>
        <w:rPr>
          <w:rFonts w:hint="eastAsia" w:ascii="宋体" w:hAnsi="宋体" w:cs="宋体"/>
          <w:kern w:val="0"/>
          <w:sz w:val="24"/>
        </w:rPr>
        <w:t>则</w:t>
      </w:r>
      <w:r>
        <w:rPr>
          <w:rFonts w:ascii="宋体" w:hAnsi="宋体" w:cs="宋体"/>
          <w:kern w:val="0"/>
          <w:sz w:val="24"/>
        </w:rPr>
        <w:t>拟减持股票的大股东</w:t>
      </w:r>
      <w:r>
        <w:rPr>
          <w:rFonts w:hint="eastAsia" w:ascii="宋体" w:hAnsi="宋体" w:cs="宋体"/>
          <w:kern w:val="0"/>
          <w:sz w:val="24"/>
        </w:rPr>
        <w:t>可以通过发行可交换债券</w:t>
      </w:r>
      <w:r>
        <w:rPr>
          <w:rFonts w:ascii="宋体" w:hAnsi="宋体" w:cs="宋体"/>
          <w:kern w:val="0"/>
          <w:sz w:val="24"/>
        </w:rPr>
        <w:t>提前获取资金，而且通过转换价格和转换期间的设计，</w:t>
      </w:r>
      <w:r>
        <w:rPr>
          <w:rFonts w:hint="eastAsia" w:ascii="宋体" w:hAnsi="宋体" w:cs="宋体"/>
          <w:kern w:val="0"/>
          <w:sz w:val="24"/>
        </w:rPr>
        <w:t>减持</w:t>
      </w:r>
      <w:r>
        <w:rPr>
          <w:rFonts w:ascii="宋体" w:hAnsi="宋体" w:cs="宋体"/>
          <w:kern w:val="0"/>
          <w:sz w:val="24"/>
        </w:rPr>
        <w:t>股票的速度和规模可以预先加以控制</w:t>
      </w:r>
      <w:r>
        <w:rPr>
          <w:rFonts w:hint="eastAsia" w:ascii="宋体" w:hAnsi="宋体" w:cs="宋体"/>
          <w:kern w:val="0"/>
          <w:sz w:val="24"/>
        </w:rPr>
        <w:t>。</w:t>
      </w:r>
      <w:r>
        <w:rPr>
          <w:rFonts w:ascii="宋体" w:hAnsi="宋体" w:cs="宋体"/>
          <w:kern w:val="0"/>
          <w:sz w:val="24"/>
        </w:rPr>
        <w:t>在股市低迷时，股票市价低于转换价格，可交换</w:t>
      </w:r>
      <w:r>
        <w:rPr>
          <w:rFonts w:hint="eastAsia" w:ascii="宋体" w:hAnsi="宋体" w:cs="宋体"/>
          <w:kern w:val="0"/>
          <w:sz w:val="24"/>
        </w:rPr>
        <w:t>债券</w:t>
      </w:r>
      <w:r>
        <w:rPr>
          <w:rFonts w:ascii="宋体" w:hAnsi="宋体" w:cs="宋体"/>
          <w:kern w:val="0"/>
          <w:sz w:val="24"/>
        </w:rPr>
        <w:t>不会转换为股票，限售股上市时对市场的冲击不存在；</w:t>
      </w:r>
      <w:r>
        <w:rPr>
          <w:rFonts w:hint="eastAsia" w:ascii="宋体" w:hAnsi="宋体" w:cs="宋体"/>
          <w:kern w:val="0"/>
          <w:sz w:val="24"/>
        </w:rPr>
        <w:t>当</w:t>
      </w:r>
      <w:r>
        <w:rPr>
          <w:rFonts w:ascii="宋体" w:hAnsi="宋体" w:cs="宋体"/>
          <w:kern w:val="0"/>
          <w:sz w:val="24"/>
        </w:rPr>
        <w:t>股价高涨时，</w:t>
      </w:r>
      <w:r>
        <w:rPr>
          <w:rFonts w:hint="eastAsia" w:ascii="宋体" w:hAnsi="宋体" w:cs="宋体"/>
          <w:kern w:val="0"/>
          <w:sz w:val="24"/>
        </w:rPr>
        <w:t>若</w:t>
      </w:r>
      <w:r>
        <w:rPr>
          <w:rFonts w:ascii="宋体" w:hAnsi="宋体" w:cs="宋体"/>
          <w:kern w:val="0"/>
          <w:sz w:val="24"/>
        </w:rPr>
        <w:t>股票市价高于转换价格，</w:t>
      </w:r>
      <w:r>
        <w:rPr>
          <w:rFonts w:hint="eastAsia" w:ascii="宋体" w:hAnsi="宋体" w:cs="宋体"/>
          <w:kern w:val="0"/>
          <w:sz w:val="24"/>
        </w:rPr>
        <w:t>则</w:t>
      </w:r>
      <w:r>
        <w:rPr>
          <w:rFonts w:ascii="宋体" w:hAnsi="宋体" w:cs="宋体"/>
          <w:kern w:val="0"/>
          <w:sz w:val="24"/>
        </w:rPr>
        <w:t>可交换</w:t>
      </w:r>
      <w:r>
        <w:rPr>
          <w:rFonts w:hint="eastAsia" w:ascii="宋体" w:hAnsi="宋体" w:cs="宋体"/>
          <w:kern w:val="0"/>
          <w:sz w:val="24"/>
        </w:rPr>
        <w:t>债券有被</w:t>
      </w:r>
      <w:r>
        <w:rPr>
          <w:rFonts w:ascii="宋体" w:hAnsi="宋体" w:cs="宋体"/>
          <w:kern w:val="0"/>
          <w:sz w:val="24"/>
        </w:rPr>
        <w:t>转换为股票</w:t>
      </w:r>
      <w:r>
        <w:rPr>
          <w:rFonts w:hint="eastAsia" w:ascii="宋体" w:hAnsi="宋体" w:cs="宋体"/>
          <w:kern w:val="0"/>
          <w:sz w:val="24"/>
        </w:rPr>
        <w:t>的可能</w:t>
      </w:r>
      <w:r>
        <w:rPr>
          <w:rFonts w:ascii="宋体" w:hAnsi="宋体" w:cs="宋体"/>
          <w:kern w:val="0"/>
          <w:sz w:val="24"/>
        </w:rPr>
        <w:t>，</w:t>
      </w:r>
      <w:r>
        <w:rPr>
          <w:rFonts w:hint="eastAsia" w:ascii="宋体" w:hAnsi="宋体" w:cs="宋体"/>
          <w:kern w:val="0"/>
          <w:sz w:val="24"/>
        </w:rPr>
        <w:t>但由于投资者对市场未来走势的判断不同，因此选择的转股时机也不同；即使实施转股，也未必会在同一时间内出售股票，这在一定程度上分散了“大小非”集中减持的风险。</w:t>
      </w:r>
      <w:r>
        <w:rPr>
          <w:rFonts w:ascii="宋体" w:hAnsi="宋体" w:cs="宋体"/>
          <w:kern w:val="0"/>
          <w:sz w:val="24"/>
        </w:rPr>
        <w:t>对于股票市场来说，发行可交换</w:t>
      </w:r>
      <w:r>
        <w:rPr>
          <w:rFonts w:hint="eastAsia" w:ascii="宋体" w:hAnsi="宋体" w:cs="宋体"/>
          <w:kern w:val="0"/>
          <w:sz w:val="24"/>
        </w:rPr>
        <w:t>债券</w:t>
      </w:r>
      <w:r>
        <w:rPr>
          <w:rFonts w:ascii="宋体" w:hAnsi="宋体" w:cs="宋体"/>
          <w:kern w:val="0"/>
          <w:sz w:val="24"/>
        </w:rPr>
        <w:t>相当于安装</w:t>
      </w:r>
      <w:r>
        <w:rPr>
          <w:rFonts w:hint="eastAsia" w:ascii="宋体" w:hAnsi="宋体" w:cs="宋体"/>
          <w:kern w:val="0"/>
          <w:sz w:val="24"/>
        </w:rPr>
        <w:t>了</w:t>
      </w:r>
      <w:r>
        <w:rPr>
          <w:rFonts w:ascii="宋体" w:hAnsi="宋体" w:cs="宋体"/>
          <w:kern w:val="0"/>
          <w:sz w:val="24"/>
        </w:rPr>
        <w:t>一个自动稳定器，使市场供求趋于均衡，从而最大限度地减小</w:t>
      </w:r>
      <w:r>
        <w:rPr>
          <w:rFonts w:hint="eastAsia" w:ascii="宋体" w:hAnsi="宋体" w:cs="宋体"/>
          <w:kern w:val="0"/>
          <w:sz w:val="24"/>
        </w:rPr>
        <w:t>“</w:t>
      </w:r>
      <w:r>
        <w:rPr>
          <w:rFonts w:ascii="宋体" w:hAnsi="宋体" w:cs="宋体"/>
          <w:kern w:val="0"/>
          <w:sz w:val="24"/>
        </w:rPr>
        <w:t>大小非</w:t>
      </w:r>
      <w:r>
        <w:rPr>
          <w:rFonts w:hint="eastAsia" w:ascii="宋体" w:hAnsi="宋体" w:cs="宋体"/>
          <w:kern w:val="0"/>
          <w:sz w:val="24"/>
        </w:rPr>
        <w:t>”</w:t>
      </w:r>
      <w:r>
        <w:rPr>
          <w:rFonts w:ascii="宋体" w:hAnsi="宋体" w:cs="宋体"/>
          <w:kern w:val="0"/>
          <w:sz w:val="24"/>
        </w:rPr>
        <w:t>减持带来的冲击和恐慌。</w:t>
      </w:r>
      <w:r>
        <w:rPr>
          <w:rFonts w:hint="eastAsia" w:ascii="宋体" w:hAnsi="宋体" w:cs="宋体"/>
          <w:kern w:val="0"/>
          <w:sz w:val="24"/>
        </w:rPr>
        <w:t>对于发行人而言，以可交换债券的方式减持股份有两种好处：一是可以获得溢价出售所持股权的机会并一次性获得所需资金，同时避免了集中减持造成的股价大跌；二是可以以出售期权的形式获得低息融资的机会，且根据国外发行经验，可交换债券的承销成本较其他减持方式（如注册二次发售等）的承销成本要低得多，成本优势成为了公司选择可交换债券作为减持方式时考虑的重要因素。</w:t>
      </w:r>
    </w:p>
    <w:p w14:paraId="2C479209">
      <w:pPr>
        <w:spacing w:line="440" w:lineRule="exact"/>
        <w:ind w:firstLine="480" w:firstLineChars="200"/>
        <w:rPr>
          <w:rFonts w:ascii="宋体" w:hAnsi="宋体" w:cs="宋体"/>
          <w:kern w:val="0"/>
          <w:sz w:val="24"/>
        </w:rPr>
      </w:pPr>
      <w:r>
        <w:rPr>
          <w:rFonts w:hint="eastAsia" w:ascii="宋体" w:hAnsi="宋体" w:cs="宋体"/>
          <w:kern w:val="0"/>
          <w:sz w:val="24"/>
        </w:rPr>
        <w:t>此外需要注意的是，可交换债券的发行对标的股票可能会产生负面影响。可交换债券的发行可能会向投资者传递这样一种信号：大股东对上市公司的前景不看好，也许是上市公司经营方面出现了问题；或者标的股票的市场估值偏高，大股东短期内急于抛售以规避估值风险。对于前一种情况，由于大股东和投资者之间存在严重的信息不对称问题，因此投资者很难判断大股东的减持是出于何种目的。但不可否认的是，减持会削弱大股东的控制权，甚至出现控制权转移的现象，这在很大程度上会改变公司的治理结构，对公司未来的发展产生不确定性影响。</w:t>
      </w:r>
    </w:p>
    <w:p w14:paraId="50BA219C">
      <w:pPr>
        <w:spacing w:line="440" w:lineRule="exact"/>
        <w:ind w:firstLine="480" w:firstLineChars="200"/>
        <w:rPr>
          <w:rFonts w:ascii="宋体" w:hAnsi="宋体" w:cs="宋体"/>
          <w:kern w:val="0"/>
          <w:sz w:val="24"/>
        </w:rPr>
      </w:pPr>
      <w:r>
        <w:rPr>
          <w:rFonts w:hint="eastAsia" w:ascii="宋体" w:hAnsi="宋体"/>
          <w:sz w:val="24"/>
        </w:rPr>
        <w:t>②</w:t>
      </w:r>
      <w:r>
        <w:rPr>
          <w:rFonts w:hint="eastAsia"/>
          <w:sz w:val="24"/>
        </w:rPr>
        <w:t>筹资</w:t>
      </w:r>
    </w:p>
    <w:p w14:paraId="0FA83C4F">
      <w:pPr>
        <w:spacing w:line="440" w:lineRule="exact"/>
        <w:ind w:firstLine="480" w:firstLineChars="200"/>
        <w:rPr>
          <w:rFonts w:ascii="宋体" w:hAnsi="宋体" w:cs="宋体"/>
          <w:kern w:val="0"/>
          <w:sz w:val="24"/>
        </w:rPr>
      </w:pPr>
      <w:r>
        <w:rPr>
          <w:rFonts w:hint="eastAsia" w:ascii="宋体" w:hAnsi="宋体" w:cs="宋体"/>
          <w:kern w:val="0"/>
          <w:sz w:val="24"/>
        </w:rPr>
        <w:t>由于债券发行人可以与股票发行人不一致，它是非上市集团公司筹集资金的一种有效手段。原有的发行上市体制导致国有企业往往将优质资产剥离上市,国有母公司除拥有控股上市公司股权以外无其他盈利较强的资产，缺乏独立生存能力，导致占用上市公司资金等违规情况的大量存在。发行可交换债券可为上市公司大股东融资提供有效平台，</w:t>
      </w:r>
      <w:r>
        <w:rPr>
          <w:rFonts w:ascii="宋体" w:hAnsi="宋体" w:cs="宋体"/>
          <w:kern w:val="0"/>
          <w:sz w:val="24"/>
        </w:rPr>
        <w:t>引导</w:t>
      </w:r>
      <w:r>
        <w:rPr>
          <w:rFonts w:hint="eastAsia" w:ascii="宋体" w:hAnsi="宋体" w:cs="宋体"/>
          <w:kern w:val="0"/>
          <w:sz w:val="24"/>
        </w:rPr>
        <w:t>其</w:t>
      </w:r>
      <w:r>
        <w:rPr>
          <w:rFonts w:ascii="宋体" w:hAnsi="宋体" w:cs="宋体"/>
          <w:kern w:val="0"/>
          <w:sz w:val="24"/>
        </w:rPr>
        <w:t>利用合法渠道融资，从而防范大股东占用上市公司资金的行为，提高上市公司质量。</w:t>
      </w:r>
    </w:p>
    <w:p w14:paraId="441E65FC">
      <w:pPr>
        <w:spacing w:line="440" w:lineRule="exact"/>
        <w:ind w:firstLine="480" w:firstLineChars="200"/>
        <w:rPr>
          <w:rFonts w:ascii="宋体" w:hAnsi="宋体" w:cs="宋体"/>
          <w:kern w:val="0"/>
          <w:sz w:val="24"/>
        </w:rPr>
      </w:pPr>
      <w:r>
        <w:rPr>
          <w:rFonts w:hint="eastAsia" w:ascii="宋体" w:hAnsi="宋体"/>
          <w:sz w:val="24"/>
        </w:rPr>
        <w:t>③</w:t>
      </w:r>
      <w:r>
        <w:rPr>
          <w:rFonts w:hint="eastAsia"/>
          <w:sz w:val="24"/>
        </w:rPr>
        <w:t>资产重组</w:t>
      </w:r>
    </w:p>
    <w:p w14:paraId="5D3B52BB">
      <w:pPr>
        <w:spacing w:line="440" w:lineRule="exact"/>
        <w:ind w:firstLine="480"/>
        <w:rPr>
          <w:sz w:val="24"/>
        </w:rPr>
      </w:pPr>
      <w:r>
        <w:rPr>
          <w:rFonts w:hint="eastAsia"/>
          <w:sz w:val="24"/>
        </w:rPr>
        <w:t>由于可交换债券的交换不会引起转换标的公司股本的变化，但可促使股份从可交换债券的发行人向可交换债券的购买者转移，可以作为资产重组中股权资产剥离的有效工具，本书把这种为了股权出让而发行的可交换债券称为“重组可交换债券”。发行可交换债券实质上是在资本一级市场上出售发行人自己所拥有的股份资产。直接在一级市场上出售股份比在其他市场和通过其他方式（如资本二级市场、产权交易市场、协议转让、拍卖）出售，有明显的优点：（a）相对于其他市场和其他方式，资本一级市场的资金充裕，这使得发行人的股权资产更容易出售；（b）通过一级市场出售大额股份，可以获得一个相对较好的出让价格，从而节约重组成本。大额股份如果直接在股票二级市场上卖出，将会对二级市场产生巨大的压力，进而影响所售股票的价格。而可交换债券是在一级市场上实现大额股份的转让，通过转换价格和转换机制的设计，转换股票的速度和规模可以预先加以控制，从而减少股票出售对二级市场的冲击。</w:t>
      </w:r>
    </w:p>
    <w:p w14:paraId="47E1B623">
      <w:pPr>
        <w:spacing w:line="434" w:lineRule="exact"/>
        <w:ind w:firstLine="482"/>
        <w:rPr>
          <w:sz w:val="24"/>
        </w:rPr>
      </w:pPr>
      <w:r>
        <w:rPr>
          <w:rFonts w:hint="eastAsia" w:ascii="宋体" w:hAnsi="宋体"/>
          <w:sz w:val="24"/>
        </w:rPr>
        <w:t>④</w:t>
      </w:r>
      <w:r>
        <w:rPr>
          <w:rFonts w:hint="eastAsia"/>
          <w:sz w:val="24"/>
        </w:rPr>
        <w:t>收购兼并</w:t>
      </w:r>
    </w:p>
    <w:p w14:paraId="39152D43">
      <w:pPr>
        <w:spacing w:line="434" w:lineRule="exact"/>
        <w:ind w:firstLine="482"/>
        <w:rPr>
          <w:sz w:val="24"/>
        </w:rPr>
      </w:pPr>
      <w:r>
        <w:rPr>
          <w:rFonts w:hint="eastAsia"/>
          <w:sz w:val="24"/>
        </w:rPr>
        <w:t>实施购并首先遇到的难题是资金的筹集问题，目前的资金筹集方式主要有：（a）直接在资本市场、产权交易市场或通过协议转让出售部分资产或股权，以获得资金。这种方式获得的资金有限，不能满足收购兼并的资金需求。（b）通过向银行和其他金融机构筹集。这种方式的缺点是筹集困难，可能受到借出资金机构的控制，而且容易被反收购方所瓦解。</w:t>
      </w:r>
    </w:p>
    <w:p w14:paraId="7C76474A">
      <w:pPr>
        <w:spacing w:line="434" w:lineRule="exact"/>
        <w:ind w:firstLine="482"/>
        <w:rPr>
          <w:sz w:val="24"/>
        </w:rPr>
      </w:pPr>
      <w:r>
        <w:rPr>
          <w:rFonts w:hint="eastAsia"/>
          <w:sz w:val="24"/>
        </w:rPr>
        <w:t>通过在收购前发行可交换债券，不但能解决资金有限的问题，而且不会像其他杠杆收购一样容易失去控制权和被对手瓦解。这种可交换债券被称为“并购可交换债券”，它是专为实施并购策略而发行的，其转换对象可以是某一（或多个）指定或未指定的、发行人尚未拥有或尚未完全拥有的收购目标公司的股票。并购可交换债券直接从一级市场筹集资金，可以充分利用一级市场资金充足的特点，使所需资金及时到位，而且并购可交换债券不会像其他杠杆收购手段一样，容易失去控制权和被反收购方瓦解，主要是因为发行并购可交换债券借的是一级市场上广大投资者的资金，并购完成后，投资者换股，除了发行人自己将拥有部分股权外，其他股权将比较分散，不易形成对发行人有竞争力的威胁，也不易被反收购方购集。</w:t>
      </w:r>
    </w:p>
    <w:p w14:paraId="6099EDEC">
      <w:pPr>
        <w:spacing w:line="434" w:lineRule="exact"/>
        <w:ind w:firstLine="482"/>
        <w:rPr>
          <w:sz w:val="24"/>
        </w:rPr>
      </w:pPr>
      <w:r>
        <w:rPr>
          <w:rFonts w:hint="eastAsia"/>
          <w:sz w:val="24"/>
        </w:rPr>
        <w:t>并购可交换债券的转换标的可以是发行人在发行时尚未拥有或尚未完全拥有的多种股票和证券，因此，并购可交换债券的发行可使发行人一次对多种不同的未来股权实行转让，实现一次性的资金大筹集。而且，发行人可以利用一般投资者对收购目标企业股票的额外关注，通过发行不指明转换对象即收购目标的可交换债券，来达到筹集收购资金的目的。为迷惑反收购方，发行人甚至还可以设计出更为复杂的可交换债券交换对象。</w:t>
      </w:r>
    </w:p>
    <w:p w14:paraId="0C49634F">
      <w:pPr>
        <w:autoSpaceDE w:val="0"/>
        <w:autoSpaceDN w:val="0"/>
        <w:spacing w:line="440" w:lineRule="exact"/>
        <w:ind w:firstLine="482" w:firstLineChars="200"/>
        <w:jc w:val="left"/>
        <w:rPr>
          <w:rFonts w:ascii="宋体" w:hAnsi="宋体"/>
          <w:b/>
          <w:kern w:val="0"/>
          <w:sz w:val="24"/>
          <w:szCs w:val="17"/>
        </w:rPr>
      </w:pPr>
      <w:r>
        <w:rPr>
          <w:rFonts w:hint="eastAsia" w:ascii="宋体" w:hAnsi="宋体"/>
          <w:b/>
          <w:sz w:val="24"/>
        </w:rPr>
        <w:t>2、</w:t>
      </w:r>
      <w:r>
        <w:rPr>
          <w:rFonts w:hint="eastAsia" w:ascii="宋体" w:hAnsi="宋体"/>
          <w:b/>
          <w:kern w:val="0"/>
          <w:sz w:val="24"/>
          <w:szCs w:val="17"/>
        </w:rPr>
        <w:t>对市场投资者的影响</w:t>
      </w:r>
    </w:p>
    <w:p w14:paraId="767388BD">
      <w:pPr>
        <w:autoSpaceDE w:val="0"/>
        <w:autoSpaceDN w:val="0"/>
        <w:spacing w:line="440" w:lineRule="exact"/>
        <w:ind w:firstLine="480" w:firstLineChars="200"/>
        <w:jc w:val="left"/>
        <w:rPr>
          <w:rFonts w:ascii="宋体" w:hAnsi="宋体"/>
          <w:kern w:val="0"/>
          <w:sz w:val="24"/>
          <w:szCs w:val="17"/>
        </w:rPr>
      </w:pPr>
      <w:r>
        <w:rPr>
          <w:rFonts w:hint="eastAsia" w:ascii="宋体" w:hAnsi="宋体"/>
          <w:kern w:val="0"/>
          <w:sz w:val="24"/>
          <w:szCs w:val="18"/>
        </w:rPr>
        <w:t>可交换债券的发行人和标的股票公司不一致，债券持有</w:t>
      </w:r>
      <w:r>
        <w:rPr>
          <w:rFonts w:hint="eastAsia" w:ascii="宋体" w:hAnsi="宋体"/>
          <w:kern w:val="0"/>
          <w:sz w:val="24"/>
          <w:szCs w:val="17"/>
        </w:rPr>
        <w:t>人的换股行为相当于标的股票公司股份的转让行为，因此债券的交换不会影响到标的股票公司的总股本和财务指标。发行可交换债券具有保持交换标的股票公司的股本规模和每股收益的优点，</w:t>
      </w:r>
      <w:r>
        <w:rPr>
          <w:rFonts w:ascii="宋体" w:hAnsi="宋体"/>
          <w:kern w:val="0"/>
          <w:sz w:val="24"/>
          <w:szCs w:val="17"/>
        </w:rPr>
        <w:t xml:space="preserve"> </w:t>
      </w:r>
      <w:r>
        <w:rPr>
          <w:rFonts w:hint="eastAsia" w:ascii="宋体" w:hAnsi="宋体"/>
          <w:kern w:val="0"/>
          <w:sz w:val="24"/>
          <w:szCs w:val="17"/>
        </w:rPr>
        <w:t xml:space="preserve">对于债券的发行成功及标的股票市场价格的支撑是极为重要的，对标的股票原股东利益有较好的保护。               </w:t>
      </w:r>
    </w:p>
    <w:p w14:paraId="4951BFF5">
      <w:pPr>
        <w:autoSpaceDE w:val="0"/>
        <w:autoSpaceDN w:val="0"/>
        <w:spacing w:line="440" w:lineRule="exact"/>
        <w:ind w:firstLine="482" w:firstLineChars="200"/>
        <w:jc w:val="left"/>
        <w:rPr>
          <w:rFonts w:ascii="宋体" w:hAnsi="宋体"/>
          <w:b/>
          <w:kern w:val="0"/>
          <w:sz w:val="24"/>
          <w:szCs w:val="17"/>
        </w:rPr>
      </w:pPr>
      <w:r>
        <w:rPr>
          <w:rFonts w:hint="eastAsia" w:ascii="宋体" w:hAnsi="宋体"/>
          <w:b/>
          <w:sz w:val="24"/>
        </w:rPr>
        <w:t>3、</w:t>
      </w:r>
      <w:r>
        <w:rPr>
          <w:rFonts w:hint="eastAsia" w:ascii="宋体" w:hAnsi="宋体"/>
          <w:b/>
          <w:kern w:val="0"/>
          <w:sz w:val="24"/>
          <w:szCs w:val="17"/>
        </w:rPr>
        <w:t>对发行主体的影响</w:t>
      </w:r>
    </w:p>
    <w:p w14:paraId="4D754198">
      <w:pPr>
        <w:spacing w:line="440" w:lineRule="exact"/>
        <w:ind w:firstLine="480" w:firstLineChars="200"/>
        <w:rPr>
          <w:rFonts w:ascii="宋体" w:hAnsi="宋体"/>
          <w:kern w:val="0"/>
          <w:sz w:val="24"/>
          <w:szCs w:val="17"/>
        </w:rPr>
      </w:pPr>
      <w:r>
        <w:rPr>
          <w:rFonts w:hint="eastAsia" w:ascii="宋体" w:hAnsi="宋体"/>
          <w:kern w:val="0"/>
          <w:sz w:val="24"/>
          <w:szCs w:val="17"/>
        </w:rPr>
        <w:t>可交换债券为发行人</w:t>
      </w:r>
      <w:r>
        <w:rPr>
          <w:rFonts w:ascii="宋体" w:hAnsi="宋体"/>
          <w:kern w:val="0"/>
          <w:sz w:val="24"/>
          <w:szCs w:val="17"/>
        </w:rPr>
        <w:t>(</w:t>
      </w:r>
      <w:r>
        <w:rPr>
          <w:rFonts w:hint="eastAsia" w:ascii="宋体" w:hAnsi="宋体"/>
          <w:kern w:val="0"/>
          <w:sz w:val="24"/>
          <w:szCs w:val="17"/>
        </w:rPr>
        <w:t>一般为国有控股上市公司的集团公司</w:t>
      </w:r>
      <w:r>
        <w:rPr>
          <w:rFonts w:ascii="宋体" w:hAnsi="宋体"/>
          <w:kern w:val="0"/>
          <w:sz w:val="24"/>
          <w:szCs w:val="17"/>
        </w:rPr>
        <w:t>)</w:t>
      </w:r>
      <w:r>
        <w:rPr>
          <w:rFonts w:hint="eastAsia" w:ascii="宋体" w:hAnsi="宋体"/>
          <w:kern w:val="0"/>
          <w:sz w:val="24"/>
          <w:szCs w:val="17"/>
        </w:rPr>
        <w:t>开辟了一条低成本高效率的市场融资新渠道。由于可</w:t>
      </w:r>
      <w:r>
        <w:rPr>
          <w:rFonts w:hint="eastAsia" w:ascii="宋体" w:hAnsi="宋体"/>
          <w:kern w:val="0"/>
          <w:sz w:val="24"/>
          <w:szCs w:val="18"/>
        </w:rPr>
        <w:t>交换债券含有换股期权，债券的票面利率很低，</w:t>
      </w:r>
      <w:r>
        <w:rPr>
          <w:rFonts w:hint="eastAsia" w:ascii="宋体" w:hAnsi="宋体"/>
          <w:kern w:val="0"/>
          <w:sz w:val="24"/>
          <w:szCs w:val="17"/>
        </w:rPr>
        <w:t>因此发行人的资金成本很低。同时由于换股价格一般高于股票的现时市场价格，如果投资者实</w:t>
      </w:r>
      <w:r>
        <w:rPr>
          <w:rFonts w:hint="eastAsia" w:ascii="宋体" w:hAnsi="宋体"/>
          <w:kern w:val="0"/>
          <w:sz w:val="24"/>
          <w:szCs w:val="18"/>
        </w:rPr>
        <w:t>施换股，相当于发行人以高于发行时的市场价格变现，这也</w:t>
      </w:r>
      <w:r>
        <w:rPr>
          <w:rFonts w:hint="eastAsia" w:ascii="宋体" w:hAnsi="宋体"/>
          <w:kern w:val="0"/>
          <w:sz w:val="24"/>
          <w:szCs w:val="17"/>
        </w:rPr>
        <w:t>扩大了债券的融资规模，降低了融资成本。</w:t>
      </w:r>
    </w:p>
    <w:p w14:paraId="0AD297AA">
      <w:pPr>
        <w:spacing w:before="312" w:beforeLines="100" w:after="312" w:afterLines="100" w:line="440" w:lineRule="exact"/>
        <w:outlineLvl w:val="1"/>
        <w:rPr>
          <w:rFonts w:hint="eastAsia" w:ascii="黑体" w:eastAsia="黑体"/>
          <w:bCs/>
          <w:sz w:val="32"/>
          <w:szCs w:val="32"/>
        </w:rPr>
      </w:pPr>
      <w:bookmarkStart w:id="13" w:name="_Toc256506317"/>
      <w:r>
        <w:rPr>
          <w:rFonts w:hint="eastAsia" w:ascii="黑体" w:eastAsia="黑体"/>
          <w:bCs/>
          <w:sz w:val="32"/>
          <w:szCs w:val="32"/>
        </w:rPr>
        <w:t>案例分析</w:t>
      </w:r>
      <w:bookmarkEnd w:id="13"/>
    </w:p>
    <w:p w14:paraId="4C111366">
      <w:pPr>
        <w:spacing w:before="312" w:beforeLines="100" w:after="312" w:afterLines="100" w:line="440" w:lineRule="exact"/>
        <w:rPr>
          <w:rFonts w:hint="eastAsia"/>
          <w:b/>
        </w:rPr>
      </w:pPr>
      <w:r>
        <w:rPr>
          <w:rFonts w:hint="eastAsia"/>
          <w:b/>
        </w:rPr>
        <w:t>案例1  海马转债</w:t>
      </w:r>
    </w:p>
    <w:p w14:paraId="46220433">
      <w:pPr>
        <w:pStyle w:val="11"/>
        <w:spacing w:before="312" w:beforeLines="100"/>
        <w:jc w:val="center"/>
        <w:rPr>
          <w:rFonts w:hint="eastAsia" w:ascii="Times New Roman" w:hAnsi="新宋体" w:eastAsia="新宋体" w:cs="Times New Roman"/>
          <w:sz w:val="21"/>
          <w:szCs w:val="21"/>
        </w:rPr>
      </w:pPr>
      <w:bookmarkStart w:id="14" w:name="_Toc256506480"/>
      <w:r>
        <w:rPr>
          <w:rFonts w:hint="eastAsia" w:ascii="Times New Roman" w:hAnsi="新宋体" w:eastAsia="新宋体" w:cs="Times New Roman"/>
          <w:sz w:val="21"/>
          <w:szCs w:val="21"/>
        </w:rPr>
        <w:t>表1  海马转债发行概况</w:t>
      </w:r>
      <w:bookmarkEnd w:id="14"/>
    </w:p>
    <w:p w14:paraId="2207F1B2">
      <w:pPr>
        <w:jc w:val="center"/>
        <w:rPr>
          <w:rFonts w:hint="eastAsia"/>
        </w:rPr>
      </w:pPr>
      <w:r>
        <w:rPr>
          <w:rFonts w:hint="eastAsia"/>
          <w:szCs w:val="21"/>
        </w:rPr>
        <w:t>Table 1</w:t>
      </w:r>
      <w:r>
        <w:rPr>
          <w:rFonts w:hint="eastAsia"/>
        </w:rPr>
        <w:t xml:space="preserve">  </w:t>
      </w:r>
      <w:r>
        <w:t xml:space="preserve">Issue </w:t>
      </w:r>
      <w:r>
        <w:rPr>
          <w:rFonts w:hint="eastAsia"/>
        </w:rPr>
        <w:t>o</w:t>
      </w:r>
      <w:r>
        <w:t>verview</w:t>
      </w:r>
      <w:r>
        <w:rPr>
          <w:rFonts w:hint="eastAsia"/>
        </w:rPr>
        <w:t xml:space="preserve"> of </w:t>
      </w:r>
      <w:r>
        <w:t>“</w:t>
      </w:r>
      <w:r>
        <w:rPr>
          <w:rFonts w:hint="eastAsia"/>
        </w:rPr>
        <w:t xml:space="preserve">Haima </w:t>
      </w:r>
      <w:r>
        <w:t>convertible bond”</w:t>
      </w:r>
    </w:p>
    <w:tbl>
      <w:tblPr>
        <w:tblStyle w:val="1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2"/>
        <w:gridCol w:w="1243"/>
        <w:gridCol w:w="949"/>
        <w:gridCol w:w="3451"/>
        <w:gridCol w:w="1427"/>
      </w:tblGrid>
      <w:tr w14:paraId="72A152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 w:type="pct"/>
            <w:vAlign w:val="center"/>
          </w:tcPr>
          <w:p w14:paraId="25CFF2FC">
            <w:pPr>
              <w:rPr>
                <w:rFonts w:hint="eastAsia"/>
                <w:sz w:val="18"/>
                <w:szCs w:val="18"/>
              </w:rPr>
            </w:pPr>
            <w:r>
              <w:rPr>
                <w:rFonts w:hint="eastAsia"/>
                <w:sz w:val="18"/>
                <w:szCs w:val="18"/>
              </w:rPr>
              <w:t>发行人</w:t>
            </w:r>
          </w:p>
        </w:tc>
        <w:tc>
          <w:tcPr>
            <w:tcW w:w="729" w:type="pct"/>
            <w:vAlign w:val="center"/>
          </w:tcPr>
          <w:p w14:paraId="35A985AA">
            <w:pPr>
              <w:rPr>
                <w:rFonts w:hint="eastAsia"/>
                <w:sz w:val="18"/>
                <w:szCs w:val="18"/>
              </w:rPr>
            </w:pPr>
            <w:r>
              <w:rPr>
                <w:rFonts w:hint="eastAsia"/>
                <w:sz w:val="18"/>
                <w:szCs w:val="18"/>
              </w:rPr>
              <w:t>债券总额</w:t>
            </w:r>
          </w:p>
        </w:tc>
        <w:tc>
          <w:tcPr>
            <w:tcW w:w="557" w:type="pct"/>
            <w:vAlign w:val="center"/>
          </w:tcPr>
          <w:p w14:paraId="4379959C">
            <w:pPr>
              <w:rPr>
                <w:rFonts w:hint="eastAsia"/>
                <w:sz w:val="18"/>
                <w:szCs w:val="18"/>
              </w:rPr>
            </w:pPr>
            <w:r>
              <w:rPr>
                <w:rFonts w:hint="eastAsia"/>
                <w:sz w:val="18"/>
                <w:szCs w:val="18"/>
              </w:rPr>
              <w:t>债券期限</w:t>
            </w:r>
          </w:p>
        </w:tc>
        <w:tc>
          <w:tcPr>
            <w:tcW w:w="2025" w:type="pct"/>
            <w:vAlign w:val="center"/>
          </w:tcPr>
          <w:p w14:paraId="2A6D6D1F">
            <w:pPr>
              <w:rPr>
                <w:rFonts w:hint="eastAsia"/>
                <w:sz w:val="18"/>
                <w:szCs w:val="18"/>
              </w:rPr>
            </w:pPr>
            <w:r>
              <w:rPr>
                <w:rFonts w:hint="eastAsia"/>
                <w:sz w:val="18"/>
                <w:szCs w:val="18"/>
              </w:rPr>
              <w:t>发行利率</w:t>
            </w:r>
          </w:p>
        </w:tc>
        <w:tc>
          <w:tcPr>
            <w:tcW w:w="837" w:type="pct"/>
            <w:vAlign w:val="center"/>
          </w:tcPr>
          <w:p w14:paraId="430003DF">
            <w:pPr>
              <w:rPr>
                <w:rFonts w:hint="eastAsia"/>
                <w:sz w:val="18"/>
                <w:szCs w:val="18"/>
              </w:rPr>
            </w:pPr>
            <w:r>
              <w:rPr>
                <w:rFonts w:hint="eastAsia"/>
                <w:sz w:val="18"/>
                <w:szCs w:val="18"/>
              </w:rPr>
              <w:t>发行人主体信用等级</w:t>
            </w:r>
          </w:p>
        </w:tc>
      </w:tr>
      <w:tr w14:paraId="737AA3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 w:type="pct"/>
            <w:vAlign w:val="center"/>
          </w:tcPr>
          <w:p w14:paraId="31D4FCCF">
            <w:pPr>
              <w:rPr>
                <w:sz w:val="18"/>
                <w:szCs w:val="18"/>
              </w:rPr>
            </w:pPr>
            <w:r>
              <w:rPr>
                <w:rFonts w:hint="eastAsia"/>
                <w:sz w:val="18"/>
                <w:szCs w:val="18"/>
              </w:rPr>
              <w:t>海马投资集团股份有限公司</w:t>
            </w:r>
          </w:p>
        </w:tc>
        <w:tc>
          <w:tcPr>
            <w:tcW w:w="729" w:type="pct"/>
            <w:vAlign w:val="center"/>
          </w:tcPr>
          <w:p w14:paraId="52F36D6F">
            <w:pPr>
              <w:rPr>
                <w:sz w:val="18"/>
                <w:szCs w:val="18"/>
              </w:rPr>
            </w:pPr>
            <w:r>
              <w:rPr>
                <w:rFonts w:hint="eastAsia"/>
                <w:sz w:val="18"/>
                <w:szCs w:val="18"/>
              </w:rPr>
              <w:t>8.2亿元</w:t>
            </w:r>
          </w:p>
        </w:tc>
        <w:tc>
          <w:tcPr>
            <w:tcW w:w="557" w:type="pct"/>
            <w:vAlign w:val="center"/>
          </w:tcPr>
          <w:p w14:paraId="5FBA2C2A">
            <w:pPr>
              <w:rPr>
                <w:sz w:val="18"/>
                <w:szCs w:val="18"/>
              </w:rPr>
            </w:pPr>
            <w:r>
              <w:rPr>
                <w:rFonts w:hint="eastAsia"/>
                <w:sz w:val="18"/>
                <w:szCs w:val="18"/>
              </w:rPr>
              <w:t>5年</w:t>
            </w:r>
          </w:p>
        </w:tc>
        <w:tc>
          <w:tcPr>
            <w:tcW w:w="2025" w:type="pct"/>
            <w:vAlign w:val="center"/>
          </w:tcPr>
          <w:p w14:paraId="043D363B">
            <w:pPr>
              <w:rPr>
                <w:sz w:val="18"/>
                <w:szCs w:val="18"/>
              </w:rPr>
            </w:pPr>
            <w:r>
              <w:rPr>
                <w:rFonts w:hint="eastAsia"/>
                <w:sz w:val="18"/>
                <w:szCs w:val="18"/>
              </w:rPr>
              <w:t>第一年1.5%，第二年1.8%，第三年2.2%，第四年2.5%，第五年2.7%</w:t>
            </w:r>
          </w:p>
        </w:tc>
        <w:tc>
          <w:tcPr>
            <w:tcW w:w="837" w:type="pct"/>
            <w:vAlign w:val="center"/>
          </w:tcPr>
          <w:p w14:paraId="3B562949">
            <w:pPr>
              <w:rPr>
                <w:rFonts w:hint="eastAsia"/>
                <w:sz w:val="18"/>
                <w:szCs w:val="18"/>
                <w:highlight w:val="yellow"/>
              </w:rPr>
            </w:pPr>
            <w:r>
              <w:rPr>
                <w:rFonts w:hint="eastAsia"/>
                <w:sz w:val="18"/>
                <w:szCs w:val="18"/>
              </w:rPr>
              <w:t>-</w:t>
            </w:r>
          </w:p>
        </w:tc>
      </w:tr>
      <w:tr w14:paraId="18B17E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 w:type="pct"/>
            <w:vAlign w:val="center"/>
          </w:tcPr>
          <w:p w14:paraId="42E5C245">
            <w:pPr>
              <w:rPr>
                <w:rFonts w:hint="eastAsia"/>
                <w:sz w:val="18"/>
                <w:szCs w:val="18"/>
              </w:rPr>
            </w:pPr>
            <w:r>
              <w:rPr>
                <w:rFonts w:hint="eastAsia"/>
                <w:sz w:val="18"/>
                <w:szCs w:val="18"/>
              </w:rPr>
              <w:t>担保人</w:t>
            </w:r>
          </w:p>
        </w:tc>
        <w:tc>
          <w:tcPr>
            <w:tcW w:w="729" w:type="pct"/>
            <w:vAlign w:val="center"/>
          </w:tcPr>
          <w:p w14:paraId="035AA152">
            <w:pPr>
              <w:rPr>
                <w:rFonts w:hint="eastAsia"/>
                <w:sz w:val="18"/>
                <w:szCs w:val="18"/>
              </w:rPr>
            </w:pPr>
            <w:r>
              <w:rPr>
                <w:rFonts w:hint="eastAsia"/>
                <w:sz w:val="18"/>
                <w:szCs w:val="18"/>
              </w:rPr>
              <w:t>担保人主体信用等级</w:t>
            </w:r>
          </w:p>
        </w:tc>
        <w:tc>
          <w:tcPr>
            <w:tcW w:w="557" w:type="pct"/>
            <w:vAlign w:val="center"/>
          </w:tcPr>
          <w:p w14:paraId="46EB6882">
            <w:pPr>
              <w:rPr>
                <w:rFonts w:hint="eastAsia"/>
                <w:sz w:val="18"/>
                <w:szCs w:val="18"/>
              </w:rPr>
            </w:pPr>
            <w:r>
              <w:rPr>
                <w:rFonts w:hint="eastAsia"/>
                <w:sz w:val="18"/>
                <w:szCs w:val="18"/>
              </w:rPr>
              <w:t>债券信用等级</w:t>
            </w:r>
          </w:p>
        </w:tc>
        <w:tc>
          <w:tcPr>
            <w:tcW w:w="2025" w:type="pct"/>
            <w:vAlign w:val="center"/>
          </w:tcPr>
          <w:p w14:paraId="50151306">
            <w:pPr>
              <w:rPr>
                <w:rFonts w:hint="eastAsia"/>
                <w:sz w:val="18"/>
                <w:szCs w:val="18"/>
              </w:rPr>
            </w:pPr>
            <w:r>
              <w:rPr>
                <w:rFonts w:hint="eastAsia"/>
                <w:sz w:val="18"/>
                <w:szCs w:val="18"/>
              </w:rPr>
              <w:t>增信效果</w:t>
            </w:r>
          </w:p>
        </w:tc>
        <w:tc>
          <w:tcPr>
            <w:tcW w:w="837" w:type="pct"/>
            <w:vAlign w:val="center"/>
          </w:tcPr>
          <w:p w14:paraId="5387B82D">
            <w:pPr>
              <w:rPr>
                <w:rFonts w:hint="eastAsia"/>
                <w:sz w:val="18"/>
                <w:szCs w:val="18"/>
              </w:rPr>
            </w:pPr>
            <w:r>
              <w:rPr>
                <w:rFonts w:hint="eastAsia"/>
                <w:sz w:val="18"/>
                <w:szCs w:val="18"/>
              </w:rPr>
              <w:t>增信方式</w:t>
            </w:r>
          </w:p>
        </w:tc>
      </w:tr>
      <w:tr w14:paraId="086D6B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 w:type="pct"/>
            <w:vAlign w:val="center"/>
          </w:tcPr>
          <w:p w14:paraId="6C5D19C2">
            <w:pPr>
              <w:rPr>
                <w:rFonts w:hint="eastAsia"/>
                <w:sz w:val="18"/>
                <w:szCs w:val="18"/>
              </w:rPr>
            </w:pPr>
            <w:r>
              <w:rPr>
                <w:rFonts w:hint="eastAsia"/>
                <w:sz w:val="18"/>
                <w:szCs w:val="18"/>
              </w:rPr>
              <w:t>中信银行股份有限公司</w:t>
            </w:r>
          </w:p>
        </w:tc>
        <w:tc>
          <w:tcPr>
            <w:tcW w:w="729" w:type="pct"/>
            <w:vAlign w:val="center"/>
          </w:tcPr>
          <w:p w14:paraId="4AB22522">
            <w:pPr>
              <w:rPr>
                <w:rFonts w:hint="eastAsia"/>
                <w:sz w:val="18"/>
                <w:szCs w:val="18"/>
              </w:rPr>
            </w:pPr>
            <w:r>
              <w:rPr>
                <w:rFonts w:hint="eastAsia"/>
                <w:sz w:val="18"/>
                <w:szCs w:val="18"/>
              </w:rPr>
              <w:t>AAA</w:t>
            </w:r>
          </w:p>
        </w:tc>
        <w:tc>
          <w:tcPr>
            <w:tcW w:w="557" w:type="pct"/>
            <w:vAlign w:val="center"/>
          </w:tcPr>
          <w:p w14:paraId="2F47545B">
            <w:pPr>
              <w:rPr>
                <w:rFonts w:hint="eastAsia"/>
                <w:sz w:val="18"/>
                <w:szCs w:val="18"/>
              </w:rPr>
            </w:pPr>
            <w:r>
              <w:rPr>
                <w:rFonts w:hint="eastAsia"/>
                <w:sz w:val="18"/>
                <w:szCs w:val="18"/>
              </w:rPr>
              <w:t>AAA</w:t>
            </w:r>
          </w:p>
        </w:tc>
        <w:tc>
          <w:tcPr>
            <w:tcW w:w="2025" w:type="pct"/>
            <w:vAlign w:val="center"/>
          </w:tcPr>
          <w:p w14:paraId="5E7BFA14">
            <w:pPr>
              <w:ind w:firstLine="90" w:firstLineChars="50"/>
              <w:rPr>
                <w:rFonts w:hint="eastAsia"/>
                <w:sz w:val="18"/>
                <w:szCs w:val="18"/>
              </w:rPr>
            </w:pPr>
            <w:r>
              <w:rPr>
                <w:rFonts w:hint="eastAsia"/>
                <w:sz w:val="18"/>
                <w:szCs w:val="18"/>
              </w:rPr>
              <w:t>发行利率远低于同信用等级企业（公司）债券</w:t>
            </w:r>
          </w:p>
        </w:tc>
        <w:tc>
          <w:tcPr>
            <w:tcW w:w="837" w:type="pct"/>
            <w:vAlign w:val="center"/>
          </w:tcPr>
          <w:p w14:paraId="5535B4FF">
            <w:pPr>
              <w:rPr>
                <w:rFonts w:hint="eastAsia"/>
                <w:sz w:val="18"/>
                <w:szCs w:val="18"/>
              </w:rPr>
            </w:pPr>
            <w:r>
              <w:rPr>
                <w:rFonts w:hint="eastAsia"/>
                <w:sz w:val="18"/>
                <w:szCs w:val="18"/>
              </w:rPr>
              <w:t>内在含权设计，银行担保</w:t>
            </w:r>
          </w:p>
        </w:tc>
      </w:tr>
    </w:tbl>
    <w:p w14:paraId="68BE6DA3">
      <w:pPr>
        <w:spacing w:before="312" w:beforeLines="100" w:line="440" w:lineRule="exact"/>
        <w:ind w:firstLine="420" w:firstLineChars="200"/>
        <w:rPr>
          <w:rFonts w:hint="eastAsia"/>
        </w:rPr>
      </w:pPr>
      <w:r>
        <w:rPr>
          <w:rFonts w:hint="eastAsia"/>
        </w:rPr>
        <w:t>“海马转债”系由海马投资集团股份有限公司（以下简称“海马股份”，股票代码：000572）于2008年1月16日发行的可转换公司债券，该债券发行规模为8.2亿元，发行期限为5年，转股期自可转债发行结束之日满6个月后的第一个交易日起至可转债到期日止。“海马转债”票面利率为第一年1.5%、第二年为1.8%、第三年为2.2%、第四年为2.5%、第五年为2.7%。该期可转换公司债券主承销商为恒泰证券有限责任公司。</w:t>
      </w:r>
    </w:p>
    <w:p w14:paraId="6C8105E4">
      <w:pPr>
        <w:spacing w:line="440" w:lineRule="exact"/>
        <w:ind w:firstLine="420" w:firstLineChars="200"/>
        <w:rPr>
          <w:rFonts w:hint="eastAsia"/>
        </w:rPr>
      </w:pPr>
      <w:r>
        <w:rPr>
          <w:rFonts w:hint="eastAsia"/>
        </w:rPr>
        <w:t>“海马转债”附有回售条款和赎回条款。回售条款规定，在可转债转股期内，如果发行人股票收盘价连续30个交易日低于当期转股价格的70%时，可转债持有人有权将其持有的可转债全部或部分按面值的105%（含当期计息年度利息）回售给发行人。赎回条款规定，在可转债转股期内，如果发行人股票任意连续30个交易日中至少有20个交易日的收盘价高于当期转股价格的130%（含130%），发行人有权赎回未转股的可转换公司债券。</w:t>
      </w:r>
    </w:p>
    <w:p w14:paraId="2CCBE973">
      <w:pPr>
        <w:spacing w:line="440" w:lineRule="exact"/>
        <w:ind w:firstLine="420" w:firstLineChars="200"/>
        <w:rPr>
          <w:rFonts w:hint="eastAsia"/>
        </w:rPr>
      </w:pPr>
      <w:r>
        <w:rPr>
          <w:rFonts w:hint="eastAsia"/>
        </w:rPr>
        <w:t>海马股份主要从事汽车的生产、销售以及零部件采购业务，目前海马股份已成为拥有完全自主研发能力的大型汽车生产企业。截至2007年6月底，海马股份总资产为72.29亿元，总负债为38.26亿元，资产负债率为52.92%</w:t>
      </w:r>
      <w:r>
        <w:rPr>
          <w:rStyle w:val="20"/>
        </w:rPr>
        <w:footnoteReference w:id="0"/>
      </w:r>
      <w:r>
        <w:rPr>
          <w:rFonts w:hint="eastAsia"/>
        </w:rPr>
        <w:t>；2007年1-6月海马股份实现营业收入45.64亿元，净利润4.91亿元，经营活动净现金流-3.25亿元。</w:t>
      </w:r>
    </w:p>
    <w:p w14:paraId="25C7B0BA">
      <w:pPr>
        <w:spacing w:line="440" w:lineRule="exact"/>
        <w:ind w:firstLine="420" w:firstLineChars="200"/>
        <w:rPr>
          <w:rFonts w:hint="eastAsia"/>
        </w:rPr>
      </w:pPr>
      <w:r>
        <w:rPr>
          <w:rFonts w:hint="eastAsia"/>
        </w:rPr>
        <w:t>“海马转债”采取了银行担保的增信方式，由中信银行股份有限公司授权深圳分行为“海马转债”提供不可撤消连带责任保证担保。</w:t>
      </w:r>
      <w:r>
        <w:t>经</w:t>
      </w:r>
      <w:r>
        <w:rPr>
          <w:rFonts w:hint="eastAsia"/>
        </w:rPr>
        <w:t>中诚信证券</w:t>
      </w:r>
      <w:r>
        <w:t>评估有限公司综合评定，</w:t>
      </w:r>
      <w:r>
        <w:rPr>
          <w:rFonts w:hint="eastAsia"/>
        </w:rPr>
        <w:t>“海马转债”债券信用等级为AAA。</w:t>
      </w:r>
    </w:p>
    <w:p w14:paraId="78D3A223">
      <w:pPr>
        <w:spacing w:line="440" w:lineRule="exact"/>
        <w:ind w:firstLine="435"/>
        <w:rPr>
          <w:rFonts w:hint="eastAsia"/>
        </w:rPr>
      </w:pPr>
      <w:r>
        <w:rPr>
          <w:rFonts w:hint="eastAsia"/>
        </w:rPr>
        <w:t>“海马转债”实质上采取了内部和外部相结合的增信方式，内部增信是指债券本身的内在含权设计，外部增信是指银行担保，在内外部增信方式的共同作用下，“海马转债”债券信用等级增至AAA。银监会叫停银行担保之后，可转换公司债券开始采取无担保或第三方担保的形式发行。从发行利率来看，“海马转债”发行利率远低于AAA等级的一般企业（公司）债券，主要是由于“海马转债”在发行时赋予了投资者转股选择权，投资者在转股期内的任一交易日均可将债券转换成发行人股票，若转股价低于市场价格，投资者便可获得额外补偿，从而降低了投资者对债券收益率的要求。</w:t>
      </w:r>
    </w:p>
    <w:p w14:paraId="6A001F5C">
      <w:pPr>
        <w:spacing w:line="440" w:lineRule="exact"/>
        <w:ind w:firstLine="435"/>
        <w:rPr>
          <w:rFonts w:hint="eastAsia"/>
        </w:rPr>
      </w:pPr>
    </w:p>
    <w:p w14:paraId="21BFF5FF">
      <w:pPr>
        <w:spacing w:line="440" w:lineRule="exact"/>
        <w:ind w:firstLine="435"/>
        <w:rPr>
          <w:rFonts w:hint="eastAsia"/>
        </w:rPr>
      </w:pPr>
    </w:p>
    <w:p w14:paraId="5C4D0EDA">
      <w:pPr>
        <w:spacing w:line="440" w:lineRule="exact"/>
        <w:ind w:firstLine="435"/>
        <w:rPr>
          <w:rFonts w:hint="eastAsia"/>
        </w:rPr>
      </w:pPr>
    </w:p>
    <w:p w14:paraId="133FAB86">
      <w:pPr>
        <w:spacing w:line="440" w:lineRule="exact"/>
        <w:ind w:firstLine="435"/>
        <w:rPr>
          <w:rFonts w:hint="eastAsia"/>
        </w:rPr>
      </w:pPr>
    </w:p>
    <w:p w14:paraId="0CA3DD7E">
      <w:pPr>
        <w:spacing w:line="440" w:lineRule="exact"/>
        <w:ind w:firstLine="435"/>
        <w:rPr>
          <w:rFonts w:hint="eastAsia"/>
        </w:rPr>
      </w:pPr>
    </w:p>
    <w:p w14:paraId="0574EBE4">
      <w:pPr>
        <w:spacing w:line="440" w:lineRule="exact"/>
        <w:ind w:firstLine="435"/>
        <w:rPr>
          <w:rFonts w:hint="eastAsia"/>
        </w:rPr>
      </w:pPr>
    </w:p>
    <w:p w14:paraId="718A3762">
      <w:pPr>
        <w:spacing w:line="440" w:lineRule="exact"/>
        <w:ind w:firstLine="435"/>
        <w:rPr>
          <w:rFonts w:hint="eastAsia"/>
        </w:rPr>
      </w:pPr>
    </w:p>
    <w:p w14:paraId="5E7B9539">
      <w:pPr>
        <w:spacing w:line="440" w:lineRule="exact"/>
        <w:ind w:firstLine="435"/>
        <w:rPr>
          <w:rFonts w:hint="eastAsia"/>
        </w:rPr>
      </w:pPr>
    </w:p>
    <w:p w14:paraId="461897D4">
      <w:pPr>
        <w:spacing w:line="440" w:lineRule="exact"/>
        <w:ind w:firstLine="435"/>
        <w:rPr>
          <w:rFonts w:hint="eastAsia"/>
        </w:rPr>
      </w:pPr>
    </w:p>
    <w:p w14:paraId="38857DFA">
      <w:pPr>
        <w:spacing w:line="440" w:lineRule="exact"/>
        <w:ind w:firstLine="435"/>
        <w:rPr>
          <w:rFonts w:hint="eastAsia"/>
        </w:rPr>
      </w:pPr>
    </w:p>
    <w:p w14:paraId="743EB11D">
      <w:pPr>
        <w:spacing w:line="440" w:lineRule="exact"/>
        <w:ind w:firstLine="435"/>
        <w:rPr>
          <w:rFonts w:hint="eastAsia"/>
        </w:rPr>
      </w:pPr>
    </w:p>
    <w:p w14:paraId="241DA8D0">
      <w:pPr>
        <w:spacing w:line="440" w:lineRule="exact"/>
        <w:ind w:firstLine="435"/>
        <w:rPr>
          <w:rFonts w:hint="eastAsia"/>
        </w:rPr>
      </w:pPr>
    </w:p>
    <w:p w14:paraId="20E1F008">
      <w:pPr>
        <w:spacing w:line="440" w:lineRule="exact"/>
        <w:ind w:firstLine="435"/>
        <w:rPr>
          <w:rFonts w:hint="eastAsia"/>
        </w:rPr>
      </w:pPr>
    </w:p>
    <w:p w14:paraId="16C22CCA">
      <w:pPr>
        <w:spacing w:line="440" w:lineRule="exact"/>
        <w:ind w:firstLine="435"/>
        <w:rPr>
          <w:rFonts w:hint="eastAsia"/>
        </w:rPr>
      </w:pPr>
    </w:p>
    <w:p w14:paraId="323CF89B">
      <w:pPr>
        <w:spacing w:line="440" w:lineRule="exact"/>
        <w:ind w:firstLine="435"/>
        <w:rPr>
          <w:rFonts w:hint="eastAsia"/>
        </w:rPr>
      </w:pPr>
    </w:p>
    <w:p w14:paraId="681A2720">
      <w:pPr>
        <w:spacing w:line="440" w:lineRule="exact"/>
        <w:ind w:firstLine="435"/>
        <w:rPr>
          <w:rFonts w:hint="eastAsia"/>
        </w:rPr>
      </w:pPr>
    </w:p>
    <w:p w14:paraId="4E5BE824">
      <w:pPr>
        <w:spacing w:line="440" w:lineRule="exact"/>
        <w:ind w:firstLine="435"/>
        <w:rPr>
          <w:rFonts w:hint="eastAsia"/>
        </w:rPr>
      </w:pPr>
    </w:p>
    <w:p w14:paraId="36E58E09">
      <w:pPr>
        <w:spacing w:line="440" w:lineRule="exact"/>
        <w:ind w:firstLine="435"/>
        <w:rPr>
          <w:rFonts w:hint="eastAsia"/>
        </w:rPr>
      </w:pPr>
    </w:p>
    <w:p w14:paraId="1F86CAC2">
      <w:pPr>
        <w:spacing w:line="440" w:lineRule="exact"/>
        <w:ind w:firstLine="435"/>
        <w:rPr>
          <w:rFonts w:hint="eastAsia"/>
        </w:rPr>
      </w:pPr>
    </w:p>
    <w:p w14:paraId="111D4600">
      <w:pPr>
        <w:spacing w:line="440" w:lineRule="exact"/>
        <w:ind w:firstLine="435"/>
        <w:rPr>
          <w:rFonts w:hint="eastAsia"/>
        </w:rPr>
      </w:pPr>
    </w:p>
    <w:p w14:paraId="2B133974">
      <w:pPr>
        <w:spacing w:line="440" w:lineRule="exact"/>
        <w:ind w:firstLine="435"/>
        <w:rPr>
          <w:rFonts w:hint="eastAsia"/>
        </w:rPr>
      </w:pPr>
    </w:p>
    <w:p w14:paraId="1B8FED9C">
      <w:pPr>
        <w:spacing w:line="440" w:lineRule="exact"/>
        <w:ind w:firstLine="435"/>
        <w:rPr>
          <w:rFonts w:hint="eastAsia"/>
        </w:rPr>
      </w:pPr>
    </w:p>
    <w:p w14:paraId="7B9B44AC">
      <w:pPr>
        <w:spacing w:line="440" w:lineRule="exact"/>
        <w:ind w:firstLine="435"/>
        <w:rPr>
          <w:rFonts w:hint="eastAsia"/>
        </w:rPr>
      </w:pPr>
    </w:p>
    <w:p w14:paraId="0EA673DF">
      <w:pPr>
        <w:spacing w:line="440" w:lineRule="exact"/>
        <w:ind w:firstLine="435"/>
        <w:rPr>
          <w:rFonts w:hint="eastAsia"/>
        </w:rPr>
      </w:pPr>
    </w:p>
    <w:p w14:paraId="22B7EF61">
      <w:pPr>
        <w:spacing w:line="440" w:lineRule="exact"/>
        <w:ind w:firstLine="435"/>
        <w:rPr>
          <w:rFonts w:hint="eastAsia"/>
        </w:rPr>
      </w:pPr>
    </w:p>
    <w:p w14:paraId="05672D04">
      <w:pPr>
        <w:spacing w:line="440" w:lineRule="exact"/>
        <w:ind w:firstLine="435"/>
        <w:rPr>
          <w:rFonts w:hint="eastAsia"/>
        </w:rPr>
      </w:pPr>
    </w:p>
    <w:p w14:paraId="62369E96">
      <w:pPr>
        <w:spacing w:before="312" w:beforeLines="100" w:after="312" w:afterLines="100" w:line="440" w:lineRule="exact"/>
        <w:rPr>
          <w:rFonts w:hint="eastAsia"/>
          <w:b/>
        </w:rPr>
      </w:pPr>
      <w:r>
        <w:rPr>
          <w:rFonts w:hint="eastAsia"/>
          <w:b/>
        </w:rPr>
        <w:t>案例2  王府转债</w:t>
      </w:r>
    </w:p>
    <w:p w14:paraId="646EB9CE">
      <w:pPr>
        <w:pStyle w:val="11"/>
        <w:spacing w:before="312" w:beforeLines="100"/>
        <w:jc w:val="center"/>
        <w:rPr>
          <w:rFonts w:hint="eastAsia" w:ascii="Times New Roman" w:hAnsi="新宋体" w:eastAsia="新宋体" w:cs="Times New Roman"/>
          <w:sz w:val="21"/>
          <w:szCs w:val="21"/>
        </w:rPr>
      </w:pPr>
      <w:bookmarkStart w:id="15" w:name="_Toc256506481"/>
      <w:r>
        <w:rPr>
          <w:rFonts w:hint="eastAsia" w:ascii="Times New Roman" w:hAnsi="新宋体" w:eastAsia="新宋体" w:cs="Times New Roman"/>
          <w:sz w:val="21"/>
          <w:szCs w:val="21"/>
        </w:rPr>
        <w:t>表2  王府转债发行概况</w:t>
      </w:r>
      <w:bookmarkEnd w:id="15"/>
    </w:p>
    <w:p w14:paraId="06DB0176">
      <w:pPr>
        <w:jc w:val="center"/>
        <w:rPr>
          <w:rFonts w:hint="eastAsia"/>
        </w:rPr>
      </w:pPr>
      <w:r>
        <w:rPr>
          <w:rFonts w:hint="eastAsia"/>
          <w:szCs w:val="21"/>
        </w:rPr>
        <w:t xml:space="preserve">Table 2 </w:t>
      </w:r>
      <w:r>
        <w:rPr>
          <w:rFonts w:hint="eastAsia"/>
        </w:rPr>
        <w:t xml:space="preserve"> </w:t>
      </w:r>
      <w:r>
        <w:t xml:space="preserve">Issue </w:t>
      </w:r>
      <w:r>
        <w:rPr>
          <w:rFonts w:hint="eastAsia"/>
        </w:rPr>
        <w:t>o</w:t>
      </w:r>
      <w:r>
        <w:t>verview</w:t>
      </w:r>
      <w:r>
        <w:rPr>
          <w:rFonts w:hint="eastAsia"/>
        </w:rPr>
        <w:t xml:space="preserve"> of </w:t>
      </w:r>
      <w:r>
        <w:t>“</w:t>
      </w:r>
      <w:r>
        <w:rPr>
          <w:rFonts w:hint="eastAsia"/>
        </w:rPr>
        <w:t xml:space="preserve">Wangfu </w:t>
      </w:r>
      <w:r>
        <w:t>convertible bond”</w:t>
      </w:r>
    </w:p>
    <w:tbl>
      <w:tblPr>
        <w:tblStyle w:val="18"/>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820"/>
        <w:gridCol w:w="1118"/>
        <w:gridCol w:w="837"/>
        <w:gridCol w:w="3528"/>
        <w:gridCol w:w="1219"/>
      </w:tblGrid>
      <w:tr w14:paraId="7C97F6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8" w:type="pct"/>
            <w:vAlign w:val="center"/>
          </w:tcPr>
          <w:p w14:paraId="1AD3B561">
            <w:pPr>
              <w:rPr>
                <w:rFonts w:hint="eastAsia"/>
                <w:sz w:val="18"/>
                <w:szCs w:val="18"/>
              </w:rPr>
            </w:pPr>
            <w:r>
              <w:rPr>
                <w:rFonts w:hint="eastAsia"/>
                <w:sz w:val="18"/>
                <w:szCs w:val="18"/>
              </w:rPr>
              <w:t>发行人</w:t>
            </w:r>
          </w:p>
        </w:tc>
        <w:tc>
          <w:tcPr>
            <w:tcW w:w="656" w:type="pct"/>
            <w:vAlign w:val="center"/>
          </w:tcPr>
          <w:p w14:paraId="46E215D7">
            <w:pPr>
              <w:rPr>
                <w:rFonts w:hint="eastAsia"/>
                <w:sz w:val="18"/>
                <w:szCs w:val="18"/>
              </w:rPr>
            </w:pPr>
            <w:r>
              <w:rPr>
                <w:rFonts w:hint="eastAsia"/>
                <w:sz w:val="18"/>
                <w:szCs w:val="18"/>
              </w:rPr>
              <w:t>债券总额</w:t>
            </w:r>
          </w:p>
        </w:tc>
        <w:tc>
          <w:tcPr>
            <w:tcW w:w="491" w:type="pct"/>
            <w:vAlign w:val="center"/>
          </w:tcPr>
          <w:p w14:paraId="6A6CBD82">
            <w:pPr>
              <w:rPr>
                <w:rFonts w:hint="eastAsia"/>
                <w:sz w:val="18"/>
                <w:szCs w:val="18"/>
              </w:rPr>
            </w:pPr>
            <w:r>
              <w:rPr>
                <w:rFonts w:hint="eastAsia"/>
                <w:sz w:val="18"/>
                <w:szCs w:val="18"/>
              </w:rPr>
              <w:t>债券期限</w:t>
            </w:r>
          </w:p>
        </w:tc>
        <w:tc>
          <w:tcPr>
            <w:tcW w:w="2070" w:type="pct"/>
            <w:vAlign w:val="center"/>
          </w:tcPr>
          <w:p w14:paraId="68AF0D59">
            <w:pPr>
              <w:rPr>
                <w:rFonts w:hint="eastAsia"/>
                <w:sz w:val="18"/>
                <w:szCs w:val="18"/>
              </w:rPr>
            </w:pPr>
            <w:r>
              <w:rPr>
                <w:rFonts w:hint="eastAsia"/>
                <w:sz w:val="18"/>
                <w:szCs w:val="18"/>
              </w:rPr>
              <w:t>发行利率</w:t>
            </w:r>
          </w:p>
        </w:tc>
        <w:tc>
          <w:tcPr>
            <w:tcW w:w="715" w:type="pct"/>
            <w:vAlign w:val="center"/>
          </w:tcPr>
          <w:p w14:paraId="1EA00978">
            <w:pPr>
              <w:rPr>
                <w:rFonts w:hint="eastAsia"/>
                <w:sz w:val="18"/>
                <w:szCs w:val="18"/>
              </w:rPr>
            </w:pPr>
            <w:r>
              <w:rPr>
                <w:rFonts w:hint="eastAsia"/>
                <w:sz w:val="18"/>
                <w:szCs w:val="18"/>
              </w:rPr>
              <w:t>发行人主体信用等级</w:t>
            </w:r>
          </w:p>
        </w:tc>
      </w:tr>
      <w:tr w14:paraId="3AB913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8" w:type="pct"/>
            <w:vAlign w:val="center"/>
          </w:tcPr>
          <w:p w14:paraId="6CE8634B">
            <w:pPr>
              <w:rPr>
                <w:sz w:val="18"/>
                <w:szCs w:val="18"/>
              </w:rPr>
            </w:pPr>
            <w:r>
              <w:rPr>
                <w:rFonts w:hint="eastAsia"/>
                <w:sz w:val="18"/>
                <w:szCs w:val="18"/>
              </w:rPr>
              <w:t>北京王府井百货（集团）股份有限公司</w:t>
            </w:r>
          </w:p>
        </w:tc>
        <w:tc>
          <w:tcPr>
            <w:tcW w:w="656" w:type="pct"/>
            <w:vAlign w:val="center"/>
          </w:tcPr>
          <w:p w14:paraId="2A3630DA">
            <w:pPr>
              <w:rPr>
                <w:sz w:val="18"/>
                <w:szCs w:val="18"/>
              </w:rPr>
            </w:pPr>
            <w:r>
              <w:rPr>
                <w:rFonts w:hint="eastAsia"/>
                <w:sz w:val="18"/>
                <w:szCs w:val="18"/>
              </w:rPr>
              <w:t>8.21亿元</w:t>
            </w:r>
          </w:p>
        </w:tc>
        <w:tc>
          <w:tcPr>
            <w:tcW w:w="491" w:type="pct"/>
            <w:vAlign w:val="center"/>
          </w:tcPr>
          <w:p w14:paraId="7BFCF7BA">
            <w:pPr>
              <w:rPr>
                <w:sz w:val="18"/>
                <w:szCs w:val="18"/>
              </w:rPr>
            </w:pPr>
            <w:r>
              <w:rPr>
                <w:rFonts w:hint="eastAsia"/>
                <w:sz w:val="18"/>
                <w:szCs w:val="18"/>
              </w:rPr>
              <w:t>6年</w:t>
            </w:r>
          </w:p>
        </w:tc>
        <w:tc>
          <w:tcPr>
            <w:tcW w:w="2070" w:type="pct"/>
            <w:vAlign w:val="center"/>
          </w:tcPr>
          <w:p w14:paraId="32B8A749">
            <w:pPr>
              <w:rPr>
                <w:sz w:val="18"/>
                <w:szCs w:val="18"/>
              </w:rPr>
            </w:pPr>
            <w:r>
              <w:rPr>
                <w:rFonts w:hint="eastAsia"/>
                <w:sz w:val="18"/>
                <w:szCs w:val="18"/>
              </w:rPr>
              <w:t>第一年0.5%，第二年0.8%，第三年 1.1%，第四年1.4%，第五年1.7%，第六年2.0%</w:t>
            </w:r>
          </w:p>
        </w:tc>
        <w:tc>
          <w:tcPr>
            <w:tcW w:w="715" w:type="pct"/>
            <w:vAlign w:val="center"/>
          </w:tcPr>
          <w:p w14:paraId="70F67A27">
            <w:pPr>
              <w:rPr>
                <w:rFonts w:hint="eastAsia"/>
                <w:sz w:val="18"/>
                <w:szCs w:val="18"/>
                <w:highlight w:val="yellow"/>
              </w:rPr>
            </w:pPr>
            <w:r>
              <w:rPr>
                <w:rFonts w:hint="eastAsia"/>
                <w:sz w:val="18"/>
                <w:szCs w:val="18"/>
              </w:rPr>
              <w:t>AA</w:t>
            </w:r>
          </w:p>
        </w:tc>
      </w:tr>
      <w:tr w14:paraId="595D68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8" w:type="pct"/>
            <w:vAlign w:val="center"/>
          </w:tcPr>
          <w:p w14:paraId="693A1742">
            <w:pPr>
              <w:rPr>
                <w:rFonts w:hint="eastAsia"/>
                <w:sz w:val="18"/>
                <w:szCs w:val="18"/>
              </w:rPr>
            </w:pPr>
            <w:r>
              <w:rPr>
                <w:rFonts w:hint="eastAsia"/>
                <w:sz w:val="18"/>
                <w:szCs w:val="18"/>
              </w:rPr>
              <w:t>担保人</w:t>
            </w:r>
          </w:p>
        </w:tc>
        <w:tc>
          <w:tcPr>
            <w:tcW w:w="656" w:type="pct"/>
            <w:vAlign w:val="center"/>
          </w:tcPr>
          <w:p w14:paraId="749B331D">
            <w:pPr>
              <w:rPr>
                <w:rFonts w:hint="eastAsia"/>
                <w:sz w:val="18"/>
                <w:szCs w:val="18"/>
              </w:rPr>
            </w:pPr>
            <w:r>
              <w:rPr>
                <w:rFonts w:hint="eastAsia"/>
                <w:sz w:val="18"/>
                <w:szCs w:val="18"/>
              </w:rPr>
              <w:t>担保人主体信用等级</w:t>
            </w:r>
          </w:p>
        </w:tc>
        <w:tc>
          <w:tcPr>
            <w:tcW w:w="491" w:type="pct"/>
            <w:vAlign w:val="center"/>
          </w:tcPr>
          <w:p w14:paraId="0104CE35">
            <w:pPr>
              <w:rPr>
                <w:rFonts w:hint="eastAsia"/>
                <w:sz w:val="18"/>
                <w:szCs w:val="18"/>
              </w:rPr>
            </w:pPr>
            <w:r>
              <w:rPr>
                <w:rFonts w:hint="eastAsia"/>
                <w:sz w:val="18"/>
                <w:szCs w:val="18"/>
              </w:rPr>
              <w:t>债券信用等级</w:t>
            </w:r>
          </w:p>
        </w:tc>
        <w:tc>
          <w:tcPr>
            <w:tcW w:w="2070" w:type="pct"/>
            <w:vAlign w:val="center"/>
          </w:tcPr>
          <w:p w14:paraId="306785AC">
            <w:pPr>
              <w:rPr>
                <w:rFonts w:hint="eastAsia"/>
                <w:sz w:val="18"/>
                <w:szCs w:val="18"/>
              </w:rPr>
            </w:pPr>
            <w:r>
              <w:rPr>
                <w:rFonts w:hint="eastAsia"/>
                <w:sz w:val="18"/>
                <w:szCs w:val="18"/>
              </w:rPr>
              <w:t>增信效果</w:t>
            </w:r>
          </w:p>
        </w:tc>
        <w:tc>
          <w:tcPr>
            <w:tcW w:w="715" w:type="pct"/>
            <w:vAlign w:val="center"/>
          </w:tcPr>
          <w:p w14:paraId="0E7FD6BA">
            <w:pPr>
              <w:rPr>
                <w:rFonts w:hint="eastAsia"/>
                <w:sz w:val="18"/>
                <w:szCs w:val="18"/>
              </w:rPr>
            </w:pPr>
            <w:r>
              <w:rPr>
                <w:rFonts w:hint="eastAsia"/>
                <w:sz w:val="18"/>
                <w:szCs w:val="18"/>
              </w:rPr>
              <w:t>增信方式</w:t>
            </w:r>
          </w:p>
        </w:tc>
      </w:tr>
      <w:tr w14:paraId="222AA0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8" w:type="pct"/>
            <w:vAlign w:val="center"/>
          </w:tcPr>
          <w:p w14:paraId="6F74B301">
            <w:pPr>
              <w:rPr>
                <w:rFonts w:hint="eastAsia"/>
                <w:sz w:val="18"/>
                <w:szCs w:val="18"/>
              </w:rPr>
            </w:pPr>
            <w:r>
              <w:rPr>
                <w:rFonts w:hint="eastAsia"/>
                <w:sz w:val="18"/>
                <w:szCs w:val="18"/>
              </w:rPr>
              <w:t>无</w:t>
            </w:r>
          </w:p>
        </w:tc>
        <w:tc>
          <w:tcPr>
            <w:tcW w:w="656" w:type="pct"/>
            <w:vAlign w:val="center"/>
          </w:tcPr>
          <w:p w14:paraId="6B04106B">
            <w:pPr>
              <w:rPr>
                <w:rFonts w:hint="eastAsia"/>
                <w:sz w:val="18"/>
                <w:szCs w:val="18"/>
              </w:rPr>
            </w:pPr>
            <w:r>
              <w:rPr>
                <w:rFonts w:hint="eastAsia"/>
                <w:sz w:val="18"/>
                <w:szCs w:val="18"/>
              </w:rPr>
              <w:t>-</w:t>
            </w:r>
          </w:p>
        </w:tc>
        <w:tc>
          <w:tcPr>
            <w:tcW w:w="491" w:type="pct"/>
            <w:vAlign w:val="center"/>
          </w:tcPr>
          <w:p w14:paraId="15F6B7CF">
            <w:pPr>
              <w:rPr>
                <w:rFonts w:hint="eastAsia"/>
                <w:sz w:val="18"/>
                <w:szCs w:val="18"/>
              </w:rPr>
            </w:pPr>
            <w:r>
              <w:rPr>
                <w:rFonts w:hint="eastAsia"/>
                <w:sz w:val="18"/>
                <w:szCs w:val="18"/>
              </w:rPr>
              <w:t>AA</w:t>
            </w:r>
          </w:p>
        </w:tc>
        <w:tc>
          <w:tcPr>
            <w:tcW w:w="2070" w:type="pct"/>
            <w:vAlign w:val="center"/>
          </w:tcPr>
          <w:p w14:paraId="34F63912">
            <w:pPr>
              <w:ind w:firstLine="90" w:firstLineChars="50"/>
              <w:rPr>
                <w:rFonts w:hint="eastAsia"/>
                <w:sz w:val="18"/>
                <w:szCs w:val="18"/>
              </w:rPr>
            </w:pPr>
            <w:r>
              <w:rPr>
                <w:rFonts w:hint="eastAsia"/>
                <w:sz w:val="18"/>
                <w:szCs w:val="18"/>
              </w:rPr>
              <w:t>发行利率远低于同信用等级企业（公司）债券</w:t>
            </w:r>
          </w:p>
        </w:tc>
        <w:tc>
          <w:tcPr>
            <w:tcW w:w="715" w:type="pct"/>
            <w:vAlign w:val="center"/>
          </w:tcPr>
          <w:p w14:paraId="64F83C35">
            <w:pPr>
              <w:rPr>
                <w:rFonts w:hint="eastAsia"/>
                <w:sz w:val="18"/>
                <w:szCs w:val="18"/>
              </w:rPr>
            </w:pPr>
            <w:r>
              <w:rPr>
                <w:rFonts w:hint="eastAsia"/>
                <w:sz w:val="18"/>
                <w:szCs w:val="18"/>
              </w:rPr>
              <w:t>内在含权设计</w:t>
            </w:r>
          </w:p>
        </w:tc>
      </w:tr>
    </w:tbl>
    <w:p w14:paraId="5868F494">
      <w:pPr>
        <w:spacing w:before="312" w:beforeLines="100" w:line="440" w:lineRule="exact"/>
        <w:ind w:firstLine="420" w:firstLineChars="200"/>
        <w:rPr>
          <w:rFonts w:hint="eastAsia"/>
        </w:rPr>
      </w:pPr>
      <w:r>
        <w:rPr>
          <w:rFonts w:hint="eastAsia"/>
        </w:rPr>
        <w:t>“王府转债”系由北京王附井百货（集团）股份有限公司（以下简称“王府井”，股票代码：600859）于2009年10月19日发行的可转换公司债券，该债券发行规模为8.21亿元，发行期限为6年，转股期自可转债发行结束之日满6个月后的第一个交易日起至可转债到期日止。“王府转债”票面利率为第一年0.5%、第二年为0.8%、第三年为1.1%、第四年为1.4%、第五年为1.7%、第六年为2.0%，到期未转股的可转债按2.5%进行利息补偿。该期可转换公司债券主承销商为中信建投证券有限责任公司。</w:t>
      </w:r>
    </w:p>
    <w:p w14:paraId="4D7BAC81">
      <w:pPr>
        <w:spacing w:line="440" w:lineRule="exact"/>
        <w:ind w:firstLine="420" w:firstLineChars="200"/>
        <w:rPr>
          <w:rFonts w:hint="eastAsia"/>
        </w:rPr>
      </w:pPr>
      <w:r>
        <w:rPr>
          <w:rFonts w:hint="eastAsia"/>
        </w:rPr>
        <w:t>“王府转债”附有回售条款和赎回条款。回售条款规定，在可转债转股期内，如果发行人股票收盘价连续30个交易日低于当期转股价格的70%时，可转债持有人有权将其持有的可转债全部或部分按面值的103%（含当期计息年度利息）回售给发行人。赎回条款规定，在可转债转股期内，如果发行人股票任意连续30个交易日中至少有20个交易日的收盘价不低于当期转股价格的130%（含130%），发行人有权按照债券面值的103%（含当期计息年度利息）的赎回价格赎回全部或部分未转股的可转债。</w:t>
      </w:r>
    </w:p>
    <w:p w14:paraId="1C95A96E">
      <w:pPr>
        <w:spacing w:line="440" w:lineRule="exact"/>
        <w:ind w:firstLine="420" w:firstLineChars="200"/>
        <w:rPr>
          <w:rFonts w:hint="eastAsia"/>
        </w:rPr>
      </w:pPr>
      <w:r>
        <w:rPr>
          <w:rFonts w:hint="eastAsia"/>
        </w:rPr>
        <w:t>王府井主要从事综合百货业的经营和管理，为老牌百货行业企业，品牌知名度高，从业经验丰富，具有很强的市场竞争力。截至2008年12月31日，王府井旗下拥有16家百货店，总资产为40.47亿元，总负债为40.47亿元，资产负债率为65.41%</w:t>
      </w:r>
      <w:r>
        <w:rPr>
          <w:rStyle w:val="20"/>
        </w:rPr>
        <w:footnoteReference w:id="1"/>
      </w:r>
      <w:r>
        <w:rPr>
          <w:rFonts w:hint="eastAsia"/>
        </w:rPr>
        <w:t>，2008年王府井实现营业收入101.74亿元，净利润3.72亿元，经营活动净现金流8.28亿元。</w:t>
      </w:r>
    </w:p>
    <w:p w14:paraId="3491AF43">
      <w:pPr>
        <w:spacing w:line="440" w:lineRule="exact"/>
        <w:ind w:firstLine="420" w:firstLineChars="200"/>
        <w:rPr>
          <w:rFonts w:hint="eastAsia"/>
        </w:rPr>
      </w:pPr>
      <w:r>
        <w:t>经</w:t>
      </w:r>
      <w:r>
        <w:rPr>
          <w:rFonts w:hint="eastAsia"/>
        </w:rPr>
        <w:t>鹏元</w:t>
      </w:r>
      <w:r>
        <w:t>资信评估有限公司综合评定，</w:t>
      </w:r>
      <w:r>
        <w:rPr>
          <w:rFonts w:hint="eastAsia"/>
        </w:rPr>
        <w:t>王府井</w:t>
      </w:r>
      <w:r>
        <w:t>长期主体信用等级为AA。</w:t>
      </w:r>
      <w:r>
        <w:rPr>
          <w:rFonts w:hint="eastAsia"/>
        </w:rPr>
        <w:t>该期</w:t>
      </w:r>
      <w:r>
        <w:t>债券</w:t>
      </w:r>
      <w:r>
        <w:rPr>
          <w:rFonts w:hint="eastAsia"/>
        </w:rPr>
        <w:t>采取无担保方式发行，债券信用等级为AA。</w:t>
      </w:r>
    </w:p>
    <w:p w14:paraId="53FD700F">
      <w:pPr>
        <w:spacing w:line="440" w:lineRule="exact"/>
        <w:ind w:firstLine="420" w:firstLineChars="200"/>
        <w:rPr>
          <w:rFonts w:hint="eastAsia"/>
        </w:rPr>
      </w:pPr>
      <w:r>
        <w:rPr>
          <w:rFonts w:hint="eastAsia"/>
        </w:rPr>
        <w:t>与“海马转债”不同的是，“王府转债”并未采取外部增信方式，其较低的发行利率主要是受其含权设计的内部增信的影响，由于其内在设计的合理性，得到了投资者的认可，从而取得了良好的增信效果。</w:t>
      </w:r>
    </w:p>
    <w:p w14:paraId="3CC0DDAB">
      <w:pPr>
        <w:spacing w:before="312" w:beforeLines="100" w:after="312" w:afterLines="100" w:line="440" w:lineRule="exact"/>
        <w:rPr>
          <w:rFonts w:hint="eastAsia"/>
          <w:b/>
        </w:rPr>
      </w:pPr>
      <w:r>
        <w:rPr>
          <w:rFonts w:hint="eastAsia"/>
          <w:b/>
        </w:rPr>
        <w:t>案例.3  厦工转债</w:t>
      </w:r>
    </w:p>
    <w:p w14:paraId="4E04CA61">
      <w:pPr>
        <w:pStyle w:val="11"/>
        <w:spacing w:before="312" w:beforeLines="100"/>
        <w:jc w:val="center"/>
        <w:rPr>
          <w:rFonts w:hint="eastAsia" w:ascii="Times New Roman" w:hAnsi="新宋体" w:eastAsia="新宋体" w:cs="Times New Roman"/>
          <w:sz w:val="21"/>
          <w:szCs w:val="21"/>
        </w:rPr>
      </w:pPr>
      <w:bookmarkStart w:id="16" w:name="_Toc256506482"/>
      <w:r>
        <w:rPr>
          <w:rFonts w:hint="eastAsia" w:ascii="Times New Roman" w:hAnsi="新宋体" w:eastAsia="新宋体" w:cs="Times New Roman"/>
          <w:sz w:val="21"/>
          <w:szCs w:val="21"/>
        </w:rPr>
        <w:t>表3  厦工转债发行概况</w:t>
      </w:r>
      <w:bookmarkEnd w:id="16"/>
    </w:p>
    <w:p w14:paraId="28D4BC3D">
      <w:pPr>
        <w:jc w:val="center"/>
        <w:rPr>
          <w:rFonts w:hint="eastAsia"/>
        </w:rPr>
      </w:pPr>
      <w:r>
        <w:rPr>
          <w:rFonts w:hint="eastAsia"/>
          <w:szCs w:val="21"/>
        </w:rPr>
        <w:t>Table 3</w:t>
      </w:r>
      <w:r>
        <w:rPr>
          <w:rFonts w:hint="eastAsia"/>
        </w:rPr>
        <w:t xml:space="preserve">  </w:t>
      </w:r>
      <w:r>
        <w:t xml:space="preserve">Issue </w:t>
      </w:r>
      <w:r>
        <w:rPr>
          <w:rFonts w:hint="eastAsia"/>
        </w:rPr>
        <w:t>o</w:t>
      </w:r>
      <w:r>
        <w:t>verview</w:t>
      </w:r>
      <w:r>
        <w:rPr>
          <w:rFonts w:hint="eastAsia"/>
        </w:rPr>
        <w:t xml:space="preserve"> of </w:t>
      </w:r>
      <w:r>
        <w:t>“</w:t>
      </w:r>
      <w:r>
        <w:rPr>
          <w:rFonts w:hint="eastAsia"/>
        </w:rPr>
        <w:t xml:space="preserve">Xiagong </w:t>
      </w:r>
      <w:r>
        <w:t>convertible bond”</w:t>
      </w:r>
    </w:p>
    <w:tbl>
      <w:tblPr>
        <w:tblStyle w:val="1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0"/>
        <w:gridCol w:w="1096"/>
        <w:gridCol w:w="1019"/>
        <w:gridCol w:w="3039"/>
        <w:gridCol w:w="1418"/>
      </w:tblGrid>
      <w:tr w14:paraId="208DF4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4" w:type="pct"/>
            <w:vAlign w:val="center"/>
          </w:tcPr>
          <w:p w14:paraId="04463134">
            <w:pPr>
              <w:rPr>
                <w:rFonts w:hint="eastAsia"/>
                <w:sz w:val="18"/>
                <w:szCs w:val="18"/>
              </w:rPr>
            </w:pPr>
            <w:r>
              <w:rPr>
                <w:rFonts w:hint="eastAsia"/>
                <w:sz w:val="18"/>
                <w:szCs w:val="18"/>
              </w:rPr>
              <w:t>发行人</w:t>
            </w:r>
          </w:p>
        </w:tc>
        <w:tc>
          <w:tcPr>
            <w:tcW w:w="643" w:type="pct"/>
            <w:vAlign w:val="center"/>
          </w:tcPr>
          <w:p w14:paraId="13DA3E7B">
            <w:pPr>
              <w:rPr>
                <w:rFonts w:hint="eastAsia"/>
                <w:sz w:val="18"/>
                <w:szCs w:val="18"/>
              </w:rPr>
            </w:pPr>
            <w:r>
              <w:rPr>
                <w:rFonts w:hint="eastAsia"/>
                <w:sz w:val="18"/>
                <w:szCs w:val="18"/>
              </w:rPr>
              <w:t>债券总额</w:t>
            </w:r>
          </w:p>
        </w:tc>
        <w:tc>
          <w:tcPr>
            <w:tcW w:w="598" w:type="pct"/>
            <w:vAlign w:val="center"/>
          </w:tcPr>
          <w:p w14:paraId="369BBD11">
            <w:pPr>
              <w:rPr>
                <w:rFonts w:hint="eastAsia"/>
                <w:sz w:val="18"/>
                <w:szCs w:val="18"/>
              </w:rPr>
            </w:pPr>
            <w:r>
              <w:rPr>
                <w:rFonts w:hint="eastAsia"/>
                <w:sz w:val="18"/>
                <w:szCs w:val="18"/>
              </w:rPr>
              <w:t>债券期限</w:t>
            </w:r>
          </w:p>
        </w:tc>
        <w:tc>
          <w:tcPr>
            <w:tcW w:w="1783" w:type="pct"/>
            <w:vAlign w:val="center"/>
          </w:tcPr>
          <w:p w14:paraId="0FB0FA7D">
            <w:pPr>
              <w:rPr>
                <w:rFonts w:hint="eastAsia"/>
                <w:sz w:val="18"/>
                <w:szCs w:val="18"/>
              </w:rPr>
            </w:pPr>
            <w:r>
              <w:rPr>
                <w:rFonts w:hint="eastAsia"/>
                <w:sz w:val="18"/>
                <w:szCs w:val="18"/>
              </w:rPr>
              <w:t>发行利率</w:t>
            </w:r>
          </w:p>
        </w:tc>
        <w:tc>
          <w:tcPr>
            <w:tcW w:w="832" w:type="pct"/>
            <w:vAlign w:val="center"/>
          </w:tcPr>
          <w:p w14:paraId="13864190">
            <w:pPr>
              <w:rPr>
                <w:rFonts w:hint="eastAsia"/>
                <w:sz w:val="18"/>
                <w:szCs w:val="18"/>
              </w:rPr>
            </w:pPr>
            <w:r>
              <w:rPr>
                <w:rFonts w:hint="eastAsia"/>
                <w:sz w:val="18"/>
                <w:szCs w:val="18"/>
              </w:rPr>
              <w:t>发行人主体信用等级</w:t>
            </w:r>
          </w:p>
        </w:tc>
      </w:tr>
      <w:tr w14:paraId="3A1BEA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4" w:type="pct"/>
            <w:vAlign w:val="center"/>
          </w:tcPr>
          <w:p w14:paraId="00FBCF20">
            <w:pPr>
              <w:rPr>
                <w:sz w:val="18"/>
                <w:szCs w:val="18"/>
              </w:rPr>
            </w:pPr>
            <w:r>
              <w:rPr>
                <w:rFonts w:hint="eastAsia"/>
                <w:sz w:val="18"/>
                <w:szCs w:val="18"/>
              </w:rPr>
              <w:t>厦门厦工机械股份有限公司</w:t>
            </w:r>
          </w:p>
        </w:tc>
        <w:tc>
          <w:tcPr>
            <w:tcW w:w="643" w:type="pct"/>
            <w:vAlign w:val="center"/>
          </w:tcPr>
          <w:p w14:paraId="5745A9DC">
            <w:pPr>
              <w:rPr>
                <w:sz w:val="18"/>
                <w:szCs w:val="18"/>
              </w:rPr>
            </w:pPr>
            <w:r>
              <w:rPr>
                <w:rFonts w:hint="eastAsia"/>
                <w:sz w:val="18"/>
                <w:szCs w:val="18"/>
              </w:rPr>
              <w:t>6亿元</w:t>
            </w:r>
          </w:p>
        </w:tc>
        <w:tc>
          <w:tcPr>
            <w:tcW w:w="598" w:type="pct"/>
            <w:vAlign w:val="center"/>
          </w:tcPr>
          <w:p w14:paraId="26922F59">
            <w:pPr>
              <w:rPr>
                <w:sz w:val="18"/>
                <w:szCs w:val="18"/>
              </w:rPr>
            </w:pPr>
            <w:r>
              <w:rPr>
                <w:rFonts w:hint="eastAsia"/>
                <w:sz w:val="18"/>
                <w:szCs w:val="18"/>
              </w:rPr>
              <w:t>5年</w:t>
            </w:r>
          </w:p>
        </w:tc>
        <w:tc>
          <w:tcPr>
            <w:tcW w:w="1783" w:type="pct"/>
            <w:vAlign w:val="center"/>
          </w:tcPr>
          <w:p w14:paraId="512F20C7">
            <w:pPr>
              <w:rPr>
                <w:sz w:val="18"/>
                <w:szCs w:val="18"/>
              </w:rPr>
            </w:pPr>
            <w:r>
              <w:rPr>
                <w:rFonts w:hint="eastAsia"/>
                <w:sz w:val="18"/>
                <w:szCs w:val="18"/>
              </w:rPr>
              <w:t>第一年1.2%，第二年1.5%，第三年1.8%，第四年2.1%，第五年2.4%</w:t>
            </w:r>
          </w:p>
        </w:tc>
        <w:tc>
          <w:tcPr>
            <w:tcW w:w="832" w:type="pct"/>
            <w:vAlign w:val="center"/>
          </w:tcPr>
          <w:p w14:paraId="18095C05">
            <w:pPr>
              <w:rPr>
                <w:rFonts w:hint="eastAsia"/>
                <w:sz w:val="18"/>
                <w:szCs w:val="18"/>
                <w:highlight w:val="yellow"/>
              </w:rPr>
            </w:pPr>
            <w:r>
              <w:rPr>
                <w:sz w:val="18"/>
                <w:szCs w:val="18"/>
              </w:rPr>
              <w:t>AA</w:t>
            </w:r>
          </w:p>
        </w:tc>
      </w:tr>
      <w:tr w14:paraId="5D2D1D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4" w:type="pct"/>
            <w:vAlign w:val="center"/>
          </w:tcPr>
          <w:p w14:paraId="5C041E63">
            <w:pPr>
              <w:rPr>
                <w:rFonts w:hint="eastAsia"/>
                <w:sz w:val="18"/>
                <w:szCs w:val="18"/>
              </w:rPr>
            </w:pPr>
            <w:r>
              <w:rPr>
                <w:rFonts w:hint="eastAsia"/>
                <w:sz w:val="18"/>
                <w:szCs w:val="18"/>
              </w:rPr>
              <w:t>担保人</w:t>
            </w:r>
          </w:p>
        </w:tc>
        <w:tc>
          <w:tcPr>
            <w:tcW w:w="643" w:type="pct"/>
            <w:vAlign w:val="center"/>
          </w:tcPr>
          <w:p w14:paraId="250EB341">
            <w:pPr>
              <w:rPr>
                <w:rFonts w:hint="eastAsia"/>
                <w:sz w:val="18"/>
                <w:szCs w:val="18"/>
              </w:rPr>
            </w:pPr>
            <w:r>
              <w:rPr>
                <w:rFonts w:hint="eastAsia"/>
                <w:sz w:val="18"/>
                <w:szCs w:val="18"/>
              </w:rPr>
              <w:t>担保人主体信用等级</w:t>
            </w:r>
          </w:p>
        </w:tc>
        <w:tc>
          <w:tcPr>
            <w:tcW w:w="598" w:type="pct"/>
            <w:vAlign w:val="center"/>
          </w:tcPr>
          <w:p w14:paraId="3FFF7EAF">
            <w:pPr>
              <w:rPr>
                <w:rFonts w:hint="eastAsia"/>
                <w:sz w:val="18"/>
                <w:szCs w:val="18"/>
              </w:rPr>
            </w:pPr>
            <w:r>
              <w:rPr>
                <w:rFonts w:hint="eastAsia"/>
                <w:sz w:val="18"/>
                <w:szCs w:val="18"/>
              </w:rPr>
              <w:t>债券信用等级</w:t>
            </w:r>
          </w:p>
        </w:tc>
        <w:tc>
          <w:tcPr>
            <w:tcW w:w="1783" w:type="pct"/>
            <w:vAlign w:val="center"/>
          </w:tcPr>
          <w:p w14:paraId="47ABD0A6">
            <w:pPr>
              <w:rPr>
                <w:rFonts w:hint="eastAsia"/>
                <w:sz w:val="18"/>
                <w:szCs w:val="18"/>
              </w:rPr>
            </w:pPr>
            <w:r>
              <w:rPr>
                <w:rFonts w:hint="eastAsia"/>
                <w:sz w:val="18"/>
                <w:szCs w:val="18"/>
              </w:rPr>
              <w:t>增信效果</w:t>
            </w:r>
          </w:p>
        </w:tc>
        <w:tc>
          <w:tcPr>
            <w:tcW w:w="832" w:type="pct"/>
            <w:vAlign w:val="center"/>
          </w:tcPr>
          <w:p w14:paraId="25703850">
            <w:pPr>
              <w:rPr>
                <w:rFonts w:hint="eastAsia"/>
                <w:sz w:val="18"/>
                <w:szCs w:val="18"/>
              </w:rPr>
            </w:pPr>
            <w:r>
              <w:rPr>
                <w:rFonts w:hint="eastAsia"/>
                <w:sz w:val="18"/>
                <w:szCs w:val="18"/>
              </w:rPr>
              <w:t>增信方式</w:t>
            </w:r>
          </w:p>
        </w:tc>
      </w:tr>
      <w:tr w14:paraId="49F4E9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4" w:type="pct"/>
            <w:vAlign w:val="center"/>
          </w:tcPr>
          <w:p w14:paraId="26E0A2F3">
            <w:pPr>
              <w:rPr>
                <w:rFonts w:hint="eastAsia"/>
                <w:sz w:val="18"/>
                <w:szCs w:val="18"/>
              </w:rPr>
            </w:pPr>
            <w:r>
              <w:rPr>
                <w:rFonts w:hint="eastAsia"/>
                <w:sz w:val="18"/>
                <w:szCs w:val="18"/>
              </w:rPr>
              <w:t>厦门机电集团有限公司</w:t>
            </w:r>
          </w:p>
        </w:tc>
        <w:tc>
          <w:tcPr>
            <w:tcW w:w="643" w:type="pct"/>
            <w:vAlign w:val="center"/>
          </w:tcPr>
          <w:p w14:paraId="12D80611">
            <w:pPr>
              <w:rPr>
                <w:rFonts w:hint="eastAsia"/>
                <w:sz w:val="18"/>
                <w:szCs w:val="18"/>
              </w:rPr>
            </w:pPr>
            <w:r>
              <w:rPr>
                <w:rFonts w:hint="eastAsia"/>
                <w:sz w:val="18"/>
                <w:szCs w:val="18"/>
              </w:rPr>
              <w:t>-</w:t>
            </w:r>
          </w:p>
        </w:tc>
        <w:tc>
          <w:tcPr>
            <w:tcW w:w="598" w:type="pct"/>
            <w:vAlign w:val="center"/>
          </w:tcPr>
          <w:p w14:paraId="046D8016">
            <w:pPr>
              <w:rPr>
                <w:rFonts w:hint="eastAsia"/>
                <w:sz w:val="18"/>
                <w:szCs w:val="18"/>
              </w:rPr>
            </w:pPr>
            <w:r>
              <w:rPr>
                <w:rFonts w:hint="eastAsia"/>
                <w:sz w:val="18"/>
                <w:szCs w:val="18"/>
              </w:rPr>
              <w:t>AA+</w:t>
            </w:r>
          </w:p>
        </w:tc>
        <w:tc>
          <w:tcPr>
            <w:tcW w:w="1783" w:type="pct"/>
            <w:vAlign w:val="center"/>
          </w:tcPr>
          <w:p w14:paraId="77D79186">
            <w:pPr>
              <w:ind w:firstLine="90" w:firstLineChars="50"/>
              <w:rPr>
                <w:rFonts w:hint="eastAsia"/>
                <w:sz w:val="18"/>
                <w:szCs w:val="18"/>
              </w:rPr>
            </w:pPr>
            <w:r>
              <w:rPr>
                <w:rFonts w:hint="eastAsia"/>
                <w:sz w:val="18"/>
                <w:szCs w:val="18"/>
              </w:rPr>
              <w:t>提高一个小级别，发行利率远低于同信用等级企业（公司）债券</w:t>
            </w:r>
          </w:p>
        </w:tc>
        <w:tc>
          <w:tcPr>
            <w:tcW w:w="832" w:type="pct"/>
            <w:vAlign w:val="center"/>
          </w:tcPr>
          <w:p w14:paraId="23F6B11A">
            <w:pPr>
              <w:rPr>
                <w:rFonts w:hint="eastAsia"/>
                <w:sz w:val="18"/>
                <w:szCs w:val="18"/>
              </w:rPr>
            </w:pPr>
            <w:r>
              <w:rPr>
                <w:rFonts w:hint="eastAsia"/>
                <w:sz w:val="18"/>
                <w:szCs w:val="18"/>
              </w:rPr>
              <w:t>内在含权设计，第三方担保</w:t>
            </w:r>
          </w:p>
        </w:tc>
      </w:tr>
    </w:tbl>
    <w:p w14:paraId="53BAD9AE">
      <w:pPr>
        <w:spacing w:before="312" w:beforeLines="100" w:line="440" w:lineRule="exact"/>
        <w:ind w:firstLine="420" w:firstLineChars="200"/>
        <w:rPr>
          <w:rFonts w:hint="eastAsia"/>
        </w:rPr>
      </w:pPr>
      <w:r>
        <w:rPr>
          <w:rFonts w:hint="eastAsia"/>
        </w:rPr>
        <w:t>“厦工转债”系由厦门厦工机械股份有限公司（以下简称“厦工股份”，股票代码：600815）于2009年8月28日发行的可转换公司债券，该债券发行规模为6亿元，发行期限为5年，转股期自可转债发行结束之日满6个月后的第一个交易日起至可转债到期日止。“厦工转债”票面利率为第一年1.2%、第二年为1.5%、第三年为1.8%、第四年为2.1%、第五年为2.4%。该期可转换公司债券主承销商为联合证券有限责任公司。</w:t>
      </w:r>
    </w:p>
    <w:p w14:paraId="423DD17C">
      <w:pPr>
        <w:spacing w:line="440" w:lineRule="exact"/>
        <w:ind w:firstLine="420" w:firstLineChars="200"/>
        <w:rPr>
          <w:rFonts w:hint="eastAsia"/>
        </w:rPr>
      </w:pPr>
      <w:r>
        <w:rPr>
          <w:rFonts w:hint="eastAsia"/>
        </w:rPr>
        <w:t>“厦工转债”附有回售条款和赎回条款。回售条款规定，在可转债转股期内，如果发行人股票收盘价连续30个交易日低于当期转股价格的70%时，可转债持有人有权将其持有的可转债全部或部分按面值的103%（含当期利息）的价格回售给发行人。赎回条款规定，在可转债转股期内，发行人股票任何连续30个交易日中至少20个交易日的收盘价不低于当期转股价格的130%，发行人有权决定按照债券面值的103%（含当期利息）的价格赎回全部或部分未转股的可转债。</w:t>
      </w:r>
    </w:p>
    <w:p w14:paraId="589A63C1">
      <w:pPr>
        <w:spacing w:line="440" w:lineRule="exact"/>
        <w:ind w:firstLine="420" w:firstLineChars="200"/>
        <w:rPr>
          <w:rFonts w:hint="eastAsia"/>
        </w:rPr>
      </w:pPr>
      <w:r>
        <w:rPr>
          <w:rFonts w:hint="eastAsia"/>
        </w:rPr>
        <w:t>厦工股份为我国工程机械行业骨干大型一类企业，主要从事装载机、挖掘机、叉车、小型机械、路面机械以及相关配件的生产和销售。截至2008年12月31日，厦工股份总资产为49.44亿元，总负债为31.48亿元，资产负债率为63.67%</w:t>
      </w:r>
      <w:r>
        <w:rPr>
          <w:rStyle w:val="20"/>
        </w:rPr>
        <w:footnoteReference w:id="2"/>
      </w:r>
      <w:r>
        <w:rPr>
          <w:rFonts w:hint="eastAsia"/>
        </w:rPr>
        <w:t>；2008年厦工股份实现营业收入58.91亿元，净利润2.17亿元，经营活动净现金流-5.04亿元。</w:t>
      </w:r>
    </w:p>
    <w:p w14:paraId="35F1B78F">
      <w:pPr>
        <w:spacing w:line="440" w:lineRule="exact"/>
        <w:ind w:firstLine="420" w:firstLineChars="200"/>
        <w:rPr>
          <w:rFonts w:hint="eastAsia"/>
        </w:rPr>
      </w:pPr>
      <w:r>
        <w:t>经</w:t>
      </w:r>
      <w:r>
        <w:rPr>
          <w:rFonts w:hint="eastAsia"/>
        </w:rPr>
        <w:t>鹏元</w:t>
      </w:r>
      <w:r>
        <w:t>资信评估有限公司综合评定，</w:t>
      </w:r>
      <w:r>
        <w:rPr>
          <w:rFonts w:hint="eastAsia"/>
        </w:rPr>
        <w:t>厦工股份</w:t>
      </w:r>
      <w:r>
        <w:t>长期主体信用等级为AA。</w:t>
      </w:r>
      <w:r>
        <w:rPr>
          <w:rFonts w:hint="eastAsia"/>
        </w:rPr>
        <w:t>“厦工转债”采取了第三方担保的增信方式，厦工股份实际控制人厦门机电集团有限公司（以下简称“厦门机电”）为该期债券提供全额不可撤消连带责任保证担保。</w:t>
      </w:r>
    </w:p>
    <w:p w14:paraId="151BB7A0">
      <w:pPr>
        <w:spacing w:line="440" w:lineRule="exact"/>
        <w:ind w:firstLine="420" w:firstLineChars="200"/>
        <w:rPr>
          <w:rFonts w:hint="eastAsia"/>
        </w:rPr>
      </w:pPr>
      <w:r>
        <w:rPr>
          <w:rFonts w:hint="eastAsia"/>
        </w:rPr>
        <w:t>厦门机电是厦门市国资委全资企业和厦门市直管的十家大型国有集团之一，旗下有商业运输设备（工程机械与客车）、贸易、地产和投资四大事业领域，2007年厦门机电位列福建省企业集团100强第2位，中国企业500强第217位。厦门机电拥有包括上市公司厦工股份和金龙汽车在内的全资、控参股企业30多家。截至2008年12月31日，厦工机电总资产为104.65亿元，总负债为67.70亿元；2008年营业收入96.04亿元，利润总额2.70亿元，经营活动净现金流为1.02亿元。</w:t>
      </w:r>
    </w:p>
    <w:p w14:paraId="63604453">
      <w:pPr>
        <w:spacing w:line="440" w:lineRule="exact"/>
        <w:ind w:firstLine="420" w:firstLineChars="200"/>
        <w:rPr>
          <w:rFonts w:hint="eastAsia"/>
        </w:rPr>
      </w:pPr>
      <w:r>
        <w:t>经</w:t>
      </w:r>
      <w:r>
        <w:rPr>
          <w:rFonts w:hint="eastAsia"/>
        </w:rPr>
        <w:t>鹏元</w:t>
      </w:r>
      <w:r>
        <w:t>资信评估有限公司</w:t>
      </w:r>
      <w:r>
        <w:rPr>
          <w:rFonts w:hint="eastAsia"/>
        </w:rPr>
        <w:t>最终</w:t>
      </w:r>
      <w:r>
        <w:t>评定</w:t>
      </w:r>
      <w:r>
        <w:rPr>
          <w:rFonts w:hint="eastAsia"/>
        </w:rPr>
        <w:t>，“厦工转债”债券信用等级为AA+。</w:t>
      </w:r>
    </w:p>
    <w:p w14:paraId="0BA6616A">
      <w:pPr>
        <w:spacing w:line="440" w:lineRule="exact"/>
        <w:ind w:firstLine="420" w:firstLineChars="200"/>
        <w:rPr>
          <w:rFonts w:hint="eastAsia"/>
        </w:rPr>
      </w:pPr>
      <w:r>
        <w:rPr>
          <w:rFonts w:hint="eastAsia"/>
        </w:rPr>
        <w:t>比较“厦工转债”和“王府转债”，两者发行时间比较接近，基准利率水平相同，虽然“厦工转债”债券信用等级高于“王府转债”，但“厦工转债”发行利率却高于“王府转债”，这说明决定可转换公司债券发行利率的最主要因素并不是债券信用等级，而是其内在含权设计的有效性，这也是可转换公司债券发行利率远低于一般企业（公司）债券的重要原因之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14:paraId="27A3CCF5">
      <w:pPr>
        <w:pStyle w:val="15"/>
        <w:rPr>
          <w:rFonts w:hint="eastAsia"/>
        </w:rPr>
      </w:pPr>
      <w:r>
        <w:rPr>
          <w:rStyle w:val="20"/>
        </w:rPr>
        <w:footnoteRef/>
      </w:r>
      <w:r>
        <w:t xml:space="preserve"> </w:t>
      </w:r>
      <w:r>
        <w:rPr>
          <w:rFonts w:hint="eastAsia"/>
        </w:rPr>
        <w:t xml:space="preserve"> 摘自发行过程中相关中介机构的材料。</w:t>
      </w:r>
    </w:p>
  </w:footnote>
  <w:footnote w:id="1">
    <w:p w14:paraId="51FAA161">
      <w:pPr>
        <w:pStyle w:val="15"/>
        <w:rPr>
          <w:rFonts w:hint="eastAsia"/>
        </w:rPr>
      </w:pPr>
      <w:r>
        <w:rPr>
          <w:rStyle w:val="20"/>
        </w:rPr>
        <w:footnoteRef/>
      </w:r>
      <w:r>
        <w:t xml:space="preserve"> </w:t>
      </w:r>
      <w:r>
        <w:rPr>
          <w:rFonts w:hint="eastAsia"/>
        </w:rPr>
        <w:t xml:space="preserve"> 摘自发行过程中相关中介机构的材料。</w:t>
      </w:r>
    </w:p>
  </w:footnote>
  <w:footnote w:id="2">
    <w:p w14:paraId="170DDFEE">
      <w:pPr>
        <w:pStyle w:val="15"/>
        <w:rPr>
          <w:rFonts w:hint="eastAsia"/>
        </w:rPr>
      </w:pPr>
      <w:r>
        <w:rPr>
          <w:rStyle w:val="20"/>
        </w:rPr>
        <w:footnoteRef/>
      </w:r>
      <w:r>
        <w:t xml:space="preserve"> </w:t>
      </w:r>
      <w:r>
        <w:rPr>
          <w:rFonts w:hint="eastAsia"/>
        </w:rPr>
        <w:t xml:space="preserve"> 摘自发行过程中相关中介机构的材料。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B68"/>
    <w:rsid w:val="00040B68"/>
    <w:rsid w:val="000972A9"/>
    <w:rsid w:val="00C7398C"/>
    <w:rsid w:val="00F900CB"/>
    <w:rsid w:val="00FE1250"/>
    <w:rsid w:val="6B24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3"/>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8"/>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85858" w:themeColor="text1" w:themeTint="A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footnote text"/>
    <w:basedOn w:val="1"/>
    <w:link w:val="44"/>
    <w:semiHidden/>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footnote reference"/>
    <w:semiHidden/>
    <w:qFormat/>
    <w:uiPriority w:val="0"/>
    <w:rPr>
      <w:vertAlign w:val="superscript"/>
    </w:rPr>
  </w:style>
  <w:style w:type="character" w:customStyle="1" w:styleId="21">
    <w:name w:val="标题 1 字符"/>
    <w:basedOn w:val="19"/>
    <w:link w:val="2"/>
    <w:qFormat/>
    <w:uiPriority w:val="9"/>
    <w:rPr>
      <w:rFonts w:asciiTheme="majorHAnsi" w:hAnsiTheme="majorHAnsi" w:eastAsiaTheme="majorEastAsia" w:cstheme="majorBidi"/>
      <w:color w:val="366091"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4">
    <w:name w:val="标题 4 字符"/>
    <w:basedOn w:val="19"/>
    <w:link w:val="5"/>
    <w:semiHidden/>
    <w:qFormat/>
    <w:uiPriority w:val="9"/>
    <w:rPr>
      <w:rFonts w:cstheme="majorBidi"/>
      <w:color w:val="366091" w:themeColor="accent1" w:themeShade="BF"/>
      <w:sz w:val="28"/>
      <w:szCs w:val="28"/>
    </w:rPr>
  </w:style>
  <w:style w:type="character" w:customStyle="1" w:styleId="25">
    <w:name w:val="标题 5 字符"/>
    <w:basedOn w:val="19"/>
    <w:link w:val="6"/>
    <w:semiHidden/>
    <w:qFormat/>
    <w:uiPriority w:val="9"/>
    <w:rPr>
      <w:rFonts w:cstheme="majorBidi"/>
      <w:color w:val="366091" w:themeColor="accent1" w:themeShade="BF"/>
      <w:sz w:val="24"/>
      <w:szCs w:val="24"/>
    </w:rPr>
  </w:style>
  <w:style w:type="character" w:customStyle="1" w:styleId="26">
    <w:name w:val="标题 6 字符"/>
    <w:basedOn w:val="19"/>
    <w:link w:val="7"/>
    <w:semiHidden/>
    <w:qFormat/>
    <w:uiPriority w:val="9"/>
    <w:rPr>
      <w:rFonts w:cstheme="majorBidi"/>
      <w:b/>
      <w:bCs/>
      <w:color w:val="366091" w:themeColor="accent1" w:themeShade="BF"/>
    </w:rPr>
  </w:style>
  <w:style w:type="character" w:customStyle="1" w:styleId="27">
    <w:name w:val="标题 7 字符"/>
    <w:basedOn w:val="19"/>
    <w:link w:val="8"/>
    <w:semiHidden/>
    <w:qFormat/>
    <w:uiPriority w:val="9"/>
    <w:rPr>
      <w:rFonts w:cstheme="majorBidi"/>
      <w:b/>
      <w:bCs/>
      <w:color w:val="585858" w:themeColor="text1" w:themeTint="A6"/>
    </w:rPr>
  </w:style>
  <w:style w:type="character" w:customStyle="1" w:styleId="28">
    <w:name w:val="标题 8 字符"/>
    <w:basedOn w:val="19"/>
    <w:link w:val="9"/>
    <w:semiHidden/>
    <w:qFormat/>
    <w:uiPriority w:val="9"/>
    <w:rPr>
      <w:rFonts w:cstheme="majorBidi"/>
      <w:color w:val="585858" w:themeColor="text1" w:themeTint="A6"/>
    </w:rPr>
  </w:style>
  <w:style w:type="character" w:customStyle="1" w:styleId="29">
    <w:name w:val="标题 9 字符"/>
    <w:basedOn w:val="19"/>
    <w:link w:val="10"/>
    <w:semiHidden/>
    <w:qFormat/>
    <w:uiPriority w:val="9"/>
    <w:rPr>
      <w:rFonts w:eastAsiaTheme="majorEastAsia" w:cstheme="majorBidi"/>
      <w:color w:val="585858" w:themeColor="text1" w:themeTint="A6"/>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85858" w:themeColor="text1" w:themeTint="A6"/>
      <w:spacing w:val="15"/>
      <w:sz w:val="28"/>
      <w:szCs w:val="28"/>
    </w:rPr>
  </w:style>
  <w:style w:type="paragraph" w:styleId="32">
    <w:name w:val="Quote"/>
    <w:basedOn w:val="1"/>
    <w:next w:val="1"/>
    <w:link w:val="33"/>
    <w:qFormat/>
    <w:uiPriority w:val="29"/>
    <w:pPr>
      <w:spacing w:before="160" w:after="160"/>
      <w:jc w:val="center"/>
    </w:pPr>
    <w:rPr>
      <w:i/>
      <w:iCs/>
      <w:color w:val="3F3F3F" w:themeColor="text1" w:themeTint="BF"/>
    </w:rPr>
  </w:style>
  <w:style w:type="character" w:customStyle="1" w:styleId="33">
    <w:name w:val="引用 字符"/>
    <w:basedOn w:val="19"/>
    <w:link w:val="32"/>
    <w:qFormat/>
    <w:uiPriority w:val="29"/>
    <w:rPr>
      <w:i/>
      <w:iCs/>
      <w:color w:val="3F3F3F" w:themeColor="text1" w:themeTint="BF"/>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366091"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7">
    <w:name w:val="明显引用 字符"/>
    <w:basedOn w:val="19"/>
    <w:link w:val="36"/>
    <w:qFormat/>
    <w:uiPriority w:val="30"/>
    <w:rPr>
      <w:i/>
      <w:iCs/>
      <w:color w:val="366091" w:themeColor="accent1" w:themeShade="BF"/>
    </w:rPr>
  </w:style>
  <w:style w:type="character" w:customStyle="1" w:styleId="38">
    <w:name w:val="Intense Reference"/>
    <w:basedOn w:val="19"/>
    <w:qFormat/>
    <w:uiPriority w:val="32"/>
    <w:rPr>
      <w:b/>
      <w:bCs/>
      <w:smallCaps/>
      <w:color w:val="366091" w:themeColor="accent1" w:themeShade="BF"/>
      <w:spacing w:val="5"/>
    </w:rPr>
  </w:style>
  <w:style w:type="character" w:customStyle="1" w:styleId="39">
    <w:name w:val="标题 2 Char"/>
    <w:qFormat/>
    <w:uiPriority w:val="0"/>
    <w:rPr>
      <w:rFonts w:ascii="Arial" w:hAnsi="Arial" w:eastAsia="黑体"/>
      <w:b/>
      <w:bCs/>
      <w:kern w:val="2"/>
      <w:sz w:val="32"/>
      <w:szCs w:val="32"/>
    </w:rPr>
  </w:style>
  <w:style w:type="character" w:customStyle="1" w:styleId="40">
    <w:name w:val="标题 3 Char"/>
    <w:qFormat/>
    <w:uiPriority w:val="0"/>
    <w:rPr>
      <w:b/>
      <w:bCs/>
      <w:kern w:val="2"/>
      <w:sz w:val="32"/>
      <w:szCs w:val="32"/>
    </w:rPr>
  </w:style>
  <w:style w:type="character" w:customStyle="1" w:styleId="41">
    <w:name w:val="页眉 字符"/>
    <w:basedOn w:val="19"/>
    <w:link w:val="13"/>
    <w:qFormat/>
    <w:uiPriority w:val="99"/>
    <w:rPr>
      <w:rFonts w:ascii="Times New Roman" w:hAnsi="Times New Roman" w:eastAsia="宋体" w:cs="Times New Roman"/>
      <w:sz w:val="18"/>
      <w:szCs w:val="18"/>
    </w:rPr>
  </w:style>
  <w:style w:type="character" w:customStyle="1" w:styleId="42">
    <w:name w:val="页脚 字符"/>
    <w:basedOn w:val="19"/>
    <w:link w:val="12"/>
    <w:qFormat/>
    <w:uiPriority w:val="99"/>
    <w:rPr>
      <w:rFonts w:ascii="Times New Roman" w:hAnsi="Times New Roman" w:eastAsia="宋体" w:cs="Times New Roman"/>
      <w:sz w:val="18"/>
      <w:szCs w:val="18"/>
    </w:rPr>
  </w:style>
  <w:style w:type="character" w:customStyle="1" w:styleId="43">
    <w:name w:val="脚注文本 字符"/>
    <w:basedOn w:val="19"/>
    <w:semiHidden/>
    <w:qFormat/>
    <w:uiPriority w:val="99"/>
    <w:rPr>
      <w:rFonts w:ascii="Times New Roman" w:hAnsi="Times New Roman" w:eastAsia="宋体" w:cs="Times New Roman"/>
      <w:sz w:val="18"/>
      <w:szCs w:val="18"/>
    </w:rPr>
  </w:style>
  <w:style w:type="character" w:customStyle="1" w:styleId="44">
    <w:name w:val="脚注文本 Char"/>
    <w:link w:val="15"/>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8178</Words>
  <Characters>8689</Characters>
  <Lines>63</Lines>
  <Paragraphs>17</Paragraphs>
  <TotalTime>4</TotalTime>
  <ScaleCrop>false</ScaleCrop>
  <LinksUpToDate>false</LinksUpToDate>
  <CharactersWithSpaces>8752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2025-10-21T08:25:00Z</dcterms:created>
  <dc:creator>lenovo</dc:creator>
  <cp:lastModifiedBy>User</cp:lastModifiedBy>
  <dcterms:modified xsi:type="dcterms:W3CDTF">2025-10-22T06:42:12Z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8121230A8BD045E38E7DD5EC61678C58_12</vt:lpwstr>
  </property>
</Properties>
</file>