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EBB0C">
      <w:pPr>
        <w:pStyle w:val="3"/>
        <w:adjustRightInd w:val="0"/>
        <w:spacing w:before="156" w:beforeLines="50" w:after="156" w:afterLines="50" w:line="440" w:lineRule="exact"/>
        <w:jc w:val="center"/>
        <w:rPr>
          <w:rFonts w:ascii="黑体" w:hAnsi="Times New Roman" w:eastAsia="黑体" w:cs="Times New Roman"/>
          <w:bCs/>
          <w:color w:val="auto"/>
          <w:sz w:val="44"/>
          <w:szCs w:val="44"/>
        </w:rPr>
      </w:pPr>
      <w:bookmarkStart w:id="0" w:name="_Toc238267503"/>
      <w:bookmarkStart w:id="1" w:name="_Toc247869830"/>
      <w:bookmarkStart w:id="2" w:name="_Toc256506265"/>
      <w:bookmarkStart w:id="3" w:name="_Toc239689211"/>
      <w:bookmarkStart w:id="4" w:name="_Toc238701428"/>
      <w:bookmarkStart w:id="20" w:name="_GoBack"/>
      <w:r>
        <w:rPr>
          <w:rFonts w:ascii="黑体" w:hAnsi="Times New Roman" w:eastAsia="黑体" w:cs="Times New Roman"/>
          <w:bCs/>
          <w:color w:val="auto"/>
          <w:sz w:val="44"/>
          <w:szCs w:val="44"/>
        </w:rPr>
        <w:t>美国债券市场</w:t>
      </w:r>
      <w:r>
        <w:rPr>
          <w:rFonts w:hint="eastAsia" w:ascii="黑体" w:hAnsi="Times New Roman" w:eastAsia="黑体" w:cs="Times New Roman"/>
          <w:bCs/>
          <w:color w:val="auto"/>
          <w:sz w:val="44"/>
          <w:szCs w:val="44"/>
          <w:lang w:val="en-US" w:eastAsia="zh-CN"/>
        </w:rPr>
        <w:t>基础</w:t>
      </w:r>
      <w:r>
        <w:rPr>
          <w:rFonts w:ascii="黑体" w:hAnsi="Times New Roman" w:eastAsia="黑体" w:cs="Times New Roman"/>
          <w:bCs/>
          <w:color w:val="auto"/>
          <w:sz w:val="44"/>
          <w:szCs w:val="44"/>
        </w:rPr>
        <w:t>研究</w:t>
      </w:r>
      <w:bookmarkEnd w:id="20"/>
    </w:p>
    <w:p w14:paraId="709D661D">
      <w:pPr>
        <w:rPr>
          <w:rFonts w:hint="eastAsia"/>
        </w:rPr>
      </w:pPr>
    </w:p>
    <w:p w14:paraId="34CD58B8">
      <w:pPr>
        <w:spacing w:line="440" w:lineRule="exact"/>
        <w:outlineLvl w:val="3"/>
        <w:rPr>
          <w:rFonts w:ascii="黑体" w:hAnsi="宋体" w:eastAsia="黑体"/>
          <w:sz w:val="24"/>
        </w:rPr>
      </w:pPr>
      <w:r>
        <w:rPr>
          <w:rFonts w:hint="eastAsia" w:ascii="黑体" w:hAnsi="宋体" w:eastAsia="黑体"/>
          <w:sz w:val="24"/>
        </w:rPr>
        <w:t>一、</w:t>
      </w:r>
      <w:r>
        <w:rPr>
          <w:rFonts w:ascii="黑体" w:hAnsi="宋体" w:eastAsia="黑体"/>
          <w:sz w:val="24"/>
        </w:rPr>
        <w:t>美国债券市场发展及现状</w:t>
      </w:r>
      <w:bookmarkEnd w:id="0"/>
      <w:bookmarkEnd w:id="1"/>
      <w:bookmarkEnd w:id="2"/>
      <w:bookmarkEnd w:id="3"/>
      <w:bookmarkEnd w:id="4"/>
    </w:p>
    <w:p w14:paraId="44D166A2">
      <w:pPr>
        <w:spacing w:line="440" w:lineRule="exact"/>
        <w:ind w:firstLine="480" w:firstLineChars="200"/>
        <w:rPr>
          <w:sz w:val="24"/>
        </w:rPr>
      </w:pPr>
      <w:r>
        <w:rPr>
          <w:sz w:val="24"/>
        </w:rPr>
        <w:t>美国债券市场是世界上历史最悠久的债券市场之一，其发展</w:t>
      </w:r>
      <w:r>
        <w:rPr>
          <w:rFonts w:hint="eastAsia"/>
          <w:sz w:val="24"/>
        </w:rPr>
        <w:t>可</w:t>
      </w:r>
      <w:r>
        <w:rPr>
          <w:sz w:val="24"/>
        </w:rPr>
        <w:t>追溯到1792 年</w:t>
      </w:r>
      <w:r>
        <w:rPr>
          <w:rFonts w:hint="eastAsia"/>
          <w:sz w:val="24"/>
        </w:rPr>
        <w:t>。</w:t>
      </w:r>
      <w:r>
        <w:rPr>
          <w:sz w:val="24"/>
        </w:rPr>
        <w:t>当时，为了方便政府债券的销售和交易，美国成立了纽约股票交易所。随着股票发行量和交易量的增加，债券逐渐</w:t>
      </w:r>
      <w:r>
        <w:rPr>
          <w:rFonts w:hint="eastAsia"/>
          <w:sz w:val="24"/>
        </w:rPr>
        <w:t>脱离</w:t>
      </w:r>
      <w:r>
        <w:rPr>
          <w:sz w:val="24"/>
        </w:rPr>
        <w:t>交易所市场。到19世纪和20 世纪</w:t>
      </w:r>
      <w:r>
        <w:rPr>
          <w:rFonts w:hint="eastAsia"/>
          <w:sz w:val="24"/>
        </w:rPr>
        <w:t>中期</w:t>
      </w:r>
      <w:r>
        <w:rPr>
          <w:sz w:val="24"/>
        </w:rPr>
        <w:t>，债券的销售主要依靠华尔街雇佣的销售员挨家挨户地推销，债券的交易转向了场外市场，但因为大多数债券投资者为了获得稳定的利息回报都采取购买并持有的投资策略，交易极其不活跃。20 世纪70 年代的两次石油危机及其引发的一系列经济和金融体制变化刺激了债券的交易，利率市场化、金融自由化和金融全球化迅速发展，这使得大量企业</w:t>
      </w:r>
      <w:r>
        <w:rPr>
          <w:rFonts w:hint="eastAsia"/>
          <w:sz w:val="24"/>
        </w:rPr>
        <w:t>和</w:t>
      </w:r>
      <w:r>
        <w:rPr>
          <w:sz w:val="24"/>
        </w:rPr>
        <w:t>地方政府开始主要依靠债券市场、而不是银行贷款来获得直接的债务性资金，债券发行规模迅速增长。</w:t>
      </w:r>
    </w:p>
    <w:p w14:paraId="305B1BE3">
      <w:pPr>
        <w:spacing w:after="156" w:afterLines="50" w:line="440" w:lineRule="exact"/>
        <w:ind w:firstLine="480" w:firstLineChars="200"/>
        <w:rPr>
          <w:kern w:val="0"/>
          <w:sz w:val="24"/>
        </w:rPr>
      </w:pPr>
      <w:r>
        <w:rPr>
          <w:rFonts w:hint="eastAsia"/>
          <w:sz w:val="24"/>
        </w:rPr>
        <w:t>目前，</w:t>
      </w:r>
      <w:r>
        <w:rPr>
          <w:sz w:val="24"/>
        </w:rPr>
        <w:t>美国债券市场</w:t>
      </w:r>
      <w:r>
        <w:rPr>
          <w:rFonts w:hint="eastAsia"/>
          <w:sz w:val="24"/>
        </w:rPr>
        <w:t>已</w:t>
      </w:r>
      <w:r>
        <w:rPr>
          <w:sz w:val="24"/>
        </w:rPr>
        <w:t>发展成为全球</w:t>
      </w:r>
      <w:r>
        <w:rPr>
          <w:rFonts w:hint="eastAsia"/>
          <w:sz w:val="24"/>
        </w:rPr>
        <w:t>最</w:t>
      </w:r>
      <w:r>
        <w:rPr>
          <w:sz w:val="24"/>
        </w:rPr>
        <w:t>重要</w:t>
      </w:r>
      <w:r>
        <w:rPr>
          <w:rFonts w:hint="eastAsia" w:ascii="宋体" w:hAnsi="宋体" w:cs="宋体"/>
          <w:sz w:val="24"/>
        </w:rPr>
        <w:t>的</w:t>
      </w:r>
      <w:r>
        <w:rPr>
          <w:sz w:val="24"/>
        </w:rPr>
        <w:t>资本市场，债券已成为美国政府和企业最重要的融资工具之一</w:t>
      </w:r>
      <w:r>
        <w:rPr>
          <w:rFonts w:hint="eastAsia"/>
          <w:sz w:val="24"/>
        </w:rPr>
        <w:t>。从图5.1和图5.2可以看到，</w:t>
      </w:r>
      <w:r>
        <w:rPr>
          <w:sz w:val="24"/>
        </w:rPr>
        <w:t>截至2008年</w:t>
      </w:r>
      <w:r>
        <w:rPr>
          <w:rFonts w:hint="eastAsia"/>
          <w:sz w:val="24"/>
        </w:rPr>
        <w:t>末</w:t>
      </w:r>
      <w:r>
        <w:rPr>
          <w:sz w:val="24"/>
        </w:rPr>
        <w:t>，美国债券市场余额（不含</w:t>
      </w:r>
      <w:r>
        <w:rPr>
          <w:rFonts w:hint="eastAsia"/>
          <w:sz w:val="24"/>
        </w:rPr>
        <w:t>资产</w:t>
      </w:r>
      <w:r>
        <w:rPr>
          <w:sz w:val="24"/>
        </w:rPr>
        <w:t>证券化产品）已达24.62万亿美元，</w:t>
      </w:r>
      <w:r>
        <w:rPr>
          <w:rFonts w:eastAsia="新宋体"/>
          <w:sz w:val="24"/>
        </w:rPr>
        <w:t>占全球债券市场规模的40%以上</w:t>
      </w:r>
      <w:r>
        <w:rPr>
          <w:rFonts w:hint="eastAsia" w:eastAsia="新宋体"/>
          <w:sz w:val="24"/>
        </w:rPr>
        <w:t>，其中</w:t>
      </w:r>
      <w:r>
        <w:rPr>
          <w:kern w:val="0"/>
          <w:sz w:val="24"/>
        </w:rPr>
        <w:t>政府债券、金融机构债券和公司债券余额分别为7.89万亿美元、13.82万亿美元和2.91万亿美元</w:t>
      </w:r>
      <w:r>
        <w:rPr>
          <w:sz w:val="24"/>
        </w:rPr>
        <w:t>；抵押支持证券和资产支持证券市场规模分别达8.90万亿美元和2.67万亿美元。从二级市场的交易看，美国债券二级市场是以场外交易为主的交易市场，自由的交易模式和双边报价商制度给市场带来了活跃的氛围和良好的流动性。</w:t>
      </w:r>
      <w:r>
        <w:rPr>
          <w:rFonts w:hint="eastAsia"/>
          <w:sz w:val="24"/>
        </w:rPr>
        <w:t>通常而言，</w:t>
      </w:r>
      <w:r>
        <w:rPr>
          <w:sz w:val="24"/>
        </w:rPr>
        <w:t>债券余额与GDP的比值是衡量一国债券市场规模及活跃度的重要指标</w:t>
      </w:r>
      <w:r>
        <w:rPr>
          <w:rFonts w:hint="eastAsia"/>
          <w:sz w:val="24"/>
        </w:rPr>
        <w:t>。</w:t>
      </w:r>
      <w:r>
        <w:rPr>
          <w:sz w:val="24"/>
        </w:rPr>
        <w:t>从图</w:t>
      </w:r>
      <w:r>
        <w:rPr>
          <w:rFonts w:hint="eastAsia"/>
          <w:sz w:val="24"/>
        </w:rPr>
        <w:t>5</w:t>
      </w:r>
      <w:r>
        <w:rPr>
          <w:sz w:val="24"/>
        </w:rPr>
        <w:t>.3中可以看到，美国债券市场余额与GDP的比值处于较高水平，且一直呈现稳步增长趋势，2008年达到</w:t>
      </w:r>
      <w:r>
        <w:rPr>
          <w:rFonts w:hint="eastAsia"/>
          <w:sz w:val="24"/>
        </w:rPr>
        <w:t>253.71</w:t>
      </w:r>
      <w:r>
        <w:rPr>
          <w:sz w:val="24"/>
        </w:rPr>
        <w:t>%，表明美国债券市场</w:t>
      </w:r>
      <w:r>
        <w:rPr>
          <w:rFonts w:hint="eastAsia"/>
          <w:sz w:val="24"/>
        </w:rPr>
        <w:t>很</w:t>
      </w:r>
      <w:r>
        <w:rPr>
          <w:sz w:val="24"/>
        </w:rPr>
        <w:t>活跃。</w:t>
      </w:r>
    </w:p>
    <w:p w14:paraId="32498E6F">
      <w:pPr>
        <w:keepNext/>
        <w:spacing w:line="360" w:lineRule="auto"/>
      </w:pPr>
      <w:r>
        <w:drawing>
          <wp:inline distT="0" distB="0" distL="0" distR="0">
            <wp:extent cx="5270500" cy="2673350"/>
            <wp:effectExtent l="0" t="0" r="0" b="0"/>
            <wp:docPr id="69032100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21008" name="图片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673350"/>
                    </a:xfrm>
                    <a:prstGeom prst="rect">
                      <a:avLst/>
                    </a:prstGeom>
                    <a:noFill/>
                    <a:ln>
                      <a:noFill/>
                    </a:ln>
                  </pic:spPr>
                </pic:pic>
              </a:graphicData>
            </a:graphic>
          </wp:inline>
        </w:drawing>
      </w:r>
    </w:p>
    <w:p w14:paraId="4AEA104A">
      <w:pPr>
        <w:jc w:val="center"/>
        <w:rPr>
          <w:rFonts w:hint="eastAsia" w:eastAsia="新宋体"/>
          <w:kern w:val="0"/>
          <w:szCs w:val="21"/>
        </w:rPr>
      </w:pPr>
      <w:bookmarkStart w:id="5" w:name="_Toc246337928"/>
      <w:bookmarkStart w:id="6" w:name="_Toc256507065"/>
      <w:bookmarkStart w:id="7" w:name="_Toc246425444"/>
      <w:r>
        <w:rPr>
          <w:rFonts w:hint="eastAsia" w:eastAsia="新宋体"/>
          <w:kern w:val="0"/>
          <w:szCs w:val="21"/>
        </w:rPr>
        <w:t>图5.</w:t>
      </w:r>
      <w:r>
        <w:rPr>
          <w:rFonts w:eastAsia="新宋体"/>
          <w:kern w:val="0"/>
          <w:szCs w:val="21"/>
        </w:rPr>
        <w:fldChar w:fldCharType="begin"/>
      </w:r>
      <w:r>
        <w:rPr>
          <w:rFonts w:eastAsia="新宋体"/>
          <w:kern w:val="0"/>
          <w:szCs w:val="21"/>
        </w:rPr>
        <w:instrText xml:space="preserve"> </w:instrText>
      </w:r>
      <w:r>
        <w:rPr>
          <w:rFonts w:hint="eastAsia" w:eastAsia="新宋体"/>
          <w:kern w:val="0"/>
          <w:szCs w:val="21"/>
        </w:rPr>
        <w:instrText xml:space="preserve">SEQ 图5. \* ARABIC</w:instrText>
      </w:r>
      <w:r>
        <w:rPr>
          <w:rFonts w:eastAsia="新宋体"/>
          <w:kern w:val="0"/>
          <w:szCs w:val="21"/>
        </w:rPr>
        <w:instrText xml:space="preserve"> </w:instrText>
      </w:r>
      <w:r>
        <w:rPr>
          <w:rFonts w:eastAsia="新宋体"/>
          <w:kern w:val="0"/>
          <w:szCs w:val="21"/>
        </w:rPr>
        <w:fldChar w:fldCharType="separate"/>
      </w:r>
      <w:r>
        <w:rPr>
          <w:rFonts w:eastAsia="新宋体"/>
          <w:kern w:val="0"/>
          <w:szCs w:val="21"/>
        </w:rPr>
        <w:t>1</w:t>
      </w:r>
      <w:r>
        <w:rPr>
          <w:rFonts w:eastAsia="新宋体"/>
          <w:kern w:val="0"/>
          <w:szCs w:val="21"/>
        </w:rPr>
        <w:fldChar w:fldCharType="end"/>
      </w:r>
      <w:r>
        <w:rPr>
          <w:rFonts w:hint="eastAsia" w:eastAsia="新宋体"/>
          <w:kern w:val="0"/>
          <w:szCs w:val="21"/>
        </w:rPr>
        <w:t xml:space="preserve">  1996-2008年美国债券市场结构</w:t>
      </w:r>
      <w:bookmarkEnd w:id="5"/>
      <w:r>
        <w:rPr>
          <w:rFonts w:hint="eastAsia" w:eastAsia="新宋体"/>
          <w:kern w:val="0"/>
          <w:szCs w:val="21"/>
        </w:rPr>
        <w:t>（单位：10亿美元）</w:t>
      </w:r>
      <w:bookmarkEnd w:id="6"/>
      <w:bookmarkEnd w:id="7"/>
    </w:p>
    <w:p w14:paraId="107FCA2B">
      <w:pPr>
        <w:jc w:val="center"/>
        <w:rPr>
          <w:rFonts w:hint="eastAsia" w:eastAsia="新宋体"/>
          <w:szCs w:val="21"/>
        </w:rPr>
      </w:pPr>
      <w:r>
        <w:rPr>
          <w:rFonts w:hint="eastAsia" w:eastAsia="新宋体"/>
          <w:szCs w:val="21"/>
        </w:rPr>
        <w:t xml:space="preserve">Figure 5.1  </w:t>
      </w:r>
      <w:r>
        <w:rPr>
          <w:rFonts w:eastAsia="新宋体"/>
          <w:szCs w:val="21"/>
        </w:rPr>
        <w:t>Structure</w:t>
      </w:r>
      <w:r>
        <w:rPr>
          <w:rFonts w:hint="eastAsia" w:eastAsia="新宋体"/>
          <w:szCs w:val="21"/>
        </w:rPr>
        <w:t xml:space="preserve"> of </w:t>
      </w:r>
      <w:r>
        <w:rPr>
          <w:rFonts w:eastAsia="新宋体"/>
          <w:szCs w:val="21"/>
        </w:rPr>
        <w:t>American</w:t>
      </w:r>
      <w:r>
        <w:rPr>
          <w:rFonts w:hint="eastAsia" w:eastAsia="新宋体"/>
          <w:szCs w:val="21"/>
        </w:rPr>
        <w:t xml:space="preserve"> bond market from 1996 to 2008  (Unit: billion dollar)</w:t>
      </w:r>
    </w:p>
    <w:p w14:paraId="117B7A96">
      <w:pPr>
        <w:ind w:firstLine="360" w:firstLineChars="200"/>
        <w:rPr>
          <w:rStyle w:val="38"/>
          <w:b w:val="0"/>
          <w:bCs w:val="0"/>
          <w:sz w:val="18"/>
          <w:szCs w:val="18"/>
        </w:rPr>
      </w:pPr>
      <w:r>
        <w:rPr>
          <w:rStyle w:val="38"/>
          <w:b w:val="0"/>
          <w:bCs w:val="0"/>
          <w:sz w:val="18"/>
          <w:szCs w:val="18"/>
        </w:rPr>
        <w:t>注：不含</w:t>
      </w:r>
      <w:r>
        <w:rPr>
          <w:sz w:val="18"/>
          <w:szCs w:val="18"/>
        </w:rPr>
        <w:t>抵押支持证券和资产支持证券</w:t>
      </w:r>
    </w:p>
    <w:p w14:paraId="491A915A">
      <w:pPr>
        <w:spacing w:after="156" w:afterLines="50"/>
        <w:ind w:firstLine="360" w:firstLineChars="200"/>
        <w:rPr>
          <w:rStyle w:val="38"/>
          <w:b w:val="0"/>
          <w:bCs w:val="0"/>
          <w:sz w:val="18"/>
          <w:szCs w:val="18"/>
        </w:rPr>
      </w:pPr>
      <w:r>
        <w:rPr>
          <w:rStyle w:val="38"/>
          <w:b w:val="0"/>
          <w:bCs w:val="0"/>
          <w:sz w:val="18"/>
          <w:szCs w:val="18"/>
        </w:rPr>
        <w:t>数据来源：The Bank for International Settlements</w:t>
      </w:r>
    </w:p>
    <w:p w14:paraId="1B4700C4">
      <w:pPr>
        <w:keepNext/>
      </w:pPr>
      <w:r>
        <w:rPr>
          <w:rStyle w:val="38"/>
          <w:b w:val="0"/>
          <w:bCs w:val="0"/>
        </w:rPr>
        <w:drawing>
          <wp:inline distT="0" distB="0" distL="0" distR="0">
            <wp:extent cx="5270500" cy="2673350"/>
            <wp:effectExtent l="0" t="0" r="0" b="0"/>
            <wp:docPr id="170277469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74690"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0500" cy="2673350"/>
                    </a:xfrm>
                    <a:prstGeom prst="rect">
                      <a:avLst/>
                    </a:prstGeom>
                    <a:noFill/>
                    <a:ln>
                      <a:noFill/>
                    </a:ln>
                  </pic:spPr>
                </pic:pic>
              </a:graphicData>
            </a:graphic>
          </wp:inline>
        </w:drawing>
      </w:r>
    </w:p>
    <w:p w14:paraId="0DF5153B">
      <w:pPr>
        <w:jc w:val="center"/>
        <w:rPr>
          <w:rStyle w:val="38"/>
          <w:rFonts w:hint="eastAsia"/>
          <w:b w:val="0"/>
        </w:rPr>
      </w:pPr>
      <w:bookmarkStart w:id="8" w:name="_Toc246425445"/>
      <w:bookmarkStart w:id="9" w:name="_Toc256507066"/>
      <w:bookmarkStart w:id="10" w:name="_Toc246337929"/>
      <w:r>
        <w:rPr>
          <w:rStyle w:val="38"/>
          <w:rFonts w:hint="eastAsia"/>
          <w:b w:val="0"/>
        </w:rPr>
        <w:t>图5.</w:t>
      </w:r>
      <w:r>
        <w:rPr>
          <w:rStyle w:val="38"/>
          <w:b w:val="0"/>
        </w:rPr>
        <w:fldChar w:fldCharType="begin"/>
      </w:r>
      <w:r>
        <w:rPr>
          <w:rStyle w:val="38"/>
          <w:b w:val="0"/>
        </w:rPr>
        <w:instrText xml:space="preserve"> </w:instrText>
      </w:r>
      <w:r>
        <w:rPr>
          <w:rStyle w:val="38"/>
          <w:rFonts w:hint="eastAsia"/>
          <w:b w:val="0"/>
        </w:rPr>
        <w:instrText xml:space="preserve">SEQ 图5. \* ARABIC</w:instrText>
      </w:r>
      <w:r>
        <w:rPr>
          <w:rStyle w:val="38"/>
          <w:b w:val="0"/>
        </w:rPr>
        <w:instrText xml:space="preserve"> </w:instrText>
      </w:r>
      <w:r>
        <w:rPr>
          <w:rStyle w:val="38"/>
          <w:b w:val="0"/>
        </w:rPr>
        <w:fldChar w:fldCharType="separate"/>
      </w:r>
      <w:r>
        <w:rPr>
          <w:rStyle w:val="38"/>
          <w:b w:val="0"/>
        </w:rPr>
        <w:t>2</w:t>
      </w:r>
      <w:r>
        <w:rPr>
          <w:rStyle w:val="38"/>
          <w:b w:val="0"/>
        </w:rPr>
        <w:fldChar w:fldCharType="end"/>
      </w:r>
      <w:r>
        <w:rPr>
          <w:rStyle w:val="38"/>
          <w:rFonts w:hint="eastAsia"/>
          <w:b w:val="0"/>
        </w:rPr>
        <w:t xml:space="preserve">  1996-2008年美国抵押支持证券和资产支持证券余额情况（单位：10亿美元）</w:t>
      </w:r>
      <w:bookmarkEnd w:id="8"/>
      <w:bookmarkEnd w:id="9"/>
      <w:bookmarkEnd w:id="10"/>
    </w:p>
    <w:p w14:paraId="0E3C2A7D">
      <w:pPr>
        <w:jc w:val="center"/>
        <w:rPr>
          <w:rFonts w:hint="eastAsia" w:eastAsia="新宋体"/>
          <w:szCs w:val="21"/>
        </w:rPr>
      </w:pPr>
      <w:r>
        <w:rPr>
          <w:rFonts w:hint="eastAsia" w:eastAsia="新宋体"/>
          <w:szCs w:val="21"/>
        </w:rPr>
        <w:t>Figure 5.2  The b</w:t>
      </w:r>
      <w:r>
        <w:rPr>
          <w:rFonts w:eastAsia="新宋体"/>
          <w:szCs w:val="21"/>
        </w:rPr>
        <w:t>alance</w:t>
      </w:r>
      <w:r>
        <w:rPr>
          <w:rFonts w:hint="eastAsia" w:eastAsia="新宋体"/>
          <w:szCs w:val="21"/>
        </w:rPr>
        <w:t xml:space="preserve"> of </w:t>
      </w:r>
      <w:r>
        <w:rPr>
          <w:rFonts w:eastAsia="新宋体"/>
          <w:szCs w:val="21"/>
        </w:rPr>
        <w:t>American</w:t>
      </w:r>
      <w:r>
        <w:rPr>
          <w:rFonts w:hint="eastAsia" w:eastAsia="新宋体"/>
          <w:szCs w:val="21"/>
        </w:rPr>
        <w:t xml:space="preserve"> </w:t>
      </w:r>
      <w:r>
        <w:rPr>
          <w:rFonts w:eastAsia="新宋体"/>
          <w:szCs w:val="21"/>
        </w:rPr>
        <w:t>Mortgage-Backed Securities</w:t>
      </w:r>
      <w:r>
        <w:rPr>
          <w:rFonts w:hint="eastAsia" w:eastAsia="新宋体"/>
          <w:szCs w:val="21"/>
        </w:rPr>
        <w:t xml:space="preserve"> and </w:t>
      </w:r>
      <w:r>
        <w:rPr>
          <w:rFonts w:eastAsia="新宋体"/>
          <w:szCs w:val="21"/>
        </w:rPr>
        <w:t>Asset Backed Securities</w:t>
      </w:r>
    </w:p>
    <w:p w14:paraId="3536BDC6">
      <w:pPr>
        <w:jc w:val="center"/>
        <w:rPr>
          <w:rFonts w:hint="eastAsia" w:eastAsia="新宋体"/>
          <w:szCs w:val="21"/>
        </w:rPr>
      </w:pPr>
      <w:r>
        <w:rPr>
          <w:rFonts w:hint="eastAsia" w:eastAsia="新宋体"/>
          <w:szCs w:val="21"/>
        </w:rPr>
        <w:t xml:space="preserve"> from 1996 to 2008  (Unit: billion dollar)</w:t>
      </w:r>
    </w:p>
    <w:p w14:paraId="101B2FE5">
      <w:pPr>
        <w:spacing w:after="312" w:afterLines="100"/>
        <w:ind w:firstLine="176" w:firstLineChars="98"/>
        <w:rPr>
          <w:rFonts w:eastAsia="新宋体"/>
          <w:kern w:val="0"/>
          <w:sz w:val="18"/>
          <w:szCs w:val="18"/>
        </w:rPr>
      </w:pPr>
      <w:r>
        <w:rPr>
          <w:rFonts w:eastAsia="新宋体"/>
          <w:kern w:val="0"/>
          <w:sz w:val="18"/>
          <w:szCs w:val="18"/>
        </w:rPr>
        <w:t>资料来源：</w:t>
      </w:r>
      <w:r>
        <w:rPr>
          <w:rFonts w:hint="eastAsia" w:eastAsia="新宋体"/>
          <w:kern w:val="0"/>
          <w:sz w:val="18"/>
          <w:szCs w:val="18"/>
        </w:rPr>
        <w:t>Securities Industry and Financial Markets Association</w:t>
      </w:r>
    </w:p>
    <w:p w14:paraId="7E092B4B">
      <w:pPr>
        <w:keepNext/>
        <w:jc w:val="center"/>
      </w:pPr>
      <w:r>
        <w:rPr>
          <w:rStyle w:val="38"/>
          <w:b w:val="0"/>
          <w:bCs w:val="0"/>
        </w:rPr>
        <w:drawing>
          <wp:inline distT="0" distB="0" distL="0" distR="0">
            <wp:extent cx="5270500" cy="2552700"/>
            <wp:effectExtent l="0" t="0" r="0" b="0"/>
            <wp:docPr id="76657335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73350" name="图片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2552700"/>
                    </a:xfrm>
                    <a:prstGeom prst="rect">
                      <a:avLst/>
                    </a:prstGeom>
                    <a:noFill/>
                    <a:ln>
                      <a:noFill/>
                    </a:ln>
                  </pic:spPr>
                </pic:pic>
              </a:graphicData>
            </a:graphic>
          </wp:inline>
        </w:drawing>
      </w:r>
    </w:p>
    <w:p w14:paraId="40CEEAE9">
      <w:pPr>
        <w:ind w:firstLine="420" w:firstLineChars="200"/>
        <w:jc w:val="center"/>
        <w:rPr>
          <w:rStyle w:val="38"/>
          <w:rFonts w:hint="eastAsia"/>
          <w:b w:val="0"/>
        </w:rPr>
      </w:pPr>
      <w:bookmarkStart w:id="11" w:name="_Toc246337930"/>
      <w:bookmarkStart w:id="12" w:name="_Toc246425446"/>
      <w:bookmarkStart w:id="13" w:name="_Toc256507067"/>
      <w:r>
        <w:rPr>
          <w:rStyle w:val="38"/>
          <w:rFonts w:hint="eastAsia"/>
          <w:b w:val="0"/>
        </w:rPr>
        <w:t>图5.</w:t>
      </w:r>
      <w:r>
        <w:rPr>
          <w:rStyle w:val="38"/>
          <w:b w:val="0"/>
        </w:rPr>
        <w:fldChar w:fldCharType="begin"/>
      </w:r>
      <w:r>
        <w:rPr>
          <w:rStyle w:val="38"/>
          <w:b w:val="0"/>
        </w:rPr>
        <w:instrText xml:space="preserve"> </w:instrText>
      </w:r>
      <w:r>
        <w:rPr>
          <w:rStyle w:val="38"/>
          <w:rFonts w:hint="eastAsia"/>
          <w:b w:val="0"/>
        </w:rPr>
        <w:instrText xml:space="preserve">SEQ 图5. \* ARABIC</w:instrText>
      </w:r>
      <w:r>
        <w:rPr>
          <w:rStyle w:val="38"/>
          <w:b w:val="0"/>
        </w:rPr>
        <w:instrText xml:space="preserve"> </w:instrText>
      </w:r>
      <w:r>
        <w:rPr>
          <w:rStyle w:val="38"/>
          <w:b w:val="0"/>
        </w:rPr>
        <w:fldChar w:fldCharType="separate"/>
      </w:r>
      <w:r>
        <w:rPr>
          <w:rStyle w:val="38"/>
          <w:b w:val="0"/>
        </w:rPr>
        <w:t>3</w:t>
      </w:r>
      <w:r>
        <w:rPr>
          <w:rStyle w:val="38"/>
          <w:b w:val="0"/>
        </w:rPr>
        <w:fldChar w:fldCharType="end"/>
      </w:r>
      <w:r>
        <w:rPr>
          <w:rStyle w:val="38"/>
          <w:rFonts w:hint="eastAsia"/>
          <w:b w:val="0"/>
        </w:rPr>
        <w:t xml:space="preserve">  2000-2008年美国债券余额占GDP比重情况</w:t>
      </w:r>
      <w:bookmarkEnd w:id="11"/>
      <w:bookmarkEnd w:id="12"/>
      <w:bookmarkEnd w:id="13"/>
    </w:p>
    <w:p w14:paraId="5D16C07D">
      <w:pPr>
        <w:jc w:val="center"/>
        <w:rPr>
          <w:rStyle w:val="38"/>
          <w:rFonts w:hint="eastAsia"/>
          <w:b w:val="0"/>
          <w:bCs w:val="0"/>
        </w:rPr>
      </w:pPr>
      <w:r>
        <w:rPr>
          <w:rFonts w:hint="eastAsia" w:eastAsia="新宋体"/>
          <w:szCs w:val="21"/>
        </w:rPr>
        <w:t xml:space="preserve">Figure 5.3  Proportions of the balance of </w:t>
      </w:r>
      <w:r>
        <w:rPr>
          <w:rFonts w:eastAsia="新宋体"/>
          <w:szCs w:val="21"/>
        </w:rPr>
        <w:t>American</w:t>
      </w:r>
      <w:r>
        <w:rPr>
          <w:rFonts w:hint="eastAsia" w:eastAsia="新宋体"/>
          <w:szCs w:val="21"/>
        </w:rPr>
        <w:t xml:space="preserve"> bonds to GDP from 2000 to 2008</w:t>
      </w:r>
    </w:p>
    <w:p w14:paraId="4CE35F10">
      <w:pPr>
        <w:spacing w:after="156" w:afterLines="50"/>
        <w:ind w:firstLine="360" w:firstLineChars="200"/>
        <w:rPr>
          <w:rFonts w:hint="eastAsia"/>
          <w:sz w:val="18"/>
          <w:szCs w:val="18"/>
        </w:rPr>
      </w:pPr>
      <w:r>
        <w:rPr>
          <w:rStyle w:val="38"/>
          <w:b w:val="0"/>
          <w:bCs w:val="0"/>
          <w:sz w:val="18"/>
          <w:szCs w:val="18"/>
        </w:rPr>
        <w:t>数据来源：The Bank for International Settlements，</w:t>
      </w:r>
      <w:r>
        <w:rPr>
          <w:rFonts w:hint="eastAsia" w:eastAsia="新宋体"/>
          <w:kern w:val="0"/>
          <w:sz w:val="18"/>
          <w:szCs w:val="18"/>
        </w:rPr>
        <w:t>Securities Industry and Financial Markets Association</w:t>
      </w:r>
      <w:r>
        <w:rPr>
          <w:sz w:val="18"/>
          <w:szCs w:val="18"/>
        </w:rPr>
        <w:t xml:space="preserve"> </w:t>
      </w:r>
      <w:r>
        <w:rPr>
          <w:rFonts w:hint="eastAsia"/>
          <w:sz w:val="18"/>
          <w:szCs w:val="18"/>
        </w:rPr>
        <w:t>，</w:t>
      </w:r>
      <w:r>
        <w:rPr>
          <w:sz w:val="18"/>
          <w:szCs w:val="18"/>
        </w:rPr>
        <w:t xml:space="preserve">The World Bank </w:t>
      </w:r>
    </w:p>
    <w:p w14:paraId="49C2D8FB">
      <w:pPr>
        <w:rPr>
          <w:rFonts w:hint="eastAsia"/>
        </w:rPr>
      </w:pPr>
      <w:r>
        <w:drawing>
          <wp:inline distT="0" distB="0" distL="0" distR="0">
            <wp:extent cx="5029200" cy="2514600"/>
            <wp:effectExtent l="0" t="0" r="0" b="0"/>
            <wp:docPr id="204664679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46795" name="图片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29200" cy="2514600"/>
                    </a:xfrm>
                    <a:prstGeom prst="rect">
                      <a:avLst/>
                    </a:prstGeom>
                    <a:noFill/>
                    <a:ln>
                      <a:noFill/>
                    </a:ln>
                  </pic:spPr>
                </pic:pic>
              </a:graphicData>
            </a:graphic>
          </wp:inline>
        </w:drawing>
      </w:r>
    </w:p>
    <w:p w14:paraId="530AEBCD">
      <w:pPr>
        <w:keepNext/>
        <w:jc w:val="center"/>
        <w:rPr>
          <w:rFonts w:hint="eastAsia"/>
          <w:szCs w:val="21"/>
        </w:rPr>
      </w:pPr>
      <w:bookmarkStart w:id="14" w:name="_Toc256507068"/>
      <w:r>
        <w:rPr>
          <w:rFonts w:hint="eastAsia"/>
          <w:szCs w:val="21"/>
        </w:rPr>
        <w:t>图5.</w:t>
      </w:r>
      <w:r>
        <w:rPr>
          <w:szCs w:val="21"/>
        </w:rPr>
        <w:fldChar w:fldCharType="begin"/>
      </w:r>
      <w:r>
        <w:rPr>
          <w:szCs w:val="21"/>
        </w:rPr>
        <w:instrText xml:space="preserve"> </w:instrText>
      </w:r>
      <w:r>
        <w:rPr>
          <w:rFonts w:hint="eastAsia"/>
          <w:szCs w:val="21"/>
        </w:rPr>
        <w:instrText xml:space="preserve">SEQ 图5. \* ARABIC</w:instrText>
      </w:r>
      <w:r>
        <w:rPr>
          <w:szCs w:val="21"/>
        </w:rPr>
        <w:instrText xml:space="preserve"> </w:instrText>
      </w:r>
      <w:r>
        <w:rPr>
          <w:szCs w:val="21"/>
        </w:rPr>
        <w:fldChar w:fldCharType="separate"/>
      </w:r>
      <w:r>
        <w:rPr>
          <w:szCs w:val="21"/>
        </w:rPr>
        <w:t>4</w:t>
      </w:r>
      <w:r>
        <w:rPr>
          <w:szCs w:val="21"/>
        </w:rPr>
        <w:fldChar w:fldCharType="end"/>
      </w:r>
      <w:r>
        <w:rPr>
          <w:rFonts w:hint="eastAsia"/>
          <w:szCs w:val="21"/>
        </w:rPr>
        <w:t xml:space="preserve">  美国债券市场投资者结构</w:t>
      </w:r>
      <w:bookmarkEnd w:id="14"/>
    </w:p>
    <w:p w14:paraId="6504F069">
      <w:pPr>
        <w:jc w:val="center"/>
        <w:rPr>
          <w:rFonts w:hint="eastAsia"/>
          <w:szCs w:val="21"/>
        </w:rPr>
      </w:pPr>
      <w:r>
        <w:rPr>
          <w:rFonts w:hint="eastAsia"/>
          <w:szCs w:val="21"/>
        </w:rPr>
        <w:t xml:space="preserve">Figure 5.4  Investors </w:t>
      </w:r>
      <w:r>
        <w:rPr>
          <w:szCs w:val="21"/>
        </w:rPr>
        <w:t>structure</w:t>
      </w:r>
      <w:r>
        <w:rPr>
          <w:rFonts w:hint="eastAsia"/>
          <w:szCs w:val="21"/>
        </w:rPr>
        <w:t xml:space="preserve"> of American bond market</w:t>
      </w:r>
    </w:p>
    <w:p w14:paraId="0987DD4A">
      <w:pPr>
        <w:rPr>
          <w:rFonts w:hint="eastAsia"/>
          <w:sz w:val="18"/>
          <w:szCs w:val="18"/>
        </w:rPr>
      </w:pPr>
      <w:r>
        <w:rPr>
          <w:rFonts w:hint="eastAsia"/>
          <w:sz w:val="18"/>
          <w:szCs w:val="18"/>
        </w:rPr>
        <w:t>数据来源：冯光华. 中国债券市场发展问题研究[M]，北京：中国金融出版社，2008，49-49.</w:t>
      </w:r>
    </w:p>
    <w:p w14:paraId="3C411E00">
      <w:pPr>
        <w:spacing w:line="440" w:lineRule="exact"/>
        <w:outlineLvl w:val="3"/>
        <w:rPr>
          <w:rFonts w:hint="eastAsia" w:ascii="黑体" w:hAnsi="宋体" w:eastAsia="黑体"/>
          <w:sz w:val="24"/>
        </w:rPr>
      </w:pPr>
      <w:bookmarkStart w:id="15" w:name="_Toc238701429"/>
      <w:bookmarkStart w:id="16" w:name="_Toc239689212"/>
      <w:bookmarkStart w:id="17" w:name="_Toc247869831"/>
      <w:bookmarkStart w:id="18" w:name="_Toc238267504"/>
      <w:bookmarkStart w:id="19" w:name="_Toc256506266"/>
      <w:r>
        <w:rPr>
          <w:rFonts w:hint="eastAsia" w:ascii="黑体" w:hAnsi="宋体" w:eastAsia="黑体"/>
          <w:sz w:val="24"/>
        </w:rPr>
        <w:t>二、</w:t>
      </w:r>
      <w:r>
        <w:rPr>
          <w:rFonts w:ascii="黑体" w:hAnsi="宋体" w:eastAsia="黑体"/>
          <w:sz w:val="24"/>
        </w:rPr>
        <w:t>法律制度环境</w:t>
      </w:r>
      <w:bookmarkEnd w:id="15"/>
      <w:bookmarkEnd w:id="16"/>
      <w:bookmarkEnd w:id="17"/>
      <w:bookmarkEnd w:id="18"/>
      <w:bookmarkEnd w:id="19"/>
    </w:p>
    <w:p w14:paraId="2928AFBB">
      <w:pPr>
        <w:spacing w:line="440" w:lineRule="exact"/>
        <w:ind w:firstLine="480" w:firstLineChars="200"/>
        <w:outlineLvl w:val="3"/>
        <w:rPr>
          <w:rFonts w:hint="eastAsia" w:ascii="黑体" w:eastAsia="黑体"/>
          <w:sz w:val="24"/>
        </w:rPr>
      </w:pPr>
      <w:r>
        <w:rPr>
          <w:rFonts w:hint="eastAsia" w:ascii="黑体" w:eastAsia="黑体"/>
          <w:sz w:val="24"/>
        </w:rPr>
        <w:t>1.证券市场法律制度环境</w:t>
      </w:r>
    </w:p>
    <w:p w14:paraId="18EA6896">
      <w:pPr>
        <w:spacing w:line="440" w:lineRule="exact"/>
        <w:ind w:firstLine="480" w:firstLineChars="200"/>
        <w:rPr>
          <w:rFonts w:eastAsia="新宋体"/>
          <w:sz w:val="24"/>
        </w:rPr>
      </w:pPr>
      <w:r>
        <w:rPr>
          <w:rFonts w:eastAsia="新宋体"/>
          <w:sz w:val="24"/>
        </w:rPr>
        <w:t>美国债券市场监管形成了较完善的法律法规体系，这一体系主要分为三个层次：一是联邦政府制定的法规；二是各州制定的法规；三是证券交易所和证券业协会制定的自律性规章。在这三个层次中，</w:t>
      </w:r>
      <w:r>
        <w:rPr>
          <w:rFonts w:hint="eastAsia" w:eastAsia="新宋体"/>
          <w:sz w:val="24"/>
        </w:rPr>
        <w:t>又</w:t>
      </w:r>
      <w:r>
        <w:rPr>
          <w:rFonts w:eastAsia="新宋体"/>
          <w:sz w:val="24"/>
        </w:rPr>
        <w:t>以美国联邦政府制定的法规为主。</w:t>
      </w:r>
      <w:r>
        <w:rPr>
          <w:rFonts w:hint="eastAsia" w:eastAsia="新宋体"/>
          <w:sz w:val="24"/>
        </w:rPr>
        <w:t>这些法律法规</w:t>
      </w:r>
      <w:r>
        <w:rPr>
          <w:rFonts w:eastAsia="新宋体"/>
          <w:sz w:val="24"/>
        </w:rPr>
        <w:t>从发行</w:t>
      </w:r>
      <w:r>
        <w:rPr>
          <w:rFonts w:hint="eastAsia" w:eastAsia="新宋体"/>
          <w:sz w:val="24"/>
        </w:rPr>
        <w:t>和</w:t>
      </w:r>
      <w:r>
        <w:rPr>
          <w:rFonts w:eastAsia="新宋体"/>
          <w:sz w:val="24"/>
        </w:rPr>
        <w:t>交易等方面对债券市场发展进行规范，为债券市场的健康运行提供了制度保障。</w:t>
      </w:r>
    </w:p>
    <w:p w14:paraId="73BAF930">
      <w:pPr>
        <w:spacing w:line="440" w:lineRule="exact"/>
        <w:ind w:firstLine="480" w:firstLineChars="200"/>
        <w:rPr>
          <w:rFonts w:hint="eastAsia" w:eastAsia="新宋体"/>
          <w:sz w:val="24"/>
        </w:rPr>
      </w:pPr>
      <w:r>
        <w:rPr>
          <w:rFonts w:eastAsia="新宋体"/>
          <w:sz w:val="24"/>
        </w:rPr>
        <w:t>（1）《1933 年证券法》</w:t>
      </w:r>
      <w:r>
        <w:rPr>
          <w:rFonts w:hint="eastAsia" w:eastAsia="新宋体"/>
          <w:sz w:val="24"/>
        </w:rPr>
        <w:t>（Securities Act of 1933）</w:t>
      </w:r>
    </w:p>
    <w:p w14:paraId="66F69734">
      <w:pPr>
        <w:spacing w:line="440" w:lineRule="exact"/>
        <w:ind w:firstLine="480" w:firstLineChars="200"/>
        <w:rPr>
          <w:rFonts w:hint="eastAsia" w:eastAsia="新宋体"/>
          <w:sz w:val="24"/>
        </w:rPr>
      </w:pPr>
      <w:r>
        <w:rPr>
          <w:rFonts w:eastAsia="新宋体"/>
          <w:sz w:val="24"/>
        </w:rPr>
        <w:t>该法是联邦政府对金融市场实施管理的最主要的法律依据。主要适用于证券的发行，即证券的销售。该法要求发行公司向投资者提供有关信息资料同时将注册证券的财务情况公诸于众</w:t>
      </w:r>
      <w:r>
        <w:rPr>
          <w:rFonts w:hint="eastAsia" w:eastAsia="新宋体"/>
          <w:sz w:val="24"/>
        </w:rPr>
        <w:t>，以</w:t>
      </w:r>
      <w:r>
        <w:rPr>
          <w:rFonts w:eastAsia="新宋体"/>
          <w:sz w:val="24"/>
        </w:rPr>
        <w:t>防止证券</w:t>
      </w:r>
      <w:r>
        <w:rPr>
          <w:rFonts w:hint="eastAsia" w:eastAsia="新宋体"/>
          <w:sz w:val="24"/>
        </w:rPr>
        <w:t>发行</w:t>
      </w:r>
      <w:r>
        <w:rPr>
          <w:rFonts w:eastAsia="新宋体"/>
          <w:sz w:val="24"/>
        </w:rPr>
        <w:t>中的歪曲陈述、欺骗诱哄及其他欺诈行为</w:t>
      </w:r>
      <w:r>
        <w:rPr>
          <w:rFonts w:hint="eastAsia" w:eastAsia="新宋体"/>
          <w:sz w:val="24"/>
        </w:rPr>
        <w:t>。</w:t>
      </w:r>
    </w:p>
    <w:p w14:paraId="1D138DF8">
      <w:pPr>
        <w:spacing w:line="440" w:lineRule="exact"/>
        <w:ind w:firstLine="480" w:firstLineChars="200"/>
        <w:rPr>
          <w:rFonts w:hint="eastAsia" w:eastAsia="新宋体"/>
          <w:sz w:val="24"/>
        </w:rPr>
      </w:pPr>
      <w:r>
        <w:rPr>
          <w:rFonts w:eastAsia="新宋体"/>
          <w:sz w:val="24"/>
        </w:rPr>
        <w:t>（2）《1934 年证券交易法》</w:t>
      </w:r>
      <w:r>
        <w:rPr>
          <w:rFonts w:hint="eastAsia" w:eastAsia="新宋体"/>
          <w:sz w:val="24"/>
        </w:rPr>
        <w:t>（Securities Exchange Act of 1934）</w:t>
      </w:r>
    </w:p>
    <w:p w14:paraId="123A2209">
      <w:pPr>
        <w:spacing w:line="440" w:lineRule="exact"/>
        <w:ind w:firstLine="480" w:firstLineChars="200"/>
        <w:rPr>
          <w:rFonts w:eastAsia="新宋体"/>
          <w:sz w:val="24"/>
        </w:rPr>
      </w:pPr>
      <w:r>
        <w:rPr>
          <w:rFonts w:eastAsia="新宋体"/>
          <w:sz w:val="24"/>
        </w:rPr>
        <w:t>该法是一部侧重于管理证券市场的法规，要求所有在全国各交易中心进行的债券交易必须在联邦证券交易委员会登记注册</w:t>
      </w:r>
      <w:r>
        <w:rPr>
          <w:rFonts w:hint="eastAsia" w:eastAsia="新宋体"/>
          <w:sz w:val="24"/>
        </w:rPr>
        <w:t>，从而</w:t>
      </w:r>
      <w:r>
        <w:rPr>
          <w:rFonts w:eastAsia="新宋体"/>
          <w:sz w:val="24"/>
        </w:rPr>
        <w:t>将保护投资者</w:t>
      </w:r>
      <w:r>
        <w:rPr>
          <w:rFonts w:hint="eastAsia" w:eastAsia="新宋体"/>
          <w:sz w:val="24"/>
        </w:rPr>
        <w:t>“</w:t>
      </w:r>
      <w:r>
        <w:rPr>
          <w:rFonts w:eastAsia="新宋体"/>
          <w:sz w:val="24"/>
        </w:rPr>
        <w:t>充分信息</w:t>
      </w:r>
      <w:r>
        <w:rPr>
          <w:rFonts w:hint="eastAsia" w:eastAsia="新宋体"/>
          <w:sz w:val="24"/>
        </w:rPr>
        <w:t>”</w:t>
      </w:r>
      <w:r>
        <w:rPr>
          <w:rFonts w:eastAsia="新宋体"/>
          <w:sz w:val="24"/>
        </w:rPr>
        <w:t>条款的适用范围扩充至登记和注册在美国全国性证券交易所上市的各种证券。1964 年该法的修正案进一步将此扩展至交易所外</w:t>
      </w:r>
      <w:r>
        <w:rPr>
          <w:rFonts w:hint="eastAsia" w:eastAsia="新宋体"/>
          <w:sz w:val="24"/>
        </w:rPr>
        <w:t>交易</w:t>
      </w:r>
      <w:r>
        <w:rPr>
          <w:rFonts w:eastAsia="新宋体"/>
          <w:sz w:val="24"/>
        </w:rPr>
        <w:t>的资本证券。</w:t>
      </w:r>
      <w:r>
        <w:rPr>
          <w:rFonts w:hint="eastAsia" w:eastAsia="新宋体"/>
          <w:sz w:val="24"/>
        </w:rPr>
        <w:t>《</w:t>
      </w:r>
      <w:r>
        <w:rPr>
          <w:rFonts w:eastAsia="新宋体"/>
          <w:sz w:val="24"/>
        </w:rPr>
        <w:t>1933 年证券法</w:t>
      </w:r>
      <w:r>
        <w:rPr>
          <w:rFonts w:hint="eastAsia" w:eastAsia="新宋体"/>
          <w:sz w:val="24"/>
        </w:rPr>
        <w:t>》</w:t>
      </w:r>
      <w:r>
        <w:rPr>
          <w:rFonts w:eastAsia="新宋体"/>
          <w:sz w:val="24"/>
        </w:rPr>
        <w:t>中的登记要求，独立于</w:t>
      </w:r>
      <w:r>
        <w:rPr>
          <w:rFonts w:hint="eastAsia" w:eastAsia="新宋体"/>
          <w:sz w:val="24"/>
        </w:rPr>
        <w:t>《</w:t>
      </w:r>
      <w:r>
        <w:rPr>
          <w:rFonts w:eastAsia="新宋体"/>
          <w:sz w:val="24"/>
        </w:rPr>
        <w:t>1934 年证券交易法</w:t>
      </w:r>
      <w:r>
        <w:rPr>
          <w:rFonts w:hint="eastAsia" w:eastAsia="新宋体"/>
          <w:sz w:val="24"/>
        </w:rPr>
        <w:t>》</w:t>
      </w:r>
      <w:r>
        <w:rPr>
          <w:rFonts w:eastAsia="新宋体"/>
          <w:sz w:val="24"/>
        </w:rPr>
        <w:t>中的登记要求，不能相互替代。也就是说，</w:t>
      </w:r>
      <w:r>
        <w:rPr>
          <w:rFonts w:hint="eastAsia" w:eastAsia="新宋体"/>
          <w:sz w:val="24"/>
        </w:rPr>
        <w:t>如果</w:t>
      </w:r>
      <w:r>
        <w:rPr>
          <w:rFonts w:eastAsia="新宋体"/>
          <w:sz w:val="24"/>
        </w:rPr>
        <w:t>某一证券将同时向公众出售及在交易中心上市，则必须按照两个法规的要求分别</w:t>
      </w:r>
      <w:r>
        <w:rPr>
          <w:rFonts w:hint="eastAsia" w:eastAsia="新宋体"/>
          <w:sz w:val="24"/>
        </w:rPr>
        <w:t>进行</w:t>
      </w:r>
      <w:r>
        <w:rPr>
          <w:rFonts w:eastAsia="新宋体"/>
          <w:sz w:val="24"/>
        </w:rPr>
        <w:t>注册登记。但这些</w:t>
      </w:r>
      <w:r>
        <w:rPr>
          <w:rFonts w:hint="eastAsia" w:eastAsia="新宋体"/>
          <w:sz w:val="24"/>
        </w:rPr>
        <w:t>规定</w:t>
      </w:r>
      <w:r>
        <w:rPr>
          <w:rFonts w:eastAsia="新宋体"/>
          <w:sz w:val="24"/>
        </w:rPr>
        <w:t>只是为了信息的充分披露，而不是为了限制债券的发行。某一债券是否要发行上市完全由发行公司自己决定，法规仅仅是通过披露相关的信息来帮助投资者评估证券质量，防止公司迷惑投资者。交易法下的注册登记同时</w:t>
      </w:r>
      <w:r>
        <w:rPr>
          <w:rFonts w:hint="eastAsia" w:eastAsia="新宋体"/>
          <w:sz w:val="24"/>
        </w:rPr>
        <w:t>在</w:t>
      </w:r>
      <w:r>
        <w:rPr>
          <w:rFonts w:eastAsia="新宋体"/>
          <w:sz w:val="24"/>
        </w:rPr>
        <w:t>定时报告、对委托权的管理、禁止内部人交易</w:t>
      </w:r>
      <w:r>
        <w:rPr>
          <w:rFonts w:hint="eastAsia" w:eastAsia="新宋体"/>
          <w:sz w:val="24"/>
        </w:rPr>
        <w:t>、</w:t>
      </w:r>
      <w:r>
        <w:rPr>
          <w:rFonts w:eastAsia="新宋体"/>
          <w:sz w:val="24"/>
        </w:rPr>
        <w:t>反操纵以及对发出购买要约</w:t>
      </w:r>
      <w:r>
        <w:rPr>
          <w:rFonts w:hint="eastAsia" w:eastAsia="新宋体"/>
          <w:sz w:val="24"/>
        </w:rPr>
        <w:t>等方面做出了</w:t>
      </w:r>
      <w:r>
        <w:rPr>
          <w:rFonts w:eastAsia="新宋体"/>
          <w:sz w:val="24"/>
        </w:rPr>
        <w:t>规定。</w:t>
      </w:r>
    </w:p>
    <w:p w14:paraId="5B387CEC">
      <w:pPr>
        <w:spacing w:line="440" w:lineRule="exact"/>
        <w:ind w:firstLine="480" w:firstLineChars="200"/>
        <w:rPr>
          <w:rFonts w:hint="eastAsia" w:eastAsia="新宋体"/>
          <w:sz w:val="24"/>
        </w:rPr>
      </w:pPr>
      <w:r>
        <w:rPr>
          <w:rFonts w:eastAsia="新宋体"/>
          <w:sz w:val="24"/>
        </w:rPr>
        <w:t>（3）《1939 年信托</w:t>
      </w:r>
      <w:r>
        <w:rPr>
          <w:rFonts w:hint="eastAsia" w:eastAsia="新宋体"/>
          <w:sz w:val="24"/>
        </w:rPr>
        <w:t>契约</w:t>
      </w:r>
      <w:r>
        <w:rPr>
          <w:rFonts w:eastAsia="新宋体"/>
          <w:sz w:val="24"/>
        </w:rPr>
        <w:t>法案》</w:t>
      </w:r>
      <w:r>
        <w:rPr>
          <w:rFonts w:hint="eastAsia" w:eastAsia="新宋体"/>
          <w:sz w:val="24"/>
        </w:rPr>
        <w:t>（Trust Indenture Act of 1939）</w:t>
      </w:r>
    </w:p>
    <w:p w14:paraId="211D58C8">
      <w:pPr>
        <w:spacing w:line="440" w:lineRule="exact"/>
        <w:ind w:firstLine="480" w:firstLineChars="200"/>
        <w:rPr>
          <w:rFonts w:eastAsia="新宋体"/>
          <w:sz w:val="24"/>
        </w:rPr>
      </w:pPr>
      <w:r>
        <w:rPr>
          <w:rFonts w:eastAsia="新宋体"/>
          <w:sz w:val="24"/>
        </w:rPr>
        <w:t>该法是对</w:t>
      </w:r>
      <w:r>
        <w:rPr>
          <w:rFonts w:hint="eastAsia" w:eastAsia="新宋体"/>
          <w:sz w:val="24"/>
        </w:rPr>
        <w:t>《</w:t>
      </w:r>
      <w:r>
        <w:rPr>
          <w:rFonts w:eastAsia="新宋体"/>
          <w:sz w:val="24"/>
        </w:rPr>
        <w:t>1933 年证券法</w:t>
      </w:r>
      <w:r>
        <w:rPr>
          <w:rFonts w:hint="eastAsia" w:eastAsia="新宋体"/>
          <w:sz w:val="24"/>
        </w:rPr>
        <w:t>》</w:t>
      </w:r>
      <w:r>
        <w:rPr>
          <w:rFonts w:eastAsia="新宋体"/>
          <w:sz w:val="24"/>
        </w:rPr>
        <w:t>的补充</w:t>
      </w:r>
      <w:r>
        <w:rPr>
          <w:rFonts w:hint="eastAsia" w:eastAsia="新宋体"/>
          <w:sz w:val="24"/>
        </w:rPr>
        <w:t>。</w:t>
      </w:r>
      <w:r>
        <w:rPr>
          <w:rFonts w:eastAsia="新宋体"/>
          <w:sz w:val="24"/>
        </w:rPr>
        <w:t>由于</w:t>
      </w:r>
      <w:r>
        <w:rPr>
          <w:rFonts w:hint="eastAsia" w:eastAsia="新宋体"/>
          <w:sz w:val="24"/>
        </w:rPr>
        <w:t>美国证券交易委员会（U.S.Securities and Exchange Commission，简称“</w:t>
      </w:r>
      <w:r>
        <w:rPr>
          <w:rFonts w:eastAsia="新宋体"/>
          <w:sz w:val="24"/>
        </w:rPr>
        <w:t>SEC</w:t>
      </w:r>
      <w:r>
        <w:rPr>
          <w:rFonts w:hint="eastAsia" w:eastAsia="新宋体"/>
          <w:sz w:val="24"/>
        </w:rPr>
        <w:t>”）</w:t>
      </w:r>
      <w:r>
        <w:rPr>
          <w:rFonts w:eastAsia="新宋体"/>
          <w:sz w:val="24"/>
        </w:rPr>
        <w:t>经常发现许多信托债券对证券持有人缺乏最起码的保护，而且受托人连最基本的责任也不承担，因此</w:t>
      </w:r>
      <w:r>
        <w:rPr>
          <w:rFonts w:hint="eastAsia" w:eastAsia="新宋体"/>
          <w:sz w:val="24"/>
        </w:rPr>
        <w:t>出台了</w:t>
      </w:r>
      <w:r>
        <w:rPr>
          <w:rFonts w:eastAsia="新宋体"/>
          <w:sz w:val="24"/>
        </w:rPr>
        <w:t>该法案</w:t>
      </w:r>
      <w:r>
        <w:rPr>
          <w:rFonts w:hint="eastAsia" w:eastAsia="新宋体"/>
          <w:sz w:val="24"/>
        </w:rPr>
        <w:t>，</w:t>
      </w:r>
      <w:r>
        <w:rPr>
          <w:rFonts w:eastAsia="新宋体"/>
          <w:sz w:val="24"/>
        </w:rPr>
        <w:t>对受托人进行了一系列的规定，以保护投资者的权益</w:t>
      </w:r>
      <w:r>
        <w:rPr>
          <w:rFonts w:hint="eastAsia" w:eastAsia="新宋体"/>
          <w:sz w:val="24"/>
        </w:rPr>
        <w:t>。</w:t>
      </w:r>
      <w:r>
        <w:rPr>
          <w:rFonts w:eastAsia="新宋体"/>
          <w:sz w:val="24"/>
        </w:rPr>
        <w:t>它主要针对公开销售价值超过100万美元债券，包括公债、无抵押债券、票据以及类似的债券</w:t>
      </w:r>
      <w:r>
        <w:rPr>
          <w:rFonts w:hint="eastAsia" w:eastAsia="新宋体"/>
          <w:sz w:val="24"/>
        </w:rPr>
        <w:t>。</w:t>
      </w:r>
      <w:r>
        <w:rPr>
          <w:rFonts w:eastAsia="新宋体"/>
          <w:sz w:val="24"/>
        </w:rPr>
        <w:t>这些信托债券必须符合</w:t>
      </w:r>
      <w:r>
        <w:rPr>
          <w:rFonts w:hint="eastAsia" w:eastAsia="新宋体"/>
          <w:sz w:val="24"/>
        </w:rPr>
        <w:t>《</w:t>
      </w:r>
      <w:r>
        <w:rPr>
          <w:rFonts w:eastAsia="新宋体"/>
          <w:sz w:val="24"/>
        </w:rPr>
        <w:t>信托</w:t>
      </w:r>
      <w:r>
        <w:rPr>
          <w:rFonts w:hint="eastAsia" w:eastAsia="新宋体"/>
          <w:sz w:val="24"/>
        </w:rPr>
        <w:t>契约</w:t>
      </w:r>
      <w:r>
        <w:rPr>
          <w:rFonts w:eastAsia="新宋体"/>
          <w:sz w:val="24"/>
        </w:rPr>
        <w:t>法案</w:t>
      </w:r>
      <w:r>
        <w:rPr>
          <w:rFonts w:hint="eastAsia" w:eastAsia="新宋体"/>
          <w:sz w:val="24"/>
        </w:rPr>
        <w:t>》</w:t>
      </w:r>
      <w:r>
        <w:rPr>
          <w:rFonts w:eastAsia="新宋体"/>
          <w:sz w:val="24"/>
        </w:rPr>
        <w:t>的具体要求和条件</w:t>
      </w:r>
      <w:r>
        <w:rPr>
          <w:rFonts w:hint="eastAsia" w:eastAsia="新宋体"/>
          <w:sz w:val="24"/>
        </w:rPr>
        <w:t>，</w:t>
      </w:r>
      <w:r>
        <w:rPr>
          <w:rFonts w:eastAsia="新宋体"/>
          <w:sz w:val="24"/>
        </w:rPr>
        <w:t>即使这类债券可能已经根据</w:t>
      </w:r>
      <w:r>
        <w:rPr>
          <w:rFonts w:hint="eastAsia" w:eastAsia="新宋体"/>
          <w:sz w:val="24"/>
        </w:rPr>
        <w:t>《《</w:t>
      </w:r>
      <w:r>
        <w:rPr>
          <w:rFonts w:eastAsia="新宋体"/>
          <w:sz w:val="24"/>
        </w:rPr>
        <w:t>1934 年证券交易法</w:t>
      </w:r>
      <w:r>
        <w:rPr>
          <w:rFonts w:hint="eastAsia" w:eastAsia="新宋体"/>
          <w:sz w:val="24"/>
        </w:rPr>
        <w:t>》</w:t>
      </w:r>
      <w:r>
        <w:rPr>
          <w:rFonts w:eastAsia="新宋体"/>
          <w:sz w:val="24"/>
        </w:rPr>
        <w:t>进行过登记，只要它不符合SEC的有关规定，就不能进行要约销售。</w:t>
      </w:r>
    </w:p>
    <w:p w14:paraId="7DE3AB79">
      <w:pPr>
        <w:spacing w:line="440" w:lineRule="exact"/>
        <w:ind w:firstLine="480" w:firstLineChars="200"/>
        <w:rPr>
          <w:rFonts w:eastAsia="新宋体"/>
          <w:sz w:val="24"/>
        </w:rPr>
      </w:pPr>
      <w:r>
        <w:rPr>
          <w:rFonts w:eastAsia="新宋体"/>
          <w:sz w:val="24"/>
        </w:rPr>
        <w:t>（4）《蓝天法》</w:t>
      </w:r>
      <w:r>
        <w:rPr>
          <w:rFonts w:hint="eastAsia" w:eastAsia="新宋体"/>
          <w:sz w:val="24"/>
        </w:rPr>
        <w:t>（Blue Sky Law）（1911年生效）</w:t>
      </w:r>
    </w:p>
    <w:p w14:paraId="2236315A">
      <w:pPr>
        <w:spacing w:line="440" w:lineRule="exact"/>
        <w:ind w:firstLine="480" w:firstLineChars="200"/>
        <w:rPr>
          <w:rFonts w:eastAsia="新宋体"/>
          <w:sz w:val="24"/>
        </w:rPr>
      </w:pPr>
      <w:r>
        <w:rPr>
          <w:rFonts w:eastAsia="新宋体"/>
          <w:sz w:val="24"/>
        </w:rPr>
        <w:t>在美国境内进行的与证券买卖相关的活动不仅受联邦证券立法的制约，也受各州证券立法的制约</w:t>
      </w:r>
      <w:r>
        <w:rPr>
          <w:rFonts w:hint="eastAsia" w:eastAsia="新宋体"/>
          <w:sz w:val="24"/>
        </w:rPr>
        <w:t>。</w:t>
      </w:r>
      <w:r>
        <w:rPr>
          <w:rFonts w:eastAsia="新宋体"/>
          <w:sz w:val="24"/>
        </w:rPr>
        <w:t>各州政府制定的证券管制法律，在美国统称为《蓝天法》。它的具体内容大致有两类：一类规定凡在该州发行或出售证券之前，必须经过该州同意；另一类规定</w:t>
      </w:r>
      <w:r>
        <w:rPr>
          <w:rFonts w:hint="eastAsia" w:eastAsia="新宋体"/>
          <w:sz w:val="24"/>
        </w:rPr>
        <w:t>虽然在</w:t>
      </w:r>
      <w:r>
        <w:rPr>
          <w:rFonts w:eastAsia="新宋体"/>
          <w:sz w:val="24"/>
        </w:rPr>
        <w:t>证券发行前不进行干预，但发行后如有欺诈行为，将给予严厉惩罚。</w:t>
      </w:r>
      <w:r>
        <w:rPr>
          <w:rFonts w:hint="eastAsia" w:eastAsia="新宋体"/>
          <w:sz w:val="24"/>
        </w:rPr>
        <w:t>虽然</w:t>
      </w:r>
      <w:r>
        <w:rPr>
          <w:rFonts w:eastAsia="新宋体"/>
          <w:sz w:val="24"/>
        </w:rPr>
        <w:t>不同州的法律在很大程度上都不同</w:t>
      </w:r>
      <w:r>
        <w:rPr>
          <w:rFonts w:hint="eastAsia" w:eastAsia="新宋体"/>
          <w:sz w:val="24"/>
        </w:rPr>
        <w:t>，但是</w:t>
      </w:r>
      <w:r>
        <w:rPr>
          <w:rFonts w:eastAsia="新宋体"/>
          <w:sz w:val="24"/>
        </w:rPr>
        <w:t>各州的证券立法</w:t>
      </w:r>
      <w:r>
        <w:rPr>
          <w:rFonts w:hint="eastAsia" w:eastAsia="新宋体"/>
          <w:sz w:val="24"/>
        </w:rPr>
        <w:t>都对</w:t>
      </w:r>
      <w:r>
        <w:rPr>
          <w:rFonts w:eastAsia="新宋体"/>
          <w:sz w:val="24"/>
        </w:rPr>
        <w:t>证券的发行和经纪人或交易商的活动</w:t>
      </w:r>
      <w:r>
        <w:rPr>
          <w:rFonts w:hint="eastAsia" w:eastAsia="新宋体"/>
          <w:sz w:val="24"/>
        </w:rPr>
        <w:t>进行管制</w:t>
      </w:r>
      <w:r>
        <w:rPr>
          <w:rFonts w:eastAsia="新宋体"/>
          <w:sz w:val="24"/>
        </w:rPr>
        <w:t>，许多州同时</w:t>
      </w:r>
      <w:r>
        <w:rPr>
          <w:rFonts w:hint="eastAsia" w:eastAsia="新宋体"/>
          <w:sz w:val="24"/>
        </w:rPr>
        <w:t>对</w:t>
      </w:r>
      <w:r>
        <w:rPr>
          <w:rFonts w:eastAsia="新宋体"/>
          <w:sz w:val="24"/>
        </w:rPr>
        <w:t>购买要约</w:t>
      </w:r>
      <w:r>
        <w:rPr>
          <w:rFonts w:hint="eastAsia" w:eastAsia="新宋体"/>
          <w:sz w:val="24"/>
        </w:rPr>
        <w:t>进行</w:t>
      </w:r>
      <w:r>
        <w:rPr>
          <w:rFonts w:eastAsia="新宋体"/>
          <w:sz w:val="24"/>
        </w:rPr>
        <w:t>管制，有的州</w:t>
      </w:r>
      <w:r>
        <w:rPr>
          <w:rFonts w:hint="eastAsia" w:eastAsia="新宋体"/>
          <w:sz w:val="24"/>
        </w:rPr>
        <w:t>甚至</w:t>
      </w:r>
      <w:r>
        <w:rPr>
          <w:rFonts w:eastAsia="新宋体"/>
          <w:sz w:val="24"/>
        </w:rPr>
        <w:t>还</w:t>
      </w:r>
      <w:r>
        <w:rPr>
          <w:rFonts w:hint="eastAsia" w:eastAsia="新宋体"/>
          <w:sz w:val="24"/>
        </w:rPr>
        <w:t>对</w:t>
      </w:r>
      <w:r>
        <w:rPr>
          <w:rFonts w:eastAsia="新宋体"/>
          <w:sz w:val="24"/>
        </w:rPr>
        <w:t>投资顾问的活动</w:t>
      </w:r>
      <w:r>
        <w:rPr>
          <w:rFonts w:hint="eastAsia" w:eastAsia="新宋体"/>
          <w:sz w:val="24"/>
        </w:rPr>
        <w:t>进行管制。</w:t>
      </w:r>
      <w:r>
        <w:rPr>
          <w:rFonts w:eastAsia="新宋体"/>
          <w:sz w:val="24"/>
        </w:rPr>
        <w:t>长期以来，各州都被促使采用美国律师协会和国家统一州级立法协会制定的统一证券法案，以尽力使各州的法律规定趋向统一。</w:t>
      </w:r>
    </w:p>
    <w:p w14:paraId="14100EDB">
      <w:pPr>
        <w:spacing w:line="440" w:lineRule="exact"/>
        <w:ind w:firstLine="480" w:firstLineChars="200"/>
        <w:outlineLvl w:val="3"/>
        <w:rPr>
          <w:rFonts w:hint="eastAsia" w:ascii="黑体" w:eastAsia="黑体"/>
          <w:sz w:val="24"/>
        </w:rPr>
      </w:pPr>
      <w:r>
        <w:rPr>
          <w:rFonts w:hint="eastAsia" w:ascii="黑体" w:eastAsia="黑体"/>
          <w:sz w:val="24"/>
        </w:rPr>
        <w:t>2.增信体系法律制度环境</w:t>
      </w:r>
    </w:p>
    <w:p w14:paraId="4716B423">
      <w:pPr>
        <w:spacing w:line="440" w:lineRule="exact"/>
        <w:ind w:firstLine="482" w:firstLineChars="200"/>
        <w:rPr>
          <w:rFonts w:hint="eastAsia"/>
          <w:b/>
          <w:kern w:val="0"/>
          <w:sz w:val="24"/>
        </w:rPr>
      </w:pPr>
      <w:r>
        <w:rPr>
          <w:rFonts w:hint="eastAsia" w:eastAsia="新宋体"/>
          <w:b/>
          <w:sz w:val="24"/>
        </w:rPr>
        <w:t>（1）</w:t>
      </w:r>
      <w:r>
        <w:rPr>
          <w:b/>
          <w:kern w:val="0"/>
          <w:sz w:val="24"/>
        </w:rPr>
        <w:t>抵/质押担保和第三方担保</w:t>
      </w:r>
      <w:r>
        <w:rPr>
          <w:rFonts w:hint="eastAsia"/>
          <w:b/>
          <w:kern w:val="0"/>
          <w:sz w:val="24"/>
        </w:rPr>
        <w:t>法律环境</w:t>
      </w:r>
    </w:p>
    <w:p w14:paraId="4D096E9E">
      <w:pPr>
        <w:widowControl/>
        <w:spacing w:line="440" w:lineRule="exact"/>
        <w:ind w:firstLine="480" w:firstLineChars="200"/>
        <w:rPr>
          <w:kern w:val="0"/>
          <w:sz w:val="24"/>
        </w:rPr>
      </w:pPr>
      <w:r>
        <w:rPr>
          <w:kern w:val="0"/>
          <w:sz w:val="24"/>
        </w:rPr>
        <w:t>美国由判例法和成文法共同规定担保</w:t>
      </w:r>
      <w:r>
        <w:rPr>
          <w:rFonts w:hint="eastAsia"/>
          <w:kern w:val="0"/>
          <w:sz w:val="24"/>
        </w:rPr>
        <w:t>，</w:t>
      </w:r>
      <w:r>
        <w:rPr>
          <w:kern w:val="0"/>
          <w:sz w:val="24"/>
        </w:rPr>
        <w:t>相对成熟的担保物权法律体系为债券市场抵/质押担保和第三方担保的增信方式提供了制度保证。判例法对传统的动产担保形式做出规定，对担保关系调整发挥了基础性作用，而由美国各州普遍采纳的成文法集中规定了动产担保制度，成为动产担保关系调整的重要法律依据。目前，美国债券市场增信体系中最为核心的两部成文法是《统一商法典》</w:t>
      </w:r>
      <w:r>
        <w:rPr>
          <w:rFonts w:hint="eastAsia"/>
          <w:kern w:val="0"/>
          <w:sz w:val="24"/>
        </w:rPr>
        <w:t>(Uniform Commercial Code)（1912年生效）</w:t>
      </w:r>
      <w:r>
        <w:rPr>
          <w:kern w:val="0"/>
          <w:sz w:val="24"/>
        </w:rPr>
        <w:t>和</w:t>
      </w:r>
      <w:r>
        <w:rPr>
          <w:sz w:val="24"/>
        </w:rPr>
        <w:t>《信托契约法》</w:t>
      </w:r>
      <w:r>
        <w:rPr>
          <w:rFonts w:hint="eastAsia"/>
          <w:sz w:val="24"/>
        </w:rPr>
        <w:t>（</w:t>
      </w:r>
      <w:r>
        <w:rPr>
          <w:rFonts w:hint="eastAsia" w:eastAsia="新宋体"/>
          <w:sz w:val="24"/>
        </w:rPr>
        <w:t>Trust Indenture Act</w:t>
      </w:r>
      <w:r>
        <w:rPr>
          <w:rFonts w:hint="eastAsia"/>
          <w:sz w:val="24"/>
        </w:rPr>
        <w:t>）（1939年生效）</w:t>
      </w:r>
      <w:r>
        <w:rPr>
          <w:sz w:val="24"/>
        </w:rPr>
        <w:t>。</w:t>
      </w:r>
    </w:p>
    <w:p w14:paraId="7DE57D4F">
      <w:pPr>
        <w:spacing w:line="440" w:lineRule="exact"/>
        <w:ind w:firstLine="480" w:firstLineChars="200"/>
        <w:rPr>
          <w:sz w:val="24"/>
        </w:rPr>
      </w:pPr>
      <w:r>
        <w:rPr>
          <w:sz w:val="24"/>
        </w:rPr>
        <w:t>美国债券市场</w:t>
      </w:r>
      <w:r>
        <w:rPr>
          <w:rFonts w:hint="eastAsia"/>
          <w:sz w:val="24"/>
        </w:rPr>
        <w:t>担保</w:t>
      </w:r>
      <w:r>
        <w:rPr>
          <w:sz w:val="24"/>
        </w:rPr>
        <w:t>体系制度相对成熟完善，整个体系灵活富有弹性，具体表现为如下一些特征：</w:t>
      </w:r>
    </w:p>
    <w:p w14:paraId="68053EB3">
      <w:pPr>
        <w:autoSpaceDE w:val="0"/>
        <w:autoSpaceDN w:val="0"/>
        <w:adjustRightInd w:val="0"/>
        <w:spacing w:line="440" w:lineRule="exact"/>
        <w:ind w:firstLine="480" w:firstLineChars="200"/>
        <w:rPr>
          <w:rFonts w:hint="eastAsia"/>
          <w:kern w:val="0"/>
          <w:sz w:val="24"/>
        </w:rPr>
      </w:pPr>
      <w:r>
        <w:rPr>
          <w:rFonts w:hint="eastAsia" w:ascii="宋体" w:hAnsi="宋体" w:cs="宋体"/>
          <w:kern w:val="0"/>
          <w:sz w:val="24"/>
        </w:rPr>
        <w:t>①</w:t>
      </w:r>
      <w:r>
        <w:rPr>
          <w:kern w:val="0"/>
          <w:sz w:val="24"/>
        </w:rPr>
        <w:t>担保财产范围宽泛</w:t>
      </w:r>
    </w:p>
    <w:p w14:paraId="2C4354BC">
      <w:pPr>
        <w:autoSpaceDE w:val="0"/>
        <w:autoSpaceDN w:val="0"/>
        <w:adjustRightInd w:val="0"/>
        <w:spacing w:line="440" w:lineRule="exact"/>
        <w:ind w:firstLine="480" w:firstLineChars="200"/>
        <w:rPr>
          <w:rFonts w:hint="eastAsia"/>
          <w:kern w:val="0"/>
          <w:sz w:val="24"/>
        </w:rPr>
      </w:pPr>
      <w:r>
        <w:rPr>
          <w:kern w:val="0"/>
          <w:sz w:val="24"/>
        </w:rPr>
        <w:t>此体系规范并拓宽了担保物的范围和担保形式。</w:t>
      </w:r>
      <w:r>
        <w:rPr>
          <w:rFonts w:hint="eastAsia"/>
          <w:kern w:val="0"/>
          <w:sz w:val="24"/>
        </w:rPr>
        <w:t>在</w:t>
      </w:r>
      <w:r>
        <w:rPr>
          <w:kern w:val="0"/>
          <w:sz w:val="24"/>
        </w:rPr>
        <w:t>该体系下，担保物范围较为广泛，包括有形抵押品（</w:t>
      </w:r>
      <w:r>
        <w:rPr>
          <w:rFonts w:hint="eastAsia"/>
          <w:kern w:val="0"/>
          <w:sz w:val="24"/>
        </w:rPr>
        <w:t>T</w:t>
      </w:r>
      <w:r>
        <w:rPr>
          <w:kern w:val="0"/>
          <w:sz w:val="24"/>
        </w:rPr>
        <w:t>angible </w:t>
      </w:r>
      <w:r>
        <w:rPr>
          <w:rFonts w:hint="eastAsia"/>
          <w:kern w:val="0"/>
          <w:sz w:val="24"/>
        </w:rPr>
        <w:t>C</w:t>
      </w:r>
      <w:r>
        <w:rPr>
          <w:kern w:val="0"/>
          <w:sz w:val="24"/>
        </w:rPr>
        <w:t>ollateral）、准有形抵押品（</w:t>
      </w:r>
      <w:r>
        <w:rPr>
          <w:rFonts w:hint="eastAsia"/>
          <w:kern w:val="0"/>
          <w:sz w:val="24"/>
        </w:rPr>
        <w:t>S</w:t>
      </w:r>
      <w:r>
        <w:rPr>
          <w:kern w:val="0"/>
          <w:sz w:val="24"/>
        </w:rPr>
        <w:t>emi-intangible </w:t>
      </w:r>
      <w:r>
        <w:rPr>
          <w:rFonts w:hint="eastAsia"/>
          <w:kern w:val="0"/>
          <w:sz w:val="24"/>
        </w:rPr>
        <w:t>C</w:t>
      </w:r>
      <w:r>
        <w:rPr>
          <w:kern w:val="0"/>
          <w:sz w:val="24"/>
        </w:rPr>
        <w:t>ollateral）和无形抵押品（</w:t>
      </w:r>
      <w:r>
        <w:rPr>
          <w:rFonts w:hint="eastAsia"/>
          <w:kern w:val="0"/>
          <w:sz w:val="24"/>
        </w:rPr>
        <w:t>I</w:t>
      </w:r>
      <w:r>
        <w:rPr>
          <w:kern w:val="0"/>
          <w:sz w:val="24"/>
        </w:rPr>
        <w:t>ntangible </w:t>
      </w:r>
      <w:r>
        <w:rPr>
          <w:rFonts w:hint="eastAsia"/>
          <w:kern w:val="0"/>
          <w:sz w:val="24"/>
        </w:rPr>
        <w:t>C</w:t>
      </w:r>
      <w:r>
        <w:rPr>
          <w:kern w:val="0"/>
          <w:sz w:val="24"/>
        </w:rPr>
        <w:t>ollateral）三大类。其中有形资产是指消费品（</w:t>
      </w:r>
      <w:r>
        <w:rPr>
          <w:rFonts w:hint="eastAsia"/>
          <w:kern w:val="0"/>
          <w:sz w:val="24"/>
        </w:rPr>
        <w:t>C</w:t>
      </w:r>
      <w:r>
        <w:rPr>
          <w:kern w:val="0"/>
          <w:sz w:val="24"/>
        </w:rPr>
        <w:t>onsumer </w:t>
      </w:r>
      <w:r>
        <w:rPr>
          <w:rFonts w:hint="eastAsia"/>
          <w:kern w:val="0"/>
          <w:sz w:val="24"/>
        </w:rPr>
        <w:t>G</w:t>
      </w:r>
      <w:r>
        <w:rPr>
          <w:kern w:val="0"/>
          <w:sz w:val="24"/>
        </w:rPr>
        <w:t>oods）、农产品（</w:t>
      </w:r>
      <w:r>
        <w:rPr>
          <w:rFonts w:hint="eastAsia"/>
          <w:kern w:val="0"/>
          <w:sz w:val="24"/>
        </w:rPr>
        <w:t>F</w:t>
      </w:r>
      <w:r>
        <w:rPr>
          <w:kern w:val="0"/>
          <w:sz w:val="24"/>
        </w:rPr>
        <w:t>arm </w:t>
      </w:r>
      <w:r>
        <w:rPr>
          <w:rFonts w:hint="eastAsia"/>
          <w:kern w:val="0"/>
          <w:sz w:val="24"/>
        </w:rPr>
        <w:t>P</w:t>
      </w:r>
      <w:r>
        <w:rPr>
          <w:kern w:val="0"/>
          <w:sz w:val="24"/>
        </w:rPr>
        <w:t>roducts）、库存（</w:t>
      </w:r>
      <w:r>
        <w:rPr>
          <w:rFonts w:hint="eastAsia"/>
          <w:kern w:val="0"/>
          <w:sz w:val="24"/>
        </w:rPr>
        <w:t>I</w:t>
      </w:r>
      <w:r>
        <w:rPr>
          <w:kern w:val="0"/>
          <w:sz w:val="24"/>
        </w:rPr>
        <w:t>nventory）和设备（</w:t>
      </w:r>
      <w:r>
        <w:rPr>
          <w:rFonts w:hint="eastAsia"/>
          <w:kern w:val="0"/>
          <w:sz w:val="24"/>
        </w:rPr>
        <w:t>E</w:t>
      </w:r>
      <w:r>
        <w:rPr>
          <w:kern w:val="0"/>
          <w:sz w:val="24"/>
        </w:rPr>
        <w:t>quipment）等；准有形资产主要是指向第三人行使的财产请求权</w:t>
      </w:r>
      <w:r>
        <w:rPr>
          <w:rFonts w:hint="eastAsia"/>
          <w:kern w:val="0"/>
          <w:sz w:val="24"/>
        </w:rPr>
        <w:t>、</w:t>
      </w:r>
      <w:r>
        <w:rPr>
          <w:kern w:val="0"/>
          <w:sz w:val="24"/>
        </w:rPr>
        <w:t>物权凭证（</w:t>
      </w:r>
      <w:r>
        <w:rPr>
          <w:rFonts w:hint="eastAsia"/>
          <w:kern w:val="0"/>
          <w:sz w:val="24"/>
        </w:rPr>
        <w:t>D</w:t>
      </w:r>
      <w:r>
        <w:rPr>
          <w:kern w:val="0"/>
          <w:sz w:val="24"/>
        </w:rPr>
        <w:t>ocuments of </w:t>
      </w:r>
      <w:r>
        <w:rPr>
          <w:rFonts w:hint="eastAsia"/>
          <w:kern w:val="0"/>
          <w:sz w:val="24"/>
        </w:rPr>
        <w:t>T</w:t>
      </w:r>
      <w:r>
        <w:rPr>
          <w:kern w:val="0"/>
          <w:sz w:val="24"/>
        </w:rPr>
        <w:t>itle）、债权证书（</w:t>
      </w:r>
      <w:r>
        <w:rPr>
          <w:rFonts w:hint="eastAsia"/>
          <w:kern w:val="0"/>
          <w:sz w:val="24"/>
        </w:rPr>
        <w:t>C</w:t>
      </w:r>
      <w:r>
        <w:rPr>
          <w:kern w:val="0"/>
          <w:sz w:val="24"/>
        </w:rPr>
        <w:t>hattel </w:t>
      </w:r>
      <w:r>
        <w:rPr>
          <w:rFonts w:hint="eastAsia"/>
          <w:kern w:val="0"/>
          <w:sz w:val="24"/>
        </w:rPr>
        <w:t>P</w:t>
      </w:r>
      <w:r>
        <w:rPr>
          <w:kern w:val="0"/>
          <w:sz w:val="24"/>
        </w:rPr>
        <w:t>aper）和票据（</w:t>
      </w:r>
      <w:r>
        <w:rPr>
          <w:rFonts w:hint="eastAsia"/>
          <w:kern w:val="0"/>
          <w:sz w:val="24"/>
        </w:rPr>
        <w:t>I</w:t>
      </w:r>
      <w:r>
        <w:rPr>
          <w:kern w:val="0"/>
          <w:sz w:val="24"/>
        </w:rPr>
        <w:t>nstruments）；无形资产包括两类：账款和一般无形财产。还规范了各种动产和不动产的担保形式</w:t>
      </w:r>
      <w:r>
        <w:rPr>
          <w:rFonts w:hint="eastAsia"/>
          <w:kern w:val="0"/>
          <w:sz w:val="24"/>
        </w:rPr>
        <w:t>。</w:t>
      </w:r>
      <w:r>
        <w:rPr>
          <w:kern w:val="0"/>
          <w:sz w:val="24"/>
        </w:rPr>
        <w:t>《统一商法典》第九篇废除了动产抵押、附条件买卖及信托收据等各种动产担保交易，仅规定一种担保形式即</w:t>
      </w:r>
      <w:r>
        <w:rPr>
          <w:rFonts w:hint="eastAsia"/>
          <w:kern w:val="0"/>
          <w:sz w:val="24"/>
        </w:rPr>
        <w:t>“</w:t>
      </w:r>
      <w:r>
        <w:rPr>
          <w:kern w:val="0"/>
          <w:sz w:val="24"/>
        </w:rPr>
        <w:t>担保约定</w:t>
      </w:r>
      <w:r>
        <w:rPr>
          <w:rFonts w:hint="eastAsia"/>
          <w:kern w:val="0"/>
          <w:sz w:val="24"/>
        </w:rPr>
        <w:t>”（S</w:t>
      </w:r>
      <w:r>
        <w:rPr>
          <w:kern w:val="0"/>
          <w:sz w:val="24"/>
        </w:rPr>
        <w:t xml:space="preserve">ecured </w:t>
      </w:r>
      <w:r>
        <w:rPr>
          <w:rFonts w:hint="eastAsia"/>
          <w:kern w:val="0"/>
          <w:sz w:val="24"/>
        </w:rPr>
        <w:t>A</w:t>
      </w:r>
      <w:r>
        <w:rPr>
          <w:kern w:val="0"/>
          <w:sz w:val="24"/>
        </w:rPr>
        <w:t>greement</w:t>
      </w:r>
      <w:r>
        <w:rPr>
          <w:rFonts w:hint="eastAsia"/>
          <w:kern w:val="0"/>
          <w:sz w:val="24"/>
        </w:rPr>
        <w:t>）</w:t>
      </w:r>
      <w:r>
        <w:rPr>
          <w:kern w:val="0"/>
          <w:sz w:val="24"/>
        </w:rPr>
        <w:t>。从而使动产抵押、附条件买卖、信托收据以及一切当事人依契约所创设的担保利益均</w:t>
      </w:r>
      <w:r>
        <w:rPr>
          <w:rFonts w:hint="eastAsia"/>
          <w:kern w:val="0"/>
          <w:sz w:val="24"/>
        </w:rPr>
        <w:t>适用</w:t>
      </w:r>
      <w:r>
        <w:rPr>
          <w:kern w:val="0"/>
          <w:sz w:val="24"/>
        </w:rPr>
        <w:t>统一的规则，从而简化和统一了法律关系。因此，各种不同的融资担保方式都能为美国担保法律制度体系所接纳，发行人</w:t>
      </w:r>
      <w:r>
        <w:rPr>
          <w:rFonts w:hint="eastAsia"/>
          <w:kern w:val="0"/>
          <w:sz w:val="24"/>
        </w:rPr>
        <w:t>从而</w:t>
      </w:r>
      <w:r>
        <w:rPr>
          <w:kern w:val="0"/>
          <w:sz w:val="24"/>
        </w:rPr>
        <w:t>可以根据自身所处行业或企业经营的特点来选择合适的担保方式。</w:t>
      </w:r>
    </w:p>
    <w:p w14:paraId="2E1685DE">
      <w:pPr>
        <w:autoSpaceDE w:val="0"/>
        <w:autoSpaceDN w:val="0"/>
        <w:adjustRightInd w:val="0"/>
        <w:spacing w:line="440" w:lineRule="exact"/>
        <w:ind w:firstLine="480" w:firstLineChars="200"/>
        <w:rPr>
          <w:rFonts w:hint="eastAsia"/>
          <w:sz w:val="24"/>
        </w:rPr>
      </w:pPr>
    </w:p>
    <w:p w14:paraId="311A59C2">
      <w:pPr>
        <w:autoSpaceDE w:val="0"/>
        <w:autoSpaceDN w:val="0"/>
        <w:adjustRightInd w:val="0"/>
        <w:spacing w:line="440" w:lineRule="exact"/>
        <w:ind w:firstLine="480" w:firstLineChars="200"/>
        <w:rPr>
          <w:rFonts w:hint="eastAsia"/>
          <w:sz w:val="24"/>
        </w:rPr>
      </w:pPr>
      <w:r>
        <w:rPr>
          <w:rFonts w:hint="eastAsia" w:ascii="宋体" w:hAnsi="宋体" w:cs="宋体"/>
          <w:kern w:val="0"/>
          <w:sz w:val="24"/>
        </w:rPr>
        <w:t>②</w:t>
      </w:r>
      <w:r>
        <w:rPr>
          <w:sz w:val="24"/>
        </w:rPr>
        <w:t>担保物权体系比较完整，确定了浮动担保制度</w:t>
      </w:r>
    </w:p>
    <w:p w14:paraId="5AF24596">
      <w:pPr>
        <w:autoSpaceDE w:val="0"/>
        <w:autoSpaceDN w:val="0"/>
        <w:adjustRightInd w:val="0"/>
        <w:spacing w:line="440" w:lineRule="exact"/>
        <w:ind w:firstLine="480" w:firstLineChars="200"/>
        <w:rPr>
          <w:kern w:val="0"/>
          <w:sz w:val="24"/>
        </w:rPr>
      </w:pPr>
      <w:r>
        <w:rPr>
          <w:kern w:val="0"/>
          <w:sz w:val="24"/>
        </w:rPr>
        <w:t>企业以现有资产设定担保，其标的物为企业现在及将来的总财产，包括企业全部的动产和不动产、无形财产及各种法律关系。在担保设定之后，企业可以继续以担保标的财产从事经营，其资产仍可正常使用，而新取得的财产则自动纳入担保物中。在发生法律规定的特定情况下，例如，债务人违约</w:t>
      </w:r>
      <w:r>
        <w:rPr>
          <w:rFonts w:hint="eastAsia"/>
          <w:kern w:val="0"/>
          <w:sz w:val="24"/>
        </w:rPr>
        <w:t>、</w:t>
      </w:r>
      <w:r>
        <w:rPr>
          <w:kern w:val="0"/>
          <w:sz w:val="24"/>
        </w:rPr>
        <w:t>债务人公司发生停产或破产清算时，担保物才特定化，浮动担保</w:t>
      </w:r>
      <w:r>
        <w:rPr>
          <w:rFonts w:hint="eastAsia"/>
          <w:kern w:val="0"/>
          <w:sz w:val="24"/>
        </w:rPr>
        <w:t>才</w:t>
      </w:r>
      <w:r>
        <w:rPr>
          <w:kern w:val="0"/>
          <w:sz w:val="24"/>
        </w:rPr>
        <w:t>成为固定担保或强制性的担保。浮动担保制度突出</w:t>
      </w:r>
      <w:r>
        <w:rPr>
          <w:rFonts w:hint="eastAsia"/>
          <w:kern w:val="0"/>
          <w:sz w:val="24"/>
        </w:rPr>
        <w:t>体现</w:t>
      </w:r>
      <w:r>
        <w:rPr>
          <w:kern w:val="0"/>
          <w:sz w:val="24"/>
        </w:rPr>
        <w:t>了美国融资型功能担保</w:t>
      </w:r>
      <w:r>
        <w:rPr>
          <w:rFonts w:hint="eastAsia"/>
          <w:kern w:val="0"/>
          <w:sz w:val="24"/>
        </w:rPr>
        <w:t>的</w:t>
      </w:r>
      <w:r>
        <w:rPr>
          <w:kern w:val="0"/>
          <w:sz w:val="24"/>
        </w:rPr>
        <w:t>特征</w:t>
      </w:r>
      <w:r>
        <w:rPr>
          <w:rFonts w:hint="eastAsia"/>
          <w:kern w:val="0"/>
          <w:sz w:val="24"/>
        </w:rPr>
        <w:t>。</w:t>
      </w:r>
      <w:r>
        <w:rPr>
          <w:kern w:val="0"/>
          <w:sz w:val="24"/>
        </w:rPr>
        <w:t>在该制度下，担保人可以保证担保物价值利用最大化，动态</w:t>
      </w:r>
      <w:r>
        <w:rPr>
          <w:rFonts w:hint="eastAsia"/>
          <w:kern w:val="0"/>
          <w:sz w:val="24"/>
        </w:rPr>
        <w:t>地</w:t>
      </w:r>
      <w:r>
        <w:rPr>
          <w:kern w:val="0"/>
          <w:sz w:val="24"/>
        </w:rPr>
        <w:t>对债券市场产品提供担保，增强了增信的效果，有利于保证债权人的利益。</w:t>
      </w:r>
    </w:p>
    <w:p w14:paraId="1B646ABB">
      <w:pPr>
        <w:autoSpaceDE w:val="0"/>
        <w:autoSpaceDN w:val="0"/>
        <w:adjustRightInd w:val="0"/>
        <w:spacing w:line="440" w:lineRule="exact"/>
        <w:ind w:firstLine="480" w:firstLineChars="200"/>
        <w:rPr>
          <w:rFonts w:hint="eastAsia"/>
          <w:sz w:val="24"/>
        </w:rPr>
      </w:pPr>
      <w:r>
        <w:rPr>
          <w:rFonts w:hint="eastAsia" w:ascii="宋体" w:hAnsi="宋体" w:cs="宋体"/>
          <w:kern w:val="0"/>
          <w:sz w:val="24"/>
        </w:rPr>
        <w:t>③</w:t>
      </w:r>
      <w:r>
        <w:rPr>
          <w:sz w:val="24"/>
        </w:rPr>
        <w:t>担保法律体系中担保权益相关制度比较完善</w:t>
      </w:r>
    </w:p>
    <w:p w14:paraId="765F363C">
      <w:pPr>
        <w:autoSpaceDE w:val="0"/>
        <w:autoSpaceDN w:val="0"/>
        <w:adjustRightInd w:val="0"/>
        <w:spacing w:line="440" w:lineRule="exact"/>
        <w:ind w:firstLine="480" w:firstLineChars="200"/>
        <w:rPr>
          <w:kern w:val="0"/>
          <w:sz w:val="24"/>
        </w:rPr>
      </w:pPr>
      <w:r>
        <w:rPr>
          <w:kern w:val="0"/>
          <w:sz w:val="24"/>
        </w:rPr>
        <w:t>担保权益即指大陆法系理论中担保物权所具有的优先受偿权，而担保权益完善的本质是指担保物权的公示，也即让第三人了解债权人在债务人的何种财产上享有担保权益，</w:t>
      </w:r>
      <w:r>
        <w:rPr>
          <w:rFonts w:hint="eastAsia"/>
          <w:kern w:val="0"/>
          <w:sz w:val="24"/>
        </w:rPr>
        <w:t>从而</w:t>
      </w:r>
      <w:r>
        <w:rPr>
          <w:kern w:val="0"/>
          <w:sz w:val="24"/>
        </w:rPr>
        <w:t>确立债权人的优先受偿权。所以，担保权益是否完善决定着担保权人能否享有优先受偿权，能否在债务人破产程序中保有自己的担保权益，这对债务人的其他担保人和一般债权人同等重要。</w:t>
      </w:r>
    </w:p>
    <w:p w14:paraId="3DB0A5BE">
      <w:pPr>
        <w:autoSpaceDE w:val="0"/>
        <w:autoSpaceDN w:val="0"/>
        <w:adjustRightInd w:val="0"/>
        <w:spacing w:line="440" w:lineRule="exact"/>
        <w:ind w:firstLine="480" w:firstLineChars="200"/>
        <w:rPr>
          <w:kern w:val="0"/>
          <w:sz w:val="24"/>
        </w:rPr>
      </w:pPr>
      <w:r>
        <w:rPr>
          <w:kern w:val="0"/>
          <w:sz w:val="24"/>
        </w:rPr>
        <w:t>美国担保权益有三种完善方式：登记融资报告、占用</w:t>
      </w:r>
      <w:r>
        <w:rPr>
          <w:rFonts w:hint="eastAsia"/>
          <w:kern w:val="0"/>
          <w:sz w:val="24"/>
        </w:rPr>
        <w:t>和</w:t>
      </w:r>
      <w:r>
        <w:rPr>
          <w:kern w:val="0"/>
          <w:sz w:val="24"/>
        </w:rPr>
        <w:t>自动完善。这三种不同的完善方式体现了法律体系对效益价值和安全价值的兼顾。在其正常的业务程序中必须对谨慎的资信调查人公示其担保权益，登记或占用担保物。担保权益的完善产生优先性</w:t>
      </w:r>
      <w:r>
        <w:rPr>
          <w:rFonts w:hint="eastAsia"/>
          <w:kern w:val="0"/>
          <w:sz w:val="24"/>
        </w:rPr>
        <w:t>体现在</w:t>
      </w:r>
      <w:r>
        <w:rPr>
          <w:kern w:val="0"/>
          <w:sz w:val="24"/>
        </w:rPr>
        <w:t>完善的担保权人在优先权的清偿次序中位于不完善的担保权人之前，而不完善的担保权人又相对优先于普通债权人</w:t>
      </w:r>
      <w:r>
        <w:rPr>
          <w:rFonts w:hint="eastAsia"/>
          <w:kern w:val="0"/>
          <w:sz w:val="24"/>
        </w:rPr>
        <w:t>。</w:t>
      </w:r>
      <w:r>
        <w:rPr>
          <w:kern w:val="0"/>
          <w:sz w:val="24"/>
        </w:rPr>
        <w:t>同时，完善的担保权益使担保权人享有的权利优先于后来产生的</w:t>
      </w:r>
      <w:r>
        <w:rPr>
          <w:rFonts w:hint="eastAsia"/>
          <w:kern w:val="0"/>
          <w:sz w:val="24"/>
        </w:rPr>
        <w:t>抵</w:t>
      </w:r>
      <w:r>
        <w:rPr>
          <w:kern w:val="0"/>
          <w:sz w:val="24"/>
        </w:rPr>
        <w:t>押债权人。在破产程序开始前，有完善担保权益的担保权人可以从破产受托人那里取回担保物。在一般情况下，担保权益完善的日期则成为多个完善担保权益之间优先权的位序排列依据。担保法遵循这样的规则，即完善在先、清偿次序在先。</w:t>
      </w:r>
    </w:p>
    <w:p w14:paraId="3CD32CEF">
      <w:pPr>
        <w:spacing w:line="440" w:lineRule="exact"/>
        <w:ind w:firstLine="480" w:firstLineChars="200"/>
        <w:rPr>
          <w:sz w:val="24"/>
        </w:rPr>
      </w:pPr>
      <w:r>
        <w:rPr>
          <w:sz w:val="24"/>
        </w:rPr>
        <w:t>此外，在美国，根据《统一商法典》的规定，担保权益的设定并不一定要有现实债权的存在。担保权益可以抽象的脱离债权而存在，在发生实际交易时，可将已经存在的担保权益附系与特定债权。</w:t>
      </w:r>
    </w:p>
    <w:p w14:paraId="0C6FAE89">
      <w:pPr>
        <w:autoSpaceDE w:val="0"/>
        <w:autoSpaceDN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④兼顾各方权利和义务</w:t>
      </w:r>
    </w:p>
    <w:p w14:paraId="33876BDA">
      <w:pPr>
        <w:autoSpaceDE w:val="0"/>
        <w:autoSpaceDN w:val="0"/>
        <w:spacing w:line="440" w:lineRule="exact"/>
        <w:ind w:firstLine="480" w:firstLineChars="200"/>
        <w:jc w:val="left"/>
        <w:rPr>
          <w:kern w:val="0"/>
          <w:sz w:val="24"/>
        </w:rPr>
      </w:pPr>
      <w:r>
        <w:rPr>
          <w:rFonts w:hint="eastAsia"/>
          <w:sz w:val="24"/>
        </w:rPr>
        <w:t>美国</w:t>
      </w:r>
      <w:r>
        <w:rPr>
          <w:sz w:val="24"/>
        </w:rPr>
        <w:t>有关担保法律体系对担保参与方的权利</w:t>
      </w:r>
      <w:r>
        <w:rPr>
          <w:rFonts w:hint="eastAsia"/>
          <w:sz w:val="24"/>
        </w:rPr>
        <w:t>和</w:t>
      </w:r>
      <w:r>
        <w:rPr>
          <w:sz w:val="24"/>
        </w:rPr>
        <w:t>义务作了明确规定，对担保公司给予了法律保护和制约，规范了担保行业的发展，对债券市场</w:t>
      </w:r>
      <w:r>
        <w:rPr>
          <w:rFonts w:hint="eastAsia"/>
          <w:sz w:val="24"/>
        </w:rPr>
        <w:t>担保体系</w:t>
      </w:r>
      <w:r>
        <w:rPr>
          <w:sz w:val="24"/>
        </w:rPr>
        <w:t>的发展起了至关重要的作用。</w:t>
      </w:r>
    </w:p>
    <w:p w14:paraId="6D4158DE">
      <w:pPr>
        <w:spacing w:line="440" w:lineRule="exact"/>
        <w:ind w:firstLine="482" w:firstLineChars="200"/>
        <w:rPr>
          <w:rFonts w:hint="eastAsia"/>
          <w:b/>
          <w:kern w:val="0"/>
          <w:sz w:val="24"/>
        </w:rPr>
      </w:pPr>
      <w:r>
        <w:rPr>
          <w:rFonts w:hint="eastAsia" w:eastAsia="新宋体"/>
          <w:b/>
          <w:sz w:val="24"/>
        </w:rPr>
        <w:t>（2）</w:t>
      </w:r>
      <w:r>
        <w:rPr>
          <w:rFonts w:hint="eastAsia"/>
          <w:b/>
          <w:kern w:val="0"/>
          <w:sz w:val="24"/>
        </w:rPr>
        <w:t>债券保险法律环境</w:t>
      </w:r>
    </w:p>
    <w:p w14:paraId="7EFB3235">
      <w:pPr>
        <w:autoSpaceDE w:val="0"/>
        <w:autoSpaceDN w:val="0"/>
        <w:spacing w:line="440" w:lineRule="exact"/>
        <w:ind w:firstLine="480" w:firstLineChars="200"/>
        <w:rPr>
          <w:sz w:val="24"/>
        </w:rPr>
      </w:pPr>
      <w:r>
        <w:rPr>
          <w:kern w:val="0"/>
          <w:sz w:val="24"/>
        </w:rPr>
        <w:t>在美国，</w:t>
      </w:r>
      <w:r>
        <w:rPr>
          <w:rFonts w:hint="eastAsia"/>
          <w:sz w:val="24"/>
        </w:rPr>
        <w:t>《</w:t>
      </w:r>
      <w:r>
        <w:rPr>
          <w:sz w:val="24"/>
        </w:rPr>
        <w:t>金融担保保险法</w:t>
      </w:r>
      <w:r>
        <w:rPr>
          <w:rFonts w:hint="eastAsia"/>
          <w:sz w:val="24"/>
        </w:rPr>
        <w:t>》</w:t>
      </w:r>
      <w:r>
        <w:rPr>
          <w:kern w:val="0"/>
          <w:sz w:val="24"/>
        </w:rPr>
        <w:t>对债券保险业务做了专门的定义，并对债券保险公司的资格准入作了明确规定，严格禁止多线保险商参与到债券保险业务中来。债券保险公司开展债券保险业务前首先得获得相应业务资格许可；另外，债券保险公司还必须遵守美国</w:t>
      </w:r>
      <w:r>
        <w:rPr>
          <w:sz w:val="24"/>
        </w:rPr>
        <w:t>国家保险监理专员协会的</w:t>
      </w:r>
      <w:r>
        <w:rPr>
          <w:rFonts w:hint="eastAsia"/>
          <w:sz w:val="24"/>
        </w:rPr>
        <w:t>《</w:t>
      </w:r>
      <w:r>
        <w:rPr>
          <w:sz w:val="24"/>
        </w:rPr>
        <w:t>金融担保保险法</w:t>
      </w:r>
      <w:r>
        <w:rPr>
          <w:rFonts w:hint="eastAsia"/>
          <w:sz w:val="24"/>
        </w:rPr>
        <w:t>》。</w:t>
      </w:r>
      <w:r>
        <w:rPr>
          <w:kern w:val="0"/>
          <w:sz w:val="24"/>
        </w:rPr>
        <w:t>此外，</w:t>
      </w:r>
      <w:r>
        <w:rPr>
          <w:sz w:val="24"/>
        </w:rPr>
        <w:t>获得</w:t>
      </w:r>
      <w:r>
        <w:rPr>
          <w:kern w:val="0"/>
          <w:sz w:val="24"/>
        </w:rPr>
        <w:t>纽约州执业资格的债券保险公司还必须遵守该州政府制定的金融保险法规第69条的规定</w:t>
      </w:r>
      <w:r>
        <w:rPr>
          <w:rFonts w:hint="eastAsia"/>
          <w:kern w:val="0"/>
          <w:sz w:val="24"/>
        </w:rPr>
        <w:t>。</w:t>
      </w:r>
      <w:r>
        <w:rPr>
          <w:kern w:val="0"/>
          <w:sz w:val="24"/>
        </w:rPr>
        <w:t>该规定从最低资本规模、单一风险限额、合规投资</w:t>
      </w:r>
      <w:r>
        <w:rPr>
          <w:rFonts w:hint="eastAsia"/>
          <w:kern w:val="0"/>
          <w:sz w:val="24"/>
        </w:rPr>
        <w:t>和</w:t>
      </w:r>
      <w:r>
        <w:rPr>
          <w:kern w:val="0"/>
          <w:sz w:val="24"/>
        </w:rPr>
        <w:t>产品提供等</w:t>
      </w:r>
      <w:r>
        <w:rPr>
          <w:rFonts w:hint="eastAsia"/>
          <w:kern w:val="0"/>
          <w:sz w:val="24"/>
        </w:rPr>
        <w:t>方面</w:t>
      </w:r>
      <w:r>
        <w:rPr>
          <w:kern w:val="0"/>
          <w:sz w:val="24"/>
        </w:rPr>
        <w:t>对债券保险公司提出了严格的金融监管要求。这类债券保险公司若要在国外开展业务，必须获得当地监管部门的许可，</w:t>
      </w:r>
      <w:r>
        <w:rPr>
          <w:rFonts w:hint="eastAsia"/>
          <w:kern w:val="0"/>
          <w:sz w:val="24"/>
        </w:rPr>
        <w:t>它们</w:t>
      </w:r>
      <w:r>
        <w:rPr>
          <w:kern w:val="0"/>
          <w:sz w:val="24"/>
        </w:rPr>
        <w:t>也可以到国外设立子公司。</w:t>
      </w:r>
    </w:p>
    <w:p w14:paraId="05C21B4F">
      <w:pPr>
        <w:autoSpaceDE w:val="0"/>
        <w:autoSpaceDN w:val="0"/>
        <w:spacing w:line="440" w:lineRule="exact"/>
        <w:ind w:firstLine="480" w:firstLineChars="200"/>
        <w:jc w:val="left"/>
        <w:rPr>
          <w:kern w:val="0"/>
          <w:sz w:val="24"/>
        </w:rPr>
      </w:pPr>
      <w:r>
        <w:rPr>
          <w:kern w:val="0"/>
          <w:sz w:val="24"/>
        </w:rPr>
        <w:t>从中可以发现，美国完善的法律制度为债券保险业的健康、有序发展提供了良好的环境。法律对行业准入和债券保险公司的严格规范和监管有利于控制市场风险，提升了债券保险在债券市场发展过程中的作用。</w:t>
      </w:r>
    </w:p>
    <w:p w14:paraId="029E6983">
      <w:pPr>
        <w:spacing w:line="440" w:lineRule="exact"/>
        <w:ind w:firstLine="482" w:firstLineChars="200"/>
        <w:rPr>
          <w:rFonts w:hint="eastAsia"/>
          <w:b/>
          <w:kern w:val="0"/>
          <w:sz w:val="24"/>
        </w:rPr>
      </w:pPr>
      <w:r>
        <w:rPr>
          <w:rFonts w:hint="eastAsia" w:eastAsia="新宋体"/>
          <w:b/>
          <w:sz w:val="24"/>
        </w:rPr>
        <w:t>（3）</w:t>
      </w:r>
      <w:r>
        <w:rPr>
          <w:rFonts w:hint="eastAsia"/>
          <w:b/>
          <w:kern w:val="0"/>
          <w:sz w:val="24"/>
        </w:rPr>
        <w:t>证券化法律环境</w:t>
      </w:r>
    </w:p>
    <w:p w14:paraId="124288D4">
      <w:pPr>
        <w:spacing w:line="440" w:lineRule="exact"/>
        <w:ind w:firstLine="480" w:firstLineChars="200"/>
        <w:rPr>
          <w:rFonts w:eastAsia="新宋体"/>
          <w:sz w:val="24"/>
        </w:rPr>
      </w:pPr>
      <w:r>
        <w:rPr>
          <w:rFonts w:hint="eastAsia" w:eastAsia="新宋体"/>
          <w:sz w:val="24"/>
        </w:rPr>
        <w:t>美国</w:t>
      </w:r>
      <w:r>
        <w:rPr>
          <w:rFonts w:eastAsia="新宋体"/>
          <w:sz w:val="24"/>
        </w:rPr>
        <w:t>针对资产证券化出台</w:t>
      </w:r>
      <w:r>
        <w:rPr>
          <w:rFonts w:hint="eastAsia" w:eastAsia="新宋体"/>
          <w:sz w:val="24"/>
        </w:rPr>
        <w:t>了</w:t>
      </w:r>
      <w:r>
        <w:rPr>
          <w:rFonts w:eastAsia="新宋体"/>
          <w:sz w:val="24"/>
        </w:rPr>
        <w:t>众多法律</w:t>
      </w:r>
      <w:r>
        <w:rPr>
          <w:rFonts w:hint="eastAsia" w:eastAsia="新宋体"/>
          <w:sz w:val="24"/>
        </w:rPr>
        <w:t>法规，</w:t>
      </w:r>
      <w:r>
        <w:rPr>
          <w:rFonts w:eastAsia="新宋体"/>
          <w:sz w:val="24"/>
        </w:rPr>
        <w:t>包括物权法上的、合同法和破产法上的、关于特设机构SPV的</w:t>
      </w:r>
      <w:r>
        <w:rPr>
          <w:rFonts w:hint="eastAsia" w:eastAsia="新宋体"/>
          <w:sz w:val="24"/>
        </w:rPr>
        <w:t>及</w:t>
      </w:r>
      <w:r>
        <w:rPr>
          <w:rFonts w:eastAsia="新宋体"/>
          <w:sz w:val="24"/>
        </w:rPr>
        <w:t>《统一商法典》等。</w:t>
      </w:r>
    </w:p>
    <w:p w14:paraId="1D87F660">
      <w:pPr>
        <w:spacing w:line="440" w:lineRule="exact"/>
        <w:ind w:firstLine="480" w:firstLineChars="200"/>
        <w:rPr>
          <w:rFonts w:eastAsia="新宋体"/>
          <w:sz w:val="24"/>
        </w:rPr>
      </w:pPr>
      <w:r>
        <w:rPr>
          <w:rFonts w:eastAsia="新宋体"/>
          <w:sz w:val="24"/>
        </w:rPr>
        <w:t>这些法律法规体系表现出以下特征：一是证券化的法律法规明确、具体且简便、灵活</w:t>
      </w:r>
      <w:r>
        <w:rPr>
          <w:rFonts w:hint="eastAsia" w:eastAsia="新宋体"/>
          <w:sz w:val="24"/>
        </w:rPr>
        <w:t>、</w:t>
      </w:r>
      <w:r>
        <w:rPr>
          <w:rFonts w:eastAsia="新宋体"/>
          <w:sz w:val="24"/>
        </w:rPr>
        <w:t>自由。证券化相关法律涉及的主体、客体</w:t>
      </w:r>
      <w:r>
        <w:rPr>
          <w:rFonts w:hint="eastAsia" w:eastAsia="新宋体"/>
          <w:sz w:val="24"/>
        </w:rPr>
        <w:t>和</w:t>
      </w:r>
      <w:r>
        <w:rPr>
          <w:rFonts w:eastAsia="新宋体"/>
          <w:sz w:val="24"/>
        </w:rPr>
        <w:t>权利义务关系等虽然复杂但不混乱，一切均按照以投资者保护为核心的理念有效地发挥作用，这一点在物权和破产的法律法规中表现尤为突出。证券化的很多具体操作内容是以当事人约定形式体现的，法律并不予以条文化，为增信方式的设计创造了巨大的空间。二是证券化法律并非是一种全新规则的构建，而是依托现有的法律体系和法律制度进行的业务创新，本身并不对现有的法律体系和法律制度进行改变，这或许与英美法</w:t>
      </w:r>
      <w:r>
        <w:rPr>
          <w:rFonts w:hint="eastAsia" w:eastAsia="新宋体"/>
          <w:sz w:val="24"/>
        </w:rPr>
        <w:t>“</w:t>
      </w:r>
      <w:r>
        <w:rPr>
          <w:rFonts w:eastAsia="新宋体"/>
          <w:sz w:val="24"/>
        </w:rPr>
        <w:t>遵循先例</w:t>
      </w:r>
      <w:r>
        <w:rPr>
          <w:rFonts w:hint="eastAsia" w:eastAsia="新宋体"/>
          <w:sz w:val="24"/>
        </w:rPr>
        <w:t>”</w:t>
      </w:r>
      <w:r>
        <w:rPr>
          <w:rFonts w:eastAsia="新宋体"/>
          <w:sz w:val="24"/>
        </w:rPr>
        <w:t>的传统有关。因此，减少了增信方式创新中潜在的法律冲突。三是证券化法律是复杂的法律制度组合。从以上分析可知，证券化法律涉及物权、契约、信托、破产、证券、公司及合伙等诸多方面，其有机组合共同构成证券化法律体系。因而，证券化法律体系的建造，实际是对涉及证券化的各种具体法律制度的阐释，各种具体法律制度的完善成为证券化法律建造的核心，为债券市场增信体系的构建建立起强大的法律制度体系。四是证券化的运作思路和模式选择体现了鲜明的法律传统及其法理基础，在某种程度上降低了增信方式设计带来的法律冲突的可能性。如按揭中的期票和抵押单据</w:t>
      </w:r>
      <w:r>
        <w:rPr>
          <w:rFonts w:hint="eastAsia" w:eastAsia="新宋体"/>
          <w:sz w:val="24"/>
        </w:rPr>
        <w:t>、</w:t>
      </w:r>
      <w:r>
        <w:rPr>
          <w:rFonts w:eastAsia="新宋体"/>
          <w:sz w:val="24"/>
        </w:rPr>
        <w:t>特设机构SPV的设立</w:t>
      </w:r>
      <w:r>
        <w:rPr>
          <w:rFonts w:hint="eastAsia" w:eastAsia="新宋体"/>
          <w:sz w:val="24"/>
        </w:rPr>
        <w:t>、</w:t>
      </w:r>
      <w:r>
        <w:rPr>
          <w:rFonts w:eastAsia="新宋体"/>
          <w:sz w:val="24"/>
        </w:rPr>
        <w:t>资产转让中的</w:t>
      </w:r>
      <w:r>
        <w:rPr>
          <w:rFonts w:hint="eastAsia" w:eastAsia="新宋体"/>
          <w:sz w:val="24"/>
        </w:rPr>
        <w:t>“</w:t>
      </w:r>
      <w:r>
        <w:rPr>
          <w:rFonts w:eastAsia="新宋体"/>
          <w:sz w:val="24"/>
        </w:rPr>
        <w:t>真实出售</w:t>
      </w:r>
      <w:r>
        <w:rPr>
          <w:rFonts w:hint="eastAsia" w:eastAsia="新宋体"/>
          <w:sz w:val="24"/>
        </w:rPr>
        <w:t>”</w:t>
      </w:r>
      <w:r>
        <w:rPr>
          <w:rFonts w:eastAsia="新宋体"/>
          <w:sz w:val="24"/>
        </w:rPr>
        <w:t>和</w:t>
      </w:r>
      <w:r>
        <w:rPr>
          <w:rFonts w:hint="eastAsia" w:eastAsia="新宋体"/>
          <w:sz w:val="24"/>
        </w:rPr>
        <w:t>“</w:t>
      </w:r>
      <w:r>
        <w:rPr>
          <w:rFonts w:eastAsia="新宋体"/>
          <w:sz w:val="24"/>
        </w:rPr>
        <w:t>破产隔离</w:t>
      </w:r>
      <w:r>
        <w:rPr>
          <w:rFonts w:hint="eastAsia" w:eastAsia="新宋体"/>
          <w:sz w:val="24"/>
        </w:rPr>
        <w:t>”</w:t>
      </w:r>
      <w:r>
        <w:rPr>
          <w:rFonts w:eastAsia="新宋体"/>
          <w:sz w:val="24"/>
        </w:rPr>
        <w:t>都极具英美法特色，均以英美法相应的法理为依据。</w:t>
      </w:r>
    </w:p>
    <w:p w14:paraId="040384B0">
      <w:pPr>
        <w:spacing w:after="156" w:afterLines="50" w:line="440" w:lineRule="exact"/>
        <w:ind w:firstLine="480" w:firstLineChars="200"/>
        <w:rPr>
          <w:rFonts w:hint="eastAsia" w:eastAsia="新宋体"/>
          <w:sz w:val="24"/>
        </w:rPr>
      </w:pPr>
      <w:r>
        <w:rPr>
          <w:rFonts w:hint="eastAsia" w:eastAsia="新宋体"/>
          <w:sz w:val="24"/>
        </w:rPr>
        <w:t>综合来看</w:t>
      </w:r>
      <w:r>
        <w:rPr>
          <w:rFonts w:eastAsia="新宋体"/>
          <w:sz w:val="24"/>
        </w:rPr>
        <w:t>，美国相对成熟完善的法律制度环境，为第三方担保、抵/押担保</w:t>
      </w:r>
      <w:r>
        <w:rPr>
          <w:rFonts w:hint="eastAsia" w:eastAsia="新宋体"/>
          <w:sz w:val="24"/>
        </w:rPr>
        <w:t>和</w:t>
      </w:r>
      <w:r>
        <w:rPr>
          <w:rFonts w:eastAsia="新宋体"/>
          <w:sz w:val="24"/>
        </w:rPr>
        <w:t>债券保险等增信方式的应用</w:t>
      </w:r>
      <w:r>
        <w:rPr>
          <w:rFonts w:hint="eastAsia" w:eastAsia="新宋体"/>
          <w:sz w:val="24"/>
        </w:rPr>
        <w:t>以及</w:t>
      </w:r>
      <w:r>
        <w:rPr>
          <w:rFonts w:eastAsia="新宋体"/>
          <w:sz w:val="24"/>
        </w:rPr>
        <w:t>担保机构、保险机构等市场主体的积极参与清除了制度障碍，有利于增信体系的构建。</w:t>
      </w:r>
    </w:p>
    <w:p w14:paraId="202349C0">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5F"/>
    <w:rsid w:val="0004055F"/>
    <w:rsid w:val="001229D8"/>
    <w:rsid w:val="001B4656"/>
    <w:rsid w:val="0025005C"/>
    <w:rsid w:val="0026744F"/>
    <w:rsid w:val="00341F2B"/>
    <w:rsid w:val="0072271E"/>
    <w:rsid w:val="00770071"/>
    <w:rsid w:val="008D0AC4"/>
    <w:rsid w:val="00DB1227"/>
    <w:rsid w:val="00DB22A8"/>
    <w:rsid w:val="28F4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nhideWhenUsed="0" w:uiPriority="0" w:semiHidden="0"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45"/>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46"/>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47"/>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48"/>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9"/>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5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5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104"/>
    <w:qFormat/>
    <w:uiPriority w:val="0"/>
    <w:rPr>
      <w:rFonts w:ascii="宋体"/>
      <w:sz w:val="18"/>
      <w:szCs w:val="18"/>
    </w:rPr>
  </w:style>
  <w:style w:type="paragraph" w:styleId="13">
    <w:name w:val="annotation text"/>
    <w:basedOn w:val="1"/>
    <w:link w:val="71"/>
    <w:semiHidden/>
    <w:qFormat/>
    <w:uiPriority w:val="0"/>
    <w:pPr>
      <w:jc w:val="left"/>
    </w:pPr>
  </w:style>
  <w:style w:type="paragraph" w:styleId="14">
    <w:name w:val="Body Text"/>
    <w:basedOn w:val="1"/>
    <w:link w:val="95"/>
    <w:qFormat/>
    <w:uiPriority w:val="0"/>
    <w:pPr>
      <w:spacing w:after="120"/>
    </w:pPr>
  </w:style>
  <w:style w:type="paragraph" w:styleId="15">
    <w:name w:val="Body Text Indent"/>
    <w:basedOn w:val="1"/>
    <w:link w:val="94"/>
    <w:qFormat/>
    <w:uiPriority w:val="0"/>
    <w:pPr>
      <w:spacing w:after="120"/>
      <w:ind w:left="420" w:leftChars="200"/>
    </w:pPr>
  </w:style>
  <w:style w:type="paragraph" w:styleId="16">
    <w:name w:val="index 4"/>
    <w:basedOn w:val="1"/>
    <w:next w:val="1"/>
    <w:autoRedefine/>
    <w:semiHidden/>
    <w:qFormat/>
    <w:uiPriority w:val="0"/>
    <w:pPr>
      <w:widowControl/>
      <w:jc w:val="center"/>
    </w:pPr>
    <w:rPr>
      <w:rFonts w:ascii="宋体" w:hAnsi="宋体"/>
      <w:color w:val="000000"/>
      <w:kern w:val="0"/>
      <w:szCs w:val="20"/>
    </w:rPr>
  </w:style>
  <w:style w:type="paragraph" w:styleId="17">
    <w:name w:val="Plain Text"/>
    <w:basedOn w:val="1"/>
    <w:link w:val="102"/>
    <w:qFormat/>
    <w:uiPriority w:val="0"/>
    <w:rPr>
      <w:rFonts w:ascii="宋体" w:hAnsi="Courier New" w:cs="Courier New"/>
      <w:sz w:val="24"/>
      <w:szCs w:val="21"/>
    </w:rPr>
  </w:style>
  <w:style w:type="paragraph" w:styleId="18">
    <w:name w:val="Date"/>
    <w:basedOn w:val="1"/>
    <w:next w:val="1"/>
    <w:link w:val="101"/>
    <w:qFormat/>
    <w:uiPriority w:val="0"/>
    <w:pPr>
      <w:ind w:left="100" w:leftChars="2500"/>
    </w:pPr>
  </w:style>
  <w:style w:type="paragraph" w:styleId="19">
    <w:name w:val="Body Text Indent 2"/>
    <w:basedOn w:val="1"/>
    <w:link w:val="82"/>
    <w:qFormat/>
    <w:uiPriority w:val="0"/>
    <w:pPr>
      <w:spacing w:line="360" w:lineRule="auto"/>
      <w:ind w:firstLine="439" w:firstLineChars="183"/>
    </w:pPr>
    <w:rPr>
      <w:rFonts w:ascii="宋体" w:hAnsi="宋体"/>
      <w:sz w:val="24"/>
    </w:rPr>
  </w:style>
  <w:style w:type="paragraph" w:styleId="20">
    <w:name w:val="Balloon Text"/>
    <w:basedOn w:val="1"/>
    <w:link w:val="74"/>
    <w:semiHidden/>
    <w:qFormat/>
    <w:uiPriority w:val="0"/>
    <w:rPr>
      <w:sz w:val="18"/>
      <w:szCs w:val="18"/>
    </w:rPr>
  </w:style>
  <w:style w:type="paragraph" w:styleId="21">
    <w:name w:val="footer"/>
    <w:basedOn w:val="1"/>
    <w:link w:val="64"/>
    <w:unhideWhenUsed/>
    <w:qFormat/>
    <w:uiPriority w:val="0"/>
    <w:pPr>
      <w:tabs>
        <w:tab w:val="center" w:pos="4153"/>
        <w:tab w:val="right" w:pos="8306"/>
      </w:tabs>
      <w:snapToGrid w:val="0"/>
    </w:pPr>
    <w:rPr>
      <w:sz w:val="18"/>
      <w:szCs w:val="18"/>
    </w:rPr>
  </w:style>
  <w:style w:type="paragraph" w:styleId="22">
    <w:name w:val="header"/>
    <w:basedOn w:val="1"/>
    <w:link w:val="63"/>
    <w:unhideWhenUsed/>
    <w:qFormat/>
    <w:uiPriority w:val="0"/>
    <w:pPr>
      <w:tabs>
        <w:tab w:val="center" w:pos="4153"/>
        <w:tab w:val="right" w:pos="8306"/>
      </w:tabs>
      <w:snapToGrid w:val="0"/>
      <w:jc w:val="center"/>
    </w:pPr>
    <w:rPr>
      <w:sz w:val="18"/>
      <w:szCs w:val="18"/>
    </w:rPr>
  </w:style>
  <w:style w:type="paragraph" w:styleId="23">
    <w:name w:val="Subtitle"/>
    <w:basedOn w:val="1"/>
    <w:next w:val="1"/>
    <w:link w:val="5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76"/>
    <w:semiHidden/>
    <w:qFormat/>
    <w:uiPriority w:val="0"/>
    <w:pPr>
      <w:snapToGrid w:val="0"/>
      <w:jc w:val="left"/>
    </w:pPr>
    <w:rPr>
      <w:sz w:val="18"/>
      <w:szCs w:val="18"/>
    </w:rPr>
  </w:style>
  <w:style w:type="paragraph" w:styleId="25">
    <w:name w:val="table of figures"/>
    <w:basedOn w:val="1"/>
    <w:next w:val="1"/>
    <w:semiHidden/>
    <w:qFormat/>
    <w:uiPriority w:val="0"/>
    <w:pPr>
      <w:ind w:leftChars="200" w:hanging="200" w:hangingChars="200"/>
    </w:pPr>
  </w:style>
  <w:style w:type="paragraph" w:styleId="26">
    <w:name w:val="Body Text 2"/>
    <w:basedOn w:val="1"/>
    <w:link w:val="114"/>
    <w:qFormat/>
    <w:uiPriority w:val="0"/>
    <w:pPr>
      <w:spacing w:after="120" w:line="480" w:lineRule="auto"/>
    </w:pPr>
  </w:style>
  <w:style w:type="paragraph" w:styleId="2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5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0">
    <w:name w:val="annotation subject"/>
    <w:basedOn w:val="13"/>
    <w:next w:val="13"/>
    <w:link w:val="72"/>
    <w:semiHidden/>
    <w:qFormat/>
    <w:uiPriority w:val="0"/>
    <w:rPr>
      <w:b/>
      <w:bCs/>
    </w:rPr>
  </w:style>
  <w:style w:type="table" w:styleId="32">
    <w:name w:val="Table Grid"/>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2"/>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5">
    <w:name w:val="Table List 7"/>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36">
    <w:name w:val="Table Contemporary"/>
    <w:basedOn w:val="31"/>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character" w:styleId="38">
    <w:name w:val="Strong"/>
    <w:qFormat/>
    <w:uiPriority w:val="0"/>
    <w:rPr>
      <w:b/>
      <w:bCs/>
    </w:rPr>
  </w:style>
  <w:style w:type="character" w:styleId="39">
    <w:name w:val="endnote reference"/>
    <w:basedOn w:val="37"/>
    <w:qFormat/>
    <w:uiPriority w:val="0"/>
  </w:style>
  <w:style w:type="character" w:styleId="40">
    <w:name w:val="page number"/>
    <w:basedOn w:val="37"/>
    <w:qFormat/>
    <w:uiPriority w:val="0"/>
  </w:style>
  <w:style w:type="character" w:styleId="41">
    <w:name w:val="Emphasis"/>
    <w:qFormat/>
    <w:uiPriority w:val="0"/>
    <w:rPr>
      <w:color w:val="CC0033"/>
    </w:rPr>
  </w:style>
  <w:style w:type="character" w:styleId="42">
    <w:name w:val="Hyperlink"/>
    <w:qFormat/>
    <w:uiPriority w:val="0"/>
    <w:rPr>
      <w:color w:val="0000FF"/>
      <w:u w:val="single"/>
    </w:rPr>
  </w:style>
  <w:style w:type="character" w:styleId="43">
    <w:name w:val="annotation reference"/>
    <w:semiHidden/>
    <w:qFormat/>
    <w:uiPriority w:val="0"/>
    <w:rPr>
      <w:sz w:val="21"/>
      <w:szCs w:val="21"/>
    </w:rPr>
  </w:style>
  <w:style w:type="character" w:styleId="44">
    <w:name w:val="footnote reference"/>
    <w:semiHidden/>
    <w:qFormat/>
    <w:uiPriority w:val="0"/>
    <w:rPr>
      <w:vertAlign w:val="superscript"/>
    </w:rPr>
  </w:style>
  <w:style w:type="character" w:customStyle="1" w:styleId="45">
    <w:name w:val="标题 1 字符"/>
    <w:basedOn w:val="37"/>
    <w:link w:val="2"/>
    <w:qFormat/>
    <w:uiPriority w:val="9"/>
    <w:rPr>
      <w:rFonts w:asciiTheme="majorHAnsi" w:hAnsiTheme="majorHAnsi" w:eastAsiaTheme="majorEastAsia" w:cstheme="majorBidi"/>
      <w:color w:val="2F5597" w:themeColor="accent1" w:themeShade="BF"/>
      <w:sz w:val="48"/>
      <w:szCs w:val="48"/>
    </w:rPr>
  </w:style>
  <w:style w:type="character" w:customStyle="1" w:styleId="46">
    <w:name w:val="标题 2 字符"/>
    <w:basedOn w:val="3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47">
    <w:name w:val="标题 3 字符"/>
    <w:basedOn w:val="3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48">
    <w:name w:val="标题 4 字符"/>
    <w:basedOn w:val="37"/>
    <w:link w:val="5"/>
    <w:semiHidden/>
    <w:qFormat/>
    <w:uiPriority w:val="9"/>
    <w:rPr>
      <w:rFonts w:cstheme="majorBidi"/>
      <w:color w:val="2F5597" w:themeColor="accent1" w:themeShade="BF"/>
      <w:sz w:val="28"/>
      <w:szCs w:val="28"/>
    </w:rPr>
  </w:style>
  <w:style w:type="character" w:customStyle="1" w:styleId="49">
    <w:name w:val="标题 5 字符"/>
    <w:basedOn w:val="37"/>
    <w:link w:val="6"/>
    <w:semiHidden/>
    <w:qFormat/>
    <w:uiPriority w:val="9"/>
    <w:rPr>
      <w:rFonts w:cstheme="majorBidi"/>
      <w:color w:val="2F5597" w:themeColor="accent1" w:themeShade="BF"/>
      <w:sz w:val="24"/>
    </w:rPr>
  </w:style>
  <w:style w:type="character" w:customStyle="1" w:styleId="50">
    <w:name w:val="标题 6 字符"/>
    <w:basedOn w:val="37"/>
    <w:link w:val="7"/>
    <w:semiHidden/>
    <w:qFormat/>
    <w:uiPriority w:val="9"/>
    <w:rPr>
      <w:rFonts w:cstheme="majorBidi"/>
      <w:b/>
      <w:bCs/>
      <w:color w:val="2F5597" w:themeColor="accent1" w:themeShade="BF"/>
    </w:rPr>
  </w:style>
  <w:style w:type="character" w:customStyle="1" w:styleId="51">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2">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3">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4">
    <w:name w:val="标题 字符"/>
    <w:basedOn w:val="37"/>
    <w:link w:val="29"/>
    <w:qFormat/>
    <w:uiPriority w:val="10"/>
    <w:rPr>
      <w:rFonts w:asciiTheme="majorHAnsi" w:hAnsiTheme="majorHAnsi" w:eastAsiaTheme="majorEastAsia" w:cstheme="majorBidi"/>
      <w:spacing w:val="-10"/>
      <w:kern w:val="28"/>
      <w:sz w:val="56"/>
      <w:szCs w:val="56"/>
    </w:rPr>
  </w:style>
  <w:style w:type="character" w:customStyle="1" w:styleId="55">
    <w:name w:val="副标题 字符"/>
    <w:basedOn w:val="37"/>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6">
    <w:name w:val="Quote"/>
    <w:basedOn w:val="1"/>
    <w:next w:val="1"/>
    <w:link w:val="5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7">
    <w:name w:val="引用 字符"/>
    <w:basedOn w:val="37"/>
    <w:link w:val="56"/>
    <w:qFormat/>
    <w:uiPriority w:val="29"/>
    <w:rPr>
      <w:i/>
      <w:iCs/>
      <w:color w:val="404040" w:themeColor="text1" w:themeTint="BF"/>
      <w14:textFill>
        <w14:solidFill>
          <w14:schemeClr w14:val="tx1">
            <w14:lumMod w14:val="75000"/>
            <w14:lumOff w14:val="25000"/>
          </w14:schemeClr>
        </w14:solidFill>
      </w14:textFill>
    </w:rPr>
  </w:style>
  <w:style w:type="paragraph" w:styleId="58">
    <w:name w:val="List Paragraph"/>
    <w:basedOn w:val="1"/>
    <w:qFormat/>
    <w:uiPriority w:val="34"/>
    <w:pPr>
      <w:ind w:left="720"/>
      <w:contextualSpacing/>
    </w:pPr>
  </w:style>
  <w:style w:type="character" w:customStyle="1" w:styleId="59">
    <w:name w:val="Intense Emphasis"/>
    <w:basedOn w:val="37"/>
    <w:qFormat/>
    <w:uiPriority w:val="21"/>
    <w:rPr>
      <w:i/>
      <w:iCs/>
      <w:color w:val="2F5597" w:themeColor="accent1" w:themeShade="BF"/>
    </w:rPr>
  </w:style>
  <w:style w:type="paragraph" w:styleId="60">
    <w:name w:val="Intense Quote"/>
    <w:basedOn w:val="1"/>
    <w:next w:val="1"/>
    <w:link w:val="6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1">
    <w:name w:val="明显引用 字符"/>
    <w:basedOn w:val="37"/>
    <w:link w:val="60"/>
    <w:qFormat/>
    <w:uiPriority w:val="30"/>
    <w:rPr>
      <w:i/>
      <w:iCs/>
      <w:color w:val="2F5597" w:themeColor="accent1" w:themeShade="BF"/>
    </w:rPr>
  </w:style>
  <w:style w:type="character" w:customStyle="1" w:styleId="62">
    <w:name w:val="Intense Reference"/>
    <w:basedOn w:val="37"/>
    <w:qFormat/>
    <w:uiPriority w:val="32"/>
    <w:rPr>
      <w:b/>
      <w:bCs/>
      <w:smallCaps/>
      <w:color w:val="2F5597" w:themeColor="accent1" w:themeShade="BF"/>
      <w:spacing w:val="5"/>
    </w:rPr>
  </w:style>
  <w:style w:type="character" w:customStyle="1" w:styleId="63">
    <w:name w:val="页眉 字符"/>
    <w:basedOn w:val="37"/>
    <w:link w:val="22"/>
    <w:qFormat/>
    <w:uiPriority w:val="99"/>
    <w:rPr>
      <w:sz w:val="18"/>
      <w:szCs w:val="18"/>
    </w:rPr>
  </w:style>
  <w:style w:type="character" w:customStyle="1" w:styleId="64">
    <w:name w:val="页脚 字符"/>
    <w:basedOn w:val="37"/>
    <w:link w:val="21"/>
    <w:qFormat/>
    <w:uiPriority w:val="99"/>
    <w:rPr>
      <w:sz w:val="18"/>
      <w:szCs w:val="18"/>
    </w:rPr>
  </w:style>
  <w:style w:type="character" w:customStyle="1" w:styleId="65">
    <w:name w:val="标题 1 Char"/>
    <w:qFormat/>
    <w:uiPriority w:val="0"/>
    <w:rPr>
      <w:rFonts w:eastAsia="宋体"/>
      <w:b/>
      <w:bCs/>
      <w:kern w:val="44"/>
      <w:sz w:val="44"/>
      <w:szCs w:val="44"/>
      <w:lang w:val="en-US" w:eastAsia="zh-CN" w:bidi="ar-SA"/>
    </w:rPr>
  </w:style>
  <w:style w:type="paragraph" w:customStyle="1" w:styleId="66">
    <w:name w:val="默认段落字体 Para Char Char Char Char Char Char Char"/>
    <w:basedOn w:val="1"/>
    <w:qFormat/>
    <w:uiPriority w:val="0"/>
    <w:pPr>
      <w:tabs>
        <w:tab w:val="left" w:pos="4665"/>
        <w:tab w:val="left" w:pos="8970"/>
      </w:tabs>
      <w:ind w:firstLine="400"/>
    </w:pPr>
    <w:rPr>
      <w:szCs w:val="20"/>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标题 3 Char"/>
    <w:qFormat/>
    <w:uiPriority w:val="0"/>
    <w:rPr>
      <w:rFonts w:eastAsia="宋体"/>
      <w:b/>
      <w:bCs/>
      <w:kern w:val="2"/>
      <w:sz w:val="32"/>
      <w:szCs w:val="32"/>
      <w:lang w:val="en-US" w:eastAsia="zh-CN" w:bidi="ar-SA"/>
    </w:rPr>
  </w:style>
  <w:style w:type="paragraph" w:customStyle="1" w:styleId="69">
    <w:name w:val=" Char Char Char Char"/>
    <w:basedOn w:val="1"/>
    <w:qFormat/>
    <w:uiPriority w:val="0"/>
    <w:pPr>
      <w:tabs>
        <w:tab w:val="left" w:pos="360"/>
      </w:tabs>
    </w:pPr>
    <w:rPr>
      <w:szCs w:val="20"/>
    </w:rPr>
  </w:style>
  <w:style w:type="character" w:customStyle="1" w:styleId="70">
    <w:name w:val="txtcontent11"/>
    <w:qFormat/>
    <w:uiPriority w:val="0"/>
    <w:rPr>
      <w:rFonts w:hint="default" w:ascii="ˎ̥" w:hAnsi="ˎ̥"/>
      <w:color w:val="000000"/>
      <w:sz w:val="21"/>
      <w:szCs w:val="21"/>
    </w:rPr>
  </w:style>
  <w:style w:type="character" w:customStyle="1" w:styleId="71">
    <w:name w:val="批注文字 字符"/>
    <w:basedOn w:val="37"/>
    <w:link w:val="13"/>
    <w:semiHidden/>
    <w:qFormat/>
    <w:uiPriority w:val="0"/>
    <w:rPr>
      <w:rFonts w:ascii="Times New Roman" w:hAnsi="Times New Roman" w:eastAsia="宋体" w:cs="Times New Roman"/>
      <w:sz w:val="21"/>
      <w14:ligatures w14:val="none"/>
    </w:rPr>
  </w:style>
  <w:style w:type="character" w:customStyle="1" w:styleId="72">
    <w:name w:val="批注主题 字符"/>
    <w:basedOn w:val="71"/>
    <w:link w:val="30"/>
    <w:semiHidden/>
    <w:qFormat/>
    <w:uiPriority w:val="0"/>
    <w:rPr>
      <w:rFonts w:ascii="Times New Roman" w:hAnsi="Times New Roman" w:eastAsia="宋体" w:cs="Times New Roman"/>
      <w:b/>
      <w:bCs/>
      <w:sz w:val="21"/>
      <w14:ligatures w14:val="none"/>
    </w:rPr>
  </w:style>
  <w:style w:type="character" w:customStyle="1" w:styleId="73">
    <w:name w:val="批注框文本 字符"/>
    <w:basedOn w:val="37"/>
    <w:semiHidden/>
    <w:qFormat/>
    <w:uiPriority w:val="99"/>
    <w:rPr>
      <w:rFonts w:ascii="Times New Roman" w:hAnsi="Times New Roman" w:eastAsia="宋体" w:cs="Times New Roman"/>
      <w:sz w:val="18"/>
      <w:szCs w:val="18"/>
      <w14:ligatures w14:val="none"/>
    </w:rPr>
  </w:style>
  <w:style w:type="character" w:customStyle="1" w:styleId="74">
    <w:name w:val="批注框文本 Char"/>
    <w:link w:val="20"/>
    <w:semiHidden/>
    <w:qFormat/>
    <w:uiPriority w:val="0"/>
    <w:rPr>
      <w:rFonts w:ascii="Times New Roman" w:hAnsi="Times New Roman" w:eastAsia="宋体" w:cs="Times New Roman"/>
      <w:sz w:val="18"/>
      <w:szCs w:val="18"/>
      <w14:ligatures w14:val="none"/>
    </w:rPr>
  </w:style>
  <w:style w:type="character" w:customStyle="1" w:styleId="75">
    <w:name w:val="脚注文本 字符"/>
    <w:basedOn w:val="37"/>
    <w:semiHidden/>
    <w:qFormat/>
    <w:uiPriority w:val="99"/>
    <w:rPr>
      <w:rFonts w:ascii="Times New Roman" w:hAnsi="Times New Roman" w:eastAsia="宋体" w:cs="Times New Roman"/>
      <w:sz w:val="18"/>
      <w:szCs w:val="18"/>
      <w14:ligatures w14:val="none"/>
    </w:rPr>
  </w:style>
  <w:style w:type="character" w:customStyle="1" w:styleId="76">
    <w:name w:val="脚注文本 Char"/>
    <w:link w:val="24"/>
    <w:semiHidden/>
    <w:qFormat/>
    <w:uiPriority w:val="0"/>
    <w:rPr>
      <w:rFonts w:ascii="Times New Roman" w:hAnsi="Times New Roman" w:eastAsia="宋体" w:cs="Times New Roman"/>
      <w:sz w:val="18"/>
      <w:szCs w:val="18"/>
      <w14:ligatures w14:val="none"/>
    </w:rPr>
  </w:style>
  <w:style w:type="paragraph" w:customStyle="1" w:styleId="77">
    <w:name w:val="样式1"/>
    <w:basedOn w:val="24"/>
    <w:link w:val="78"/>
    <w:qFormat/>
    <w:uiPriority w:val="0"/>
    <w:rPr>
      <w:rFonts w:ascii="楷体" w:hAnsi="楷体" w:eastAsia="楷体"/>
      <w:sz w:val="21"/>
    </w:rPr>
  </w:style>
  <w:style w:type="character" w:customStyle="1" w:styleId="78">
    <w:name w:val="样式1 Char"/>
    <w:link w:val="77"/>
    <w:qFormat/>
    <w:uiPriority w:val="0"/>
    <w:rPr>
      <w:rFonts w:ascii="楷体" w:hAnsi="楷体" w:eastAsia="楷体" w:cs="Times New Roman"/>
      <w:sz w:val="21"/>
      <w:szCs w:val="18"/>
      <w14:ligatures w14:val="none"/>
    </w:rPr>
  </w:style>
  <w:style w:type="character" w:customStyle="1" w:styleId="79">
    <w:name w:val="页眉 Char"/>
    <w:qFormat/>
    <w:uiPriority w:val="0"/>
    <w:rPr>
      <w:rFonts w:eastAsia="宋体"/>
      <w:kern w:val="2"/>
      <w:sz w:val="18"/>
      <w:szCs w:val="18"/>
      <w:lang w:val="en-US" w:eastAsia="zh-CN" w:bidi="ar-SA"/>
    </w:rPr>
  </w:style>
  <w:style w:type="character" w:customStyle="1" w:styleId="80">
    <w:name w:val="main_tdbg_760"/>
    <w:basedOn w:val="37"/>
    <w:qFormat/>
    <w:uiPriority w:val="0"/>
  </w:style>
  <w:style w:type="paragraph" w:customStyle="1" w:styleId="81">
    <w:name w:val="标题4"/>
    <w:basedOn w:val="28"/>
    <w:qFormat/>
    <w:uiPriority w:val="0"/>
    <w:pPr>
      <w:spacing w:before="0" w:beforeAutospacing="0" w:after="0" w:afterAutospacing="0" w:line="360" w:lineRule="auto"/>
      <w:jc w:val="both"/>
    </w:pPr>
    <w:rPr>
      <w:rFonts w:ascii="Times New Roman" w:cs="Times New Roman"/>
      <w:b/>
      <w:sz w:val="21"/>
      <w:szCs w:val="21"/>
    </w:rPr>
  </w:style>
  <w:style w:type="character" w:customStyle="1" w:styleId="82">
    <w:name w:val="正文文本缩进 2 字符"/>
    <w:basedOn w:val="37"/>
    <w:link w:val="19"/>
    <w:qFormat/>
    <w:uiPriority w:val="0"/>
    <w:rPr>
      <w:rFonts w:ascii="宋体" w:hAnsi="宋体" w:eastAsia="宋体" w:cs="Times New Roman"/>
      <w:sz w:val="24"/>
      <w14:ligatures w14:val="none"/>
    </w:rPr>
  </w:style>
  <w:style w:type="paragraph" w:customStyle="1" w:styleId="83">
    <w:name w:val="abc"/>
    <w:basedOn w:val="1"/>
    <w:qFormat/>
    <w:uiPriority w:val="0"/>
    <w:pPr>
      <w:widowControl/>
      <w:spacing w:before="100" w:beforeAutospacing="1" w:after="100" w:afterAutospacing="1"/>
      <w:jc w:val="left"/>
    </w:pPr>
    <w:rPr>
      <w:rFonts w:ascii="宋体" w:hAnsi="宋体"/>
      <w:kern w:val="0"/>
      <w:sz w:val="24"/>
    </w:rPr>
  </w:style>
  <w:style w:type="paragraph" w:customStyle="1" w:styleId="84">
    <w:name w:val="123"/>
    <w:basedOn w:val="1"/>
    <w:qFormat/>
    <w:uiPriority w:val="0"/>
    <w:pPr>
      <w:tabs>
        <w:tab w:val="left" w:pos="1190"/>
        <w:tab w:val="left" w:pos="1260"/>
      </w:tabs>
      <w:overflowPunct w:val="0"/>
      <w:spacing w:before="50" w:line="300" w:lineRule="auto"/>
      <w:ind w:left="1260" w:hanging="720"/>
    </w:pPr>
    <w:rPr>
      <w:rFonts w:hint="eastAsia" w:ascii="宋体" w:hAnsi="宋体"/>
      <w:szCs w:val="21"/>
    </w:rPr>
  </w:style>
  <w:style w:type="character" w:customStyle="1" w:styleId="85">
    <w:name w:val="页脚 Char"/>
    <w:qFormat/>
    <w:uiPriority w:val="0"/>
    <w:rPr>
      <w:rFonts w:eastAsia="宋体"/>
      <w:kern w:val="2"/>
      <w:sz w:val="18"/>
      <w:szCs w:val="18"/>
      <w:lang w:val="en-US" w:eastAsia="zh-CN" w:bidi="ar-SA"/>
    </w:rPr>
  </w:style>
  <w:style w:type="paragraph" w:customStyle="1" w:styleId="86">
    <w:name w:val="_Style 69"/>
    <w:basedOn w:val="1"/>
    <w:next w:val="58"/>
    <w:qFormat/>
    <w:uiPriority w:val="0"/>
    <w:pPr>
      <w:ind w:firstLine="420" w:firstLineChars="200"/>
    </w:pPr>
    <w:rPr>
      <w:rFonts w:ascii="Calibri" w:hAnsi="Calibri"/>
      <w:szCs w:val="22"/>
    </w:rPr>
  </w:style>
  <w:style w:type="paragraph" w:customStyle="1" w:styleId="87">
    <w:name w:val=" Char"/>
    <w:basedOn w:val="1"/>
    <w:qFormat/>
    <w:uiPriority w:val="0"/>
    <w:rPr>
      <w:rFonts w:ascii="Tahoma" w:hAnsi="Tahoma"/>
      <w:sz w:val="24"/>
      <w:szCs w:val="20"/>
    </w:rPr>
  </w:style>
  <w:style w:type="character" w:customStyle="1" w:styleId="88">
    <w:name w:val="bd2"/>
    <w:basedOn w:val="37"/>
    <w:qFormat/>
    <w:uiPriority w:val="0"/>
  </w:style>
  <w:style w:type="character" w:customStyle="1" w:styleId="89">
    <w:name w:val="articlelink"/>
    <w:basedOn w:val="37"/>
    <w:qFormat/>
    <w:uiPriority w:val="0"/>
  </w:style>
  <w:style w:type="paragraph" w:customStyle="1" w:styleId="90">
    <w:name w:val="Default"/>
    <w:qFormat/>
    <w:uiPriority w:val="0"/>
    <w:pPr>
      <w:widowControl w:val="0"/>
      <w:autoSpaceDE w:val="0"/>
      <w:autoSpaceDN w:val="0"/>
      <w:adjustRightInd w:val="0"/>
      <w:spacing w:after="0" w:line="240" w:lineRule="auto"/>
    </w:pPr>
    <w:rPr>
      <w:rFonts w:ascii="Arial" w:hAnsi="Arial" w:eastAsia="宋体" w:cs="Arial"/>
      <w:color w:val="000000"/>
      <w:kern w:val="0"/>
      <w:sz w:val="24"/>
      <w:szCs w:val="24"/>
      <w:lang w:val="en-US" w:eastAsia="zh-CN" w:bidi="ar-SA"/>
      <w14:ligatures w14:val="none"/>
    </w:rPr>
  </w:style>
  <w:style w:type="character" w:customStyle="1" w:styleId="91">
    <w:name w:val="apple-style-span"/>
    <w:basedOn w:val="37"/>
    <w:qFormat/>
    <w:uiPriority w:val="0"/>
  </w:style>
  <w:style w:type="paragraph" w:customStyle="1" w:styleId="92">
    <w:name w:val="바탕글"/>
    <w:qFormat/>
    <w:uiPriority w:val="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jc w:val="both"/>
    </w:pPr>
    <w:rPr>
      <w:rFonts w:ascii="Batang" w:hAnsi="Times New Roman" w:eastAsia="Batang" w:cs="Times New Roman"/>
      <w:color w:val="000000"/>
      <w:kern w:val="0"/>
      <w:sz w:val="20"/>
      <w:szCs w:val="20"/>
      <w:lang w:val="en-US" w:eastAsia="ko-KR" w:bidi="ar-SA"/>
      <w14:ligatures w14:val="none"/>
    </w:rPr>
  </w:style>
  <w:style w:type="character" w:customStyle="1" w:styleId="93">
    <w:name w:val="a"/>
    <w:basedOn w:val="37"/>
    <w:qFormat/>
    <w:uiPriority w:val="0"/>
  </w:style>
  <w:style w:type="character" w:customStyle="1" w:styleId="94">
    <w:name w:val="正文文本缩进 字符"/>
    <w:basedOn w:val="37"/>
    <w:link w:val="15"/>
    <w:qFormat/>
    <w:uiPriority w:val="0"/>
    <w:rPr>
      <w:rFonts w:ascii="Times New Roman" w:hAnsi="Times New Roman" w:eastAsia="宋体" w:cs="Times New Roman"/>
      <w:sz w:val="21"/>
      <w14:ligatures w14:val="none"/>
    </w:rPr>
  </w:style>
  <w:style w:type="character" w:customStyle="1" w:styleId="95">
    <w:name w:val="正文文本 字符"/>
    <w:basedOn w:val="37"/>
    <w:link w:val="14"/>
    <w:qFormat/>
    <w:uiPriority w:val="0"/>
    <w:rPr>
      <w:rFonts w:ascii="Times New Roman" w:hAnsi="Times New Roman" w:eastAsia="宋体" w:cs="Times New Roman"/>
      <w:sz w:val="21"/>
      <w14:ligatures w14:val="none"/>
    </w:rPr>
  </w:style>
  <w:style w:type="character" w:customStyle="1" w:styleId="96">
    <w:name w:val="txtbodycopy1"/>
    <w:qFormat/>
    <w:uiPriority w:val="0"/>
    <w:rPr>
      <w:rFonts w:hint="default" w:ascii="Verdana" w:hAnsi="Verdana"/>
      <w:color w:val="333333"/>
      <w:sz w:val="17"/>
      <w:szCs w:val="17"/>
    </w:rPr>
  </w:style>
  <w:style w:type="table" w:customStyle="1" w:styleId="97">
    <w:name w:val="三线表"/>
    <w:basedOn w:val="33"/>
    <w:qFormat/>
    <w:uiPriority w:val="0"/>
    <w:tblPr/>
    <w:tblStylePr w:type="firstRow">
      <w:tcPr>
        <w:tcBorders>
          <w:bottom w:val="nil"/>
        </w:tcBorders>
      </w:tcPr>
    </w:tblStylePr>
  </w:style>
  <w:style w:type="character" w:customStyle="1" w:styleId="98">
    <w:name w:val="hei_11"/>
    <w:qFormat/>
    <w:uiPriority w:val="0"/>
    <w:rPr>
      <w:rFonts w:hint="default" w:ascii="ˎ̥" w:hAnsi="ˎ̥"/>
      <w:color w:val="000000"/>
      <w:sz w:val="18"/>
      <w:szCs w:val="18"/>
    </w:rPr>
  </w:style>
  <w:style w:type="paragraph" w:customStyle="1" w:styleId="99">
    <w:name w:val=" Char Char Char Char Char Char Char"/>
    <w:basedOn w:val="1"/>
    <w:autoRedefine/>
    <w:qFormat/>
    <w:uiPriority w:val="0"/>
    <w:pPr>
      <w:tabs>
        <w:tab w:val="left" w:pos="360"/>
      </w:tabs>
    </w:pPr>
    <w:rPr>
      <w:sz w:val="24"/>
    </w:rPr>
  </w:style>
  <w:style w:type="character" w:customStyle="1" w:styleId="100">
    <w:name w:val="HTML 预设格式 字符"/>
    <w:basedOn w:val="37"/>
    <w:link w:val="27"/>
    <w:qFormat/>
    <w:uiPriority w:val="0"/>
    <w:rPr>
      <w:rFonts w:ascii="Arial" w:hAnsi="Arial" w:eastAsia="宋体" w:cs="Arial"/>
      <w:kern w:val="0"/>
      <w:sz w:val="21"/>
      <w:szCs w:val="21"/>
      <w14:ligatures w14:val="none"/>
    </w:rPr>
  </w:style>
  <w:style w:type="character" w:customStyle="1" w:styleId="101">
    <w:name w:val="日期 字符"/>
    <w:basedOn w:val="37"/>
    <w:link w:val="18"/>
    <w:qFormat/>
    <w:uiPriority w:val="0"/>
    <w:rPr>
      <w:rFonts w:ascii="Times New Roman" w:hAnsi="Times New Roman" w:eastAsia="宋体" w:cs="Times New Roman"/>
      <w:sz w:val="21"/>
      <w14:ligatures w14:val="none"/>
    </w:rPr>
  </w:style>
  <w:style w:type="character" w:customStyle="1" w:styleId="102">
    <w:name w:val="纯文本 字符"/>
    <w:basedOn w:val="37"/>
    <w:link w:val="17"/>
    <w:qFormat/>
    <w:uiPriority w:val="0"/>
    <w:rPr>
      <w:rFonts w:ascii="宋体" w:hAnsi="Courier New" w:eastAsia="宋体" w:cs="Courier New"/>
      <w:sz w:val="24"/>
      <w:szCs w:val="21"/>
      <w14:ligatures w14:val="none"/>
    </w:rPr>
  </w:style>
  <w:style w:type="character" w:customStyle="1" w:styleId="103">
    <w:name w:val="文档结构图 字符"/>
    <w:basedOn w:val="37"/>
    <w:semiHidden/>
    <w:qFormat/>
    <w:uiPriority w:val="99"/>
    <w:rPr>
      <w:rFonts w:ascii="Microsoft YaHei UI" w:hAnsi="Times New Roman" w:eastAsia="Microsoft YaHei UI" w:cs="Times New Roman"/>
      <w:sz w:val="18"/>
      <w:szCs w:val="18"/>
      <w14:ligatures w14:val="none"/>
    </w:rPr>
  </w:style>
  <w:style w:type="character" w:customStyle="1" w:styleId="104">
    <w:name w:val="文档结构图 Char"/>
    <w:link w:val="12"/>
    <w:qFormat/>
    <w:uiPriority w:val="0"/>
    <w:rPr>
      <w:rFonts w:ascii="宋体" w:hAnsi="Times New Roman" w:eastAsia="宋体" w:cs="Times New Roman"/>
      <w:sz w:val="18"/>
      <w:szCs w:val="18"/>
      <w14:ligatures w14:val="none"/>
    </w:rPr>
  </w:style>
  <w:style w:type="character" w:customStyle="1" w:styleId="105">
    <w:name w:val="medium_text"/>
    <w:basedOn w:val="37"/>
    <w:qFormat/>
    <w:uiPriority w:val="0"/>
  </w:style>
  <w:style w:type="character" w:customStyle="1" w:styleId="106">
    <w:name w:val="medium_text1"/>
    <w:qFormat/>
    <w:uiPriority w:val="0"/>
    <w:rPr>
      <w:sz w:val="20"/>
      <w:szCs w:val="20"/>
    </w:rPr>
  </w:style>
  <w:style w:type="character" w:customStyle="1" w:styleId="107">
    <w:name w:val="content"/>
    <w:basedOn w:val="37"/>
    <w:qFormat/>
    <w:uiPriority w:val="0"/>
  </w:style>
  <w:style w:type="character" w:customStyle="1" w:styleId="108">
    <w:name w:val=" Char Char9"/>
    <w:qFormat/>
    <w:uiPriority w:val="0"/>
    <w:rPr>
      <w:rFonts w:ascii="楷体_GB2312" w:hAnsi="Calibri" w:eastAsia="楷体_GB2312"/>
      <w:b/>
      <w:bCs/>
      <w:kern w:val="44"/>
      <w:sz w:val="32"/>
      <w:szCs w:val="32"/>
      <w:lang w:val="en-US" w:eastAsia="zh-CN" w:bidi="ar-SA"/>
    </w:rPr>
  </w:style>
  <w:style w:type="character" w:customStyle="1" w:styleId="109">
    <w:name w:val=" Char Char8"/>
    <w:qFormat/>
    <w:uiPriority w:val="0"/>
    <w:rPr>
      <w:rFonts w:ascii="楷体_GB2312" w:hAnsi="Arial" w:eastAsia="楷体_GB2312"/>
      <w:b/>
      <w:bCs/>
      <w:kern w:val="2"/>
      <w:sz w:val="30"/>
      <w:szCs w:val="30"/>
      <w:lang w:val="en-US" w:eastAsia="zh-CN" w:bidi="ar-SA"/>
    </w:rPr>
  </w:style>
  <w:style w:type="character" w:customStyle="1" w:styleId="110">
    <w:name w:val="read"/>
    <w:basedOn w:val="37"/>
    <w:qFormat/>
    <w:uiPriority w:val="0"/>
  </w:style>
  <w:style w:type="paragraph" w:customStyle="1" w:styleId="111">
    <w:name w:val="TOC Heading"/>
    <w:basedOn w:val="2"/>
    <w:next w:val="1"/>
    <w:link w:val="112"/>
    <w:qFormat/>
    <w:uiPriority w:val="0"/>
    <w:pPr>
      <w:widowControl/>
      <w:spacing w:after="0" w:line="276" w:lineRule="auto"/>
      <w:ind w:firstLine="480" w:firstLineChars="200"/>
      <w:outlineLvl w:val="9"/>
    </w:pPr>
    <w:rPr>
      <w:rFonts w:ascii="Cambria" w:hAnsi="Cambria" w:eastAsia="宋体" w:cs="Times New Roman"/>
      <w:b/>
      <w:bCs/>
      <w:color w:val="365F91"/>
      <w:kern w:val="0"/>
      <w:sz w:val="28"/>
      <w:szCs w:val="28"/>
    </w:rPr>
  </w:style>
  <w:style w:type="character" w:customStyle="1" w:styleId="112">
    <w:name w:val="TOC 标题 Char"/>
    <w:link w:val="111"/>
    <w:qFormat/>
    <w:uiPriority w:val="0"/>
    <w:rPr>
      <w:rFonts w:ascii="Cambria" w:hAnsi="Cambria" w:eastAsia="宋体" w:cs="Times New Roman"/>
      <w:b/>
      <w:bCs/>
      <w:color w:val="365F91"/>
      <w:kern w:val="0"/>
      <w:sz w:val="28"/>
      <w:szCs w:val="28"/>
      <w14:ligatures w14:val="none"/>
    </w:rPr>
  </w:style>
  <w:style w:type="table" w:customStyle="1" w:styleId="113">
    <w:name w:val="表格样式1"/>
    <w:basedOn w:val="31"/>
    <w:qFormat/>
    <w:uiPriority w:val="0"/>
    <w:pPr>
      <w:spacing w:after="0" w:line="240" w:lineRule="auto"/>
    </w:pPr>
    <w:rPr>
      <w:rFonts w:ascii="Times New Roman" w:hAnsi="Times New Roman" w:eastAsia="宋体" w:cs="Times New Roman"/>
      <w:kern w:val="0"/>
      <w:sz w:val="20"/>
      <w:szCs w:val="20"/>
      <w14:ligatures w14:val="none"/>
    </w:rPr>
  </w:style>
  <w:style w:type="character" w:customStyle="1" w:styleId="114">
    <w:name w:val="正文文本 2 字符"/>
    <w:basedOn w:val="37"/>
    <w:link w:val="26"/>
    <w:qFormat/>
    <w:uiPriority w:val="0"/>
    <w:rPr>
      <w:rFonts w:ascii="Times New Roman" w:hAnsi="Times New Roman" w:eastAsia="宋体" w:cs="Times New Roman"/>
      <w:sz w:val="21"/>
      <w14:ligatures w14:val="none"/>
    </w:rPr>
  </w:style>
  <w:style w:type="character" w:customStyle="1" w:styleId="115">
    <w:name w:val="unnamed11"/>
    <w:qFormat/>
    <w:uiPriority w:val="0"/>
    <w:rPr>
      <w:rFonts w:hint="default" w:ascii="_GB2312" w:hAnsi="_GB2312"/>
      <w:color w:val="666666"/>
      <w:sz w:val="18"/>
      <w:szCs w:val="18"/>
    </w:rPr>
  </w:style>
  <w:style w:type="paragraph" w:customStyle="1" w:styleId="116">
    <w:name w:val="p_content"/>
    <w:basedOn w:val="1"/>
    <w:qFormat/>
    <w:uiPriority w:val="0"/>
    <w:pPr>
      <w:widowControl/>
      <w:spacing w:before="150" w:after="75" w:line="345" w:lineRule="atLeast"/>
      <w:ind w:left="300" w:right="300"/>
      <w:jc w:val="left"/>
    </w:pPr>
    <w:rPr>
      <w:rFonts w:ascii="宋体" w:hAnsi="宋体"/>
      <w:color w:val="000000"/>
      <w:kern w:val="0"/>
      <w:sz w:val="18"/>
      <w:szCs w:val="18"/>
    </w:rPr>
  </w:style>
  <w:style w:type="paragraph" w:customStyle="1" w:styleId="117">
    <w:name w:val="Standard"/>
    <w:qFormat/>
    <w:uiPriority w:val="0"/>
    <w:pPr>
      <w:widowControl w:val="0"/>
      <w:suppressAutoHyphens/>
      <w:autoSpaceDN w:val="0"/>
      <w:spacing w:after="0" w:line="240" w:lineRule="auto"/>
      <w:textAlignment w:val="baseline"/>
    </w:pPr>
    <w:rPr>
      <w:rFonts w:ascii="Times New Roman" w:hAnsi="Times New Roman" w:eastAsia="宋体" w:cs="Mangal"/>
      <w:kern w:val="3"/>
      <w:sz w:val="24"/>
      <w:szCs w:val="24"/>
      <w:lang w:val="en-US" w:eastAsia="zh-CN" w:bidi="hi-IN"/>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17770</Words>
  <Characters>21508</Characters>
  <Lines>239</Lines>
  <Paragraphs>67</Paragraphs>
  <TotalTime>3</TotalTime>
  <ScaleCrop>false</ScaleCrop>
  <LinksUpToDate>false</LinksUpToDate>
  <CharactersWithSpaces>22046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2025-10-21T08:53:00Z</dcterms:created>
  <dc:creator>charles nomercy</dc:creator>
  <cp:lastModifiedBy>User</cp:lastModifiedBy>
  <dcterms:modified xsi:type="dcterms:W3CDTF">2025-10-22T06:48:18Z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710E449A7D9E40698F370AF3F9956E82_12</vt:lpwstr>
  </property>
</Properties>
</file>