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6A73" w14:textId="77777777" w:rsidR="008F4122" w:rsidRDefault="008F4122" w:rsidP="008F4122">
      <w:pPr>
        <w:spacing w:line="440" w:lineRule="exact"/>
        <w:jc w:val="center"/>
        <w:outlineLvl w:val="1"/>
        <w:rPr>
          <w:rFonts w:ascii="黑体" w:eastAsia="黑体"/>
          <w:bCs/>
          <w:sz w:val="30"/>
          <w:szCs w:val="30"/>
        </w:rPr>
      </w:pPr>
      <w:r w:rsidRPr="00800D22">
        <w:rPr>
          <w:rFonts w:ascii="黑体" w:eastAsia="黑体" w:hint="eastAsia"/>
          <w:bCs/>
          <w:sz w:val="30"/>
          <w:szCs w:val="30"/>
        </w:rPr>
        <w:t>可交换债券创新及发展研究</w:t>
      </w:r>
    </w:p>
    <w:p w14:paraId="66B7930B" w14:textId="77777777" w:rsidR="008F4122" w:rsidRPr="00800D22" w:rsidRDefault="008F4122" w:rsidP="008F4122">
      <w:pPr>
        <w:spacing w:beforeLines="100" w:before="312" w:afterLines="100" w:after="312" w:line="440" w:lineRule="exact"/>
        <w:jc w:val="center"/>
        <w:rPr>
          <w:b/>
          <w:sz w:val="24"/>
        </w:rPr>
      </w:pPr>
      <w:r w:rsidRPr="00800D22">
        <w:rPr>
          <w:rFonts w:hint="eastAsia"/>
          <w:b/>
          <w:sz w:val="24"/>
        </w:rPr>
        <w:t>一、可交换债券的发展史及发展现状</w:t>
      </w:r>
    </w:p>
    <w:p w14:paraId="2B9101F6" w14:textId="77777777" w:rsidR="008F4122" w:rsidRPr="00800D22" w:rsidRDefault="008F4122" w:rsidP="008F4122">
      <w:pPr>
        <w:spacing w:line="440" w:lineRule="exact"/>
        <w:ind w:firstLineChars="200" w:firstLine="420"/>
        <w:rPr>
          <w:szCs w:val="21"/>
        </w:rPr>
      </w:pPr>
      <w:r w:rsidRPr="00800D22">
        <w:rPr>
          <w:szCs w:val="21"/>
        </w:rPr>
        <w:t>可交换债券起源于可转换债券。</w:t>
      </w:r>
      <w:r w:rsidRPr="00800D22">
        <w:rPr>
          <w:szCs w:val="21"/>
        </w:rPr>
        <w:t>1843</w:t>
      </w:r>
      <w:r w:rsidRPr="00800D22">
        <w:rPr>
          <w:rFonts w:hAnsi="宋体"/>
          <w:szCs w:val="21"/>
        </w:rPr>
        <w:t>年美国</w:t>
      </w:r>
      <w:r w:rsidRPr="00800D22">
        <w:rPr>
          <w:szCs w:val="21"/>
        </w:rPr>
        <w:t>NEW YORK ERIE</w:t>
      </w:r>
      <w:r w:rsidRPr="00800D22">
        <w:rPr>
          <w:rFonts w:hAnsi="宋体"/>
          <w:szCs w:val="21"/>
        </w:rPr>
        <w:t>铁道公司为了筹集到铁路建设所需的巨额长期资金，发行了第一张可转换债券。在此后的</w:t>
      </w:r>
      <w:r w:rsidRPr="00800D22">
        <w:rPr>
          <w:szCs w:val="21"/>
        </w:rPr>
        <w:t>100</w:t>
      </w:r>
      <w:r w:rsidRPr="00800D22">
        <w:rPr>
          <w:rFonts w:hAnsi="宋体"/>
          <w:szCs w:val="21"/>
        </w:rPr>
        <w:t>多年时间里，可转换债券一直没有得到市场的认同和重视，直到</w:t>
      </w:r>
      <w:r w:rsidRPr="00800D22">
        <w:rPr>
          <w:szCs w:val="21"/>
        </w:rPr>
        <w:t>20</w:t>
      </w:r>
      <w:r w:rsidRPr="00800D22">
        <w:rPr>
          <w:rFonts w:hAnsi="宋体"/>
          <w:szCs w:val="21"/>
        </w:rPr>
        <w:t>世纪</w:t>
      </w:r>
      <w:r w:rsidRPr="00800D22">
        <w:rPr>
          <w:szCs w:val="21"/>
        </w:rPr>
        <w:t>50</w:t>
      </w:r>
      <w:r w:rsidRPr="00800D22">
        <w:rPr>
          <w:rFonts w:hAnsi="宋体"/>
          <w:szCs w:val="21"/>
        </w:rPr>
        <w:t>年代，债券投资人开始寻求新的投资工具时，可转换债券及其他金融衍生产品才进入人们的视野，并在全球范围内迅速发展起来。</w:t>
      </w:r>
      <w:r w:rsidRPr="00800D22">
        <w:rPr>
          <w:szCs w:val="21"/>
        </w:rPr>
        <w:t>20</w:t>
      </w:r>
      <w:r w:rsidRPr="00800D22">
        <w:rPr>
          <w:rFonts w:hAnsi="宋体"/>
          <w:szCs w:val="21"/>
        </w:rPr>
        <w:t>世纪</w:t>
      </w:r>
      <w:r w:rsidRPr="00800D22">
        <w:rPr>
          <w:szCs w:val="21"/>
        </w:rPr>
        <w:t>50</w:t>
      </w:r>
      <w:r w:rsidRPr="00800D22">
        <w:rPr>
          <w:rFonts w:hAnsi="宋体"/>
          <w:szCs w:val="21"/>
        </w:rPr>
        <w:t>年代第一次出现了具有赎回条款的可转换债券，</w:t>
      </w:r>
      <w:r w:rsidRPr="00800D22">
        <w:rPr>
          <w:szCs w:val="21"/>
        </w:rPr>
        <w:t>1975</w:t>
      </w:r>
      <w:r w:rsidRPr="00800D22">
        <w:rPr>
          <w:rFonts w:hAnsi="宋体"/>
          <w:szCs w:val="21"/>
        </w:rPr>
        <w:t>年日本东芝公司发行了世界上第一例附有回售条款的可转换债券。随着金融创新活动的不断深入，资本市场上出现了以其他公司股份作为转换标的股票的可交换债券。这种债券在创设之初主要是用于满足欧洲一些国家国有企业私有化的需要，以及一些企业为了提高透明度和向其他方向发展，通过发行可交换债券来解除公司之间的相互控制。后来人们在应用过程中发现可交换债券在低息融资和并购重组等方面具有显著优势，可交换债券市场因此也逐步发展壮大。</w:t>
      </w:r>
    </w:p>
    <w:p w14:paraId="75050298" w14:textId="77777777" w:rsidR="008F4122" w:rsidRPr="00800D22" w:rsidRDefault="008F4122" w:rsidP="008F4122">
      <w:pPr>
        <w:autoSpaceDE w:val="0"/>
        <w:autoSpaceDN w:val="0"/>
        <w:adjustRightInd w:val="0"/>
        <w:spacing w:line="440" w:lineRule="exact"/>
        <w:ind w:firstLineChars="200" w:firstLine="420"/>
        <w:jc w:val="left"/>
        <w:rPr>
          <w:szCs w:val="21"/>
        </w:rPr>
      </w:pPr>
      <w:r w:rsidRPr="00800D22">
        <w:rPr>
          <w:rFonts w:hAnsi="宋体"/>
          <w:szCs w:val="21"/>
        </w:rPr>
        <w:t>可交换债券近年来在欧洲债券市场发展非常迅速，目前欧洲可交换债券占整个可转换公司债</w:t>
      </w:r>
      <w:proofErr w:type="gramStart"/>
      <w:r w:rsidRPr="00800D22">
        <w:rPr>
          <w:rFonts w:hAnsi="宋体"/>
          <w:szCs w:val="21"/>
        </w:rPr>
        <w:t>券</w:t>
      </w:r>
      <w:proofErr w:type="gramEnd"/>
      <w:r w:rsidRPr="00800D22">
        <w:rPr>
          <w:rFonts w:hAnsi="宋体"/>
          <w:szCs w:val="21"/>
        </w:rPr>
        <w:t>市场的份额约</w:t>
      </w:r>
      <w:r w:rsidRPr="00800D22">
        <w:rPr>
          <w:szCs w:val="21"/>
        </w:rPr>
        <w:t>50</w:t>
      </w:r>
      <w:r w:rsidRPr="00800D22">
        <w:rPr>
          <w:szCs w:val="21"/>
        </w:rPr>
        <w:t>％</w:t>
      </w:r>
      <w:r w:rsidRPr="00800D22">
        <w:rPr>
          <w:rFonts w:hAnsi="宋体"/>
          <w:szCs w:val="21"/>
        </w:rPr>
        <w:t>左右。欧洲的可交换债券的形式也在不断创新之中，发行人在国内和国外发行可交换债券，标的股票可以是发行人在国内或者国外所持的股权。在欧洲，可交换债券被广泛应用于普通融资、减持股权套利和并购的资本项目中。</w:t>
      </w:r>
    </w:p>
    <w:p w14:paraId="5C418551" w14:textId="77777777" w:rsidR="008F4122" w:rsidRPr="00800D22" w:rsidRDefault="008F4122" w:rsidP="008F4122">
      <w:pPr>
        <w:autoSpaceDE w:val="0"/>
        <w:autoSpaceDN w:val="0"/>
        <w:adjustRightInd w:val="0"/>
        <w:spacing w:line="440" w:lineRule="exact"/>
        <w:ind w:firstLineChars="200" w:firstLine="420"/>
        <w:jc w:val="left"/>
        <w:rPr>
          <w:szCs w:val="21"/>
        </w:rPr>
      </w:pPr>
      <w:r w:rsidRPr="00800D22">
        <w:rPr>
          <w:rFonts w:hAnsi="宋体"/>
          <w:szCs w:val="21"/>
        </w:rPr>
        <w:t>在美国，可交换债券开始被应用主要是因为它的税收优势，相对于直接出售股票而言，发行可交换债券可以延期缴纳资本所得税。可交换债券在美国的发展非常迅速，据不完全统计，在</w:t>
      </w:r>
      <w:r w:rsidRPr="00800D22">
        <w:rPr>
          <w:szCs w:val="21"/>
        </w:rPr>
        <w:t>1980</w:t>
      </w:r>
      <w:r w:rsidRPr="00800D22">
        <w:rPr>
          <w:rFonts w:hAnsi="宋体"/>
          <w:szCs w:val="21"/>
        </w:rPr>
        <w:t>年可交换债券的发行份额只占美国资本市场上权益关联类债券</w:t>
      </w:r>
      <w:r w:rsidRPr="00800D22">
        <w:rPr>
          <w:szCs w:val="21"/>
        </w:rPr>
        <w:t>6%</w:t>
      </w:r>
      <w:r w:rsidRPr="00800D22">
        <w:rPr>
          <w:rFonts w:hAnsi="宋体"/>
          <w:szCs w:val="21"/>
        </w:rPr>
        <w:t>的比重，到了</w:t>
      </w:r>
      <w:r w:rsidRPr="00800D22">
        <w:rPr>
          <w:szCs w:val="21"/>
        </w:rPr>
        <w:t>1998</w:t>
      </w:r>
      <w:r w:rsidRPr="00800D22">
        <w:rPr>
          <w:rFonts w:hAnsi="宋体"/>
          <w:szCs w:val="21"/>
        </w:rPr>
        <w:t>年，这一比重已经上升至</w:t>
      </w:r>
      <w:r w:rsidRPr="00800D22">
        <w:rPr>
          <w:szCs w:val="21"/>
        </w:rPr>
        <w:t>50%</w:t>
      </w:r>
      <w:r w:rsidRPr="00800D22">
        <w:rPr>
          <w:rFonts w:hAnsi="宋体"/>
          <w:szCs w:val="21"/>
        </w:rPr>
        <w:t>。</w:t>
      </w:r>
    </w:p>
    <w:p w14:paraId="58A45741" w14:textId="30D56ACB" w:rsidR="008F4122" w:rsidRPr="00800D22" w:rsidRDefault="008F4122" w:rsidP="008F4122">
      <w:pPr>
        <w:pStyle w:val="ae"/>
        <w:spacing w:beforeLines="100" w:before="312"/>
        <w:jc w:val="center"/>
        <w:rPr>
          <w:rFonts w:ascii="Times New Roman" w:eastAsia="新宋体" w:hAnsi="新宋体" w:cs="Times New Roman"/>
          <w:sz w:val="21"/>
          <w:szCs w:val="21"/>
        </w:rPr>
      </w:pPr>
      <w:bookmarkStart w:id="0" w:name="_Toc256506932"/>
      <w:r w:rsidRPr="00800D22">
        <w:rPr>
          <w:rFonts w:ascii="Times New Roman" w:eastAsia="新宋体" w:hAnsi="新宋体" w:cs="Times New Roman" w:hint="eastAsia"/>
          <w:sz w:val="21"/>
          <w:szCs w:val="21"/>
        </w:rPr>
        <w:t>表</w:t>
      </w:r>
      <w:r w:rsidR="00B510E7">
        <w:rPr>
          <w:rFonts w:ascii="Times New Roman" w:eastAsia="新宋体" w:hAnsi="新宋体" w:cs="Times New Roman" w:hint="eastAsia"/>
          <w:sz w:val="21"/>
          <w:szCs w:val="21"/>
        </w:rPr>
        <w:t>1</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美国企业发行的可交换债券情况</w:t>
      </w:r>
      <w:bookmarkEnd w:id="0"/>
    </w:p>
    <w:p w14:paraId="33B448DB" w14:textId="486FCB57" w:rsidR="008F4122" w:rsidRPr="00800D22" w:rsidRDefault="008F4122" w:rsidP="008F4122">
      <w:pPr>
        <w:jc w:val="center"/>
      </w:pPr>
      <w:r w:rsidRPr="00800D22">
        <w:rPr>
          <w:szCs w:val="21"/>
        </w:rPr>
        <w:t>table</w:t>
      </w:r>
      <w:r w:rsidRPr="00800D22">
        <w:rPr>
          <w:rFonts w:hint="eastAsia"/>
          <w:szCs w:val="21"/>
        </w:rPr>
        <w:t xml:space="preserve"> 5  </w:t>
      </w:r>
      <w:r w:rsidRPr="00800D22">
        <w:rPr>
          <w:szCs w:val="21"/>
        </w:rPr>
        <w:t>Exchangeable bonds issued by U.S. companies</w:t>
      </w:r>
    </w:p>
    <w:tbl>
      <w:tblPr>
        <w:tblW w:w="5000" w:type="pct"/>
        <w:tblLook w:val="01E0" w:firstRow="1" w:lastRow="1" w:firstColumn="1" w:lastColumn="1" w:noHBand="0" w:noVBand="0"/>
      </w:tblPr>
      <w:tblGrid>
        <w:gridCol w:w="1352"/>
        <w:gridCol w:w="2693"/>
        <w:gridCol w:w="4477"/>
      </w:tblGrid>
      <w:tr w:rsidR="008F4122" w:rsidRPr="00BA6BF4" w14:paraId="7D19B6BA" w14:textId="77777777" w:rsidTr="00573A00">
        <w:tc>
          <w:tcPr>
            <w:tcW w:w="793" w:type="pct"/>
            <w:tcBorders>
              <w:top w:val="single" w:sz="4" w:space="0" w:color="auto"/>
              <w:bottom w:val="single" w:sz="4" w:space="0" w:color="auto"/>
            </w:tcBorders>
            <w:vAlign w:val="center"/>
          </w:tcPr>
          <w:p w14:paraId="265BD725" w14:textId="77777777" w:rsidR="008F4122" w:rsidRPr="00BA6BF4" w:rsidRDefault="008F4122" w:rsidP="00573A00">
            <w:pPr>
              <w:rPr>
                <w:szCs w:val="21"/>
              </w:rPr>
            </w:pPr>
            <w:r w:rsidRPr="00BA6BF4">
              <w:rPr>
                <w:rFonts w:hint="eastAsia"/>
                <w:szCs w:val="21"/>
              </w:rPr>
              <w:t>时间</w:t>
            </w:r>
          </w:p>
        </w:tc>
        <w:tc>
          <w:tcPr>
            <w:tcW w:w="1580" w:type="pct"/>
            <w:tcBorders>
              <w:top w:val="single" w:sz="4" w:space="0" w:color="auto"/>
              <w:bottom w:val="single" w:sz="4" w:space="0" w:color="auto"/>
            </w:tcBorders>
            <w:vAlign w:val="center"/>
          </w:tcPr>
          <w:p w14:paraId="2C597B43" w14:textId="77777777" w:rsidR="008F4122" w:rsidRPr="00BA6BF4" w:rsidRDefault="008F4122" w:rsidP="00573A00">
            <w:pPr>
              <w:rPr>
                <w:szCs w:val="21"/>
              </w:rPr>
            </w:pPr>
            <w:r w:rsidRPr="00BA6BF4">
              <w:rPr>
                <w:rFonts w:hint="eastAsia"/>
                <w:szCs w:val="21"/>
              </w:rPr>
              <w:t>发行人数量</w:t>
            </w:r>
          </w:p>
        </w:tc>
        <w:tc>
          <w:tcPr>
            <w:tcW w:w="2627" w:type="pct"/>
            <w:tcBorders>
              <w:top w:val="single" w:sz="4" w:space="0" w:color="auto"/>
              <w:bottom w:val="single" w:sz="4" w:space="0" w:color="auto"/>
            </w:tcBorders>
            <w:vAlign w:val="center"/>
          </w:tcPr>
          <w:p w14:paraId="7FDA847D" w14:textId="77777777" w:rsidR="008F4122" w:rsidRPr="00BA6BF4" w:rsidRDefault="008F4122" w:rsidP="00573A00">
            <w:pPr>
              <w:rPr>
                <w:szCs w:val="21"/>
              </w:rPr>
            </w:pPr>
            <w:r w:rsidRPr="00BA6BF4">
              <w:rPr>
                <w:rFonts w:hint="eastAsia"/>
                <w:szCs w:val="21"/>
              </w:rPr>
              <w:t>发行额（百万美元）</w:t>
            </w:r>
          </w:p>
        </w:tc>
      </w:tr>
      <w:tr w:rsidR="008F4122" w:rsidRPr="00BA6BF4" w14:paraId="7CA3CF39" w14:textId="77777777" w:rsidTr="00573A00">
        <w:tc>
          <w:tcPr>
            <w:tcW w:w="793" w:type="pct"/>
            <w:tcBorders>
              <w:top w:val="single" w:sz="4" w:space="0" w:color="auto"/>
            </w:tcBorders>
            <w:vAlign w:val="center"/>
          </w:tcPr>
          <w:p w14:paraId="5E83FF92" w14:textId="77777777" w:rsidR="008F4122" w:rsidRPr="00BA6BF4" w:rsidRDefault="008F4122" w:rsidP="00573A00">
            <w:pPr>
              <w:rPr>
                <w:sz w:val="18"/>
                <w:szCs w:val="18"/>
              </w:rPr>
            </w:pPr>
            <w:r w:rsidRPr="00BA6BF4">
              <w:rPr>
                <w:sz w:val="18"/>
                <w:szCs w:val="18"/>
              </w:rPr>
              <w:t>1981</w:t>
            </w:r>
          </w:p>
        </w:tc>
        <w:tc>
          <w:tcPr>
            <w:tcW w:w="1580" w:type="pct"/>
            <w:tcBorders>
              <w:top w:val="single" w:sz="4" w:space="0" w:color="auto"/>
            </w:tcBorders>
            <w:vAlign w:val="center"/>
          </w:tcPr>
          <w:p w14:paraId="08F06394" w14:textId="77777777" w:rsidR="008F4122" w:rsidRPr="00BA6BF4" w:rsidRDefault="008F4122" w:rsidP="00573A00">
            <w:pPr>
              <w:rPr>
                <w:sz w:val="18"/>
                <w:szCs w:val="18"/>
              </w:rPr>
            </w:pPr>
            <w:r w:rsidRPr="00BA6BF4">
              <w:rPr>
                <w:sz w:val="18"/>
                <w:szCs w:val="18"/>
              </w:rPr>
              <w:t>4</w:t>
            </w:r>
          </w:p>
        </w:tc>
        <w:tc>
          <w:tcPr>
            <w:tcW w:w="2627" w:type="pct"/>
            <w:tcBorders>
              <w:top w:val="single" w:sz="4" w:space="0" w:color="auto"/>
            </w:tcBorders>
            <w:vAlign w:val="center"/>
          </w:tcPr>
          <w:p w14:paraId="0928C896" w14:textId="77777777" w:rsidR="008F4122" w:rsidRPr="00BA6BF4" w:rsidRDefault="008F4122" w:rsidP="00573A00">
            <w:pPr>
              <w:rPr>
                <w:sz w:val="18"/>
                <w:szCs w:val="18"/>
              </w:rPr>
            </w:pPr>
            <w:r w:rsidRPr="00BA6BF4">
              <w:rPr>
                <w:sz w:val="18"/>
                <w:szCs w:val="18"/>
              </w:rPr>
              <w:t>436</w:t>
            </w:r>
          </w:p>
        </w:tc>
      </w:tr>
      <w:tr w:rsidR="008F4122" w:rsidRPr="00BA6BF4" w14:paraId="73A10EF4" w14:textId="77777777" w:rsidTr="00573A00">
        <w:tc>
          <w:tcPr>
            <w:tcW w:w="793" w:type="pct"/>
            <w:vAlign w:val="center"/>
          </w:tcPr>
          <w:p w14:paraId="3351A868" w14:textId="77777777" w:rsidR="008F4122" w:rsidRPr="00BA6BF4" w:rsidRDefault="008F4122" w:rsidP="00573A00">
            <w:pPr>
              <w:rPr>
                <w:sz w:val="18"/>
                <w:szCs w:val="18"/>
              </w:rPr>
            </w:pPr>
            <w:r w:rsidRPr="00BA6BF4">
              <w:rPr>
                <w:sz w:val="18"/>
                <w:szCs w:val="18"/>
              </w:rPr>
              <w:t>1982</w:t>
            </w:r>
          </w:p>
        </w:tc>
        <w:tc>
          <w:tcPr>
            <w:tcW w:w="1580" w:type="pct"/>
            <w:vAlign w:val="center"/>
          </w:tcPr>
          <w:p w14:paraId="5EB66A6E" w14:textId="77777777" w:rsidR="008F4122" w:rsidRPr="00BA6BF4" w:rsidRDefault="008F4122" w:rsidP="00573A00">
            <w:pPr>
              <w:rPr>
                <w:sz w:val="18"/>
                <w:szCs w:val="18"/>
              </w:rPr>
            </w:pPr>
            <w:r w:rsidRPr="00BA6BF4">
              <w:rPr>
                <w:sz w:val="18"/>
                <w:szCs w:val="18"/>
              </w:rPr>
              <w:t>2</w:t>
            </w:r>
          </w:p>
        </w:tc>
        <w:tc>
          <w:tcPr>
            <w:tcW w:w="2627" w:type="pct"/>
            <w:vAlign w:val="center"/>
          </w:tcPr>
          <w:p w14:paraId="171DF733" w14:textId="77777777" w:rsidR="008F4122" w:rsidRPr="00BA6BF4" w:rsidRDefault="008F4122" w:rsidP="00573A00">
            <w:pPr>
              <w:rPr>
                <w:sz w:val="18"/>
                <w:szCs w:val="18"/>
              </w:rPr>
            </w:pPr>
            <w:r w:rsidRPr="00BA6BF4">
              <w:rPr>
                <w:sz w:val="18"/>
                <w:szCs w:val="18"/>
              </w:rPr>
              <w:t>200</w:t>
            </w:r>
          </w:p>
        </w:tc>
      </w:tr>
      <w:tr w:rsidR="008F4122" w:rsidRPr="00BA6BF4" w14:paraId="682CCBBC" w14:textId="77777777" w:rsidTr="00573A00">
        <w:tc>
          <w:tcPr>
            <w:tcW w:w="793" w:type="pct"/>
            <w:vAlign w:val="center"/>
          </w:tcPr>
          <w:p w14:paraId="04C7A606" w14:textId="77777777" w:rsidR="008F4122" w:rsidRPr="00BA6BF4" w:rsidRDefault="008F4122" w:rsidP="00573A00">
            <w:pPr>
              <w:rPr>
                <w:sz w:val="18"/>
                <w:szCs w:val="18"/>
              </w:rPr>
            </w:pPr>
            <w:r w:rsidRPr="00BA6BF4">
              <w:rPr>
                <w:sz w:val="18"/>
                <w:szCs w:val="18"/>
              </w:rPr>
              <w:t>1983</w:t>
            </w:r>
          </w:p>
        </w:tc>
        <w:tc>
          <w:tcPr>
            <w:tcW w:w="1580" w:type="pct"/>
            <w:vAlign w:val="center"/>
          </w:tcPr>
          <w:p w14:paraId="7A38DF8F" w14:textId="77777777" w:rsidR="008F4122" w:rsidRPr="00BA6BF4" w:rsidRDefault="008F4122" w:rsidP="00573A00">
            <w:pPr>
              <w:rPr>
                <w:sz w:val="18"/>
                <w:szCs w:val="18"/>
              </w:rPr>
            </w:pPr>
            <w:r w:rsidRPr="00BA6BF4">
              <w:rPr>
                <w:sz w:val="18"/>
                <w:szCs w:val="18"/>
              </w:rPr>
              <w:t>6</w:t>
            </w:r>
          </w:p>
        </w:tc>
        <w:tc>
          <w:tcPr>
            <w:tcW w:w="2627" w:type="pct"/>
            <w:vAlign w:val="center"/>
          </w:tcPr>
          <w:p w14:paraId="72E577AB" w14:textId="77777777" w:rsidR="008F4122" w:rsidRPr="00BA6BF4" w:rsidRDefault="008F4122" w:rsidP="00573A00">
            <w:pPr>
              <w:rPr>
                <w:sz w:val="18"/>
                <w:szCs w:val="18"/>
              </w:rPr>
            </w:pPr>
            <w:r w:rsidRPr="00BA6BF4">
              <w:rPr>
                <w:sz w:val="18"/>
                <w:szCs w:val="18"/>
              </w:rPr>
              <w:t>660</w:t>
            </w:r>
          </w:p>
        </w:tc>
      </w:tr>
      <w:tr w:rsidR="008F4122" w:rsidRPr="00BA6BF4" w14:paraId="35AF15EA" w14:textId="77777777" w:rsidTr="00573A00">
        <w:tc>
          <w:tcPr>
            <w:tcW w:w="793" w:type="pct"/>
            <w:vAlign w:val="center"/>
          </w:tcPr>
          <w:p w14:paraId="1990EBCD" w14:textId="77777777" w:rsidR="008F4122" w:rsidRPr="00BA6BF4" w:rsidRDefault="008F4122" w:rsidP="00573A00">
            <w:pPr>
              <w:rPr>
                <w:sz w:val="18"/>
                <w:szCs w:val="18"/>
              </w:rPr>
            </w:pPr>
            <w:r w:rsidRPr="00BA6BF4">
              <w:rPr>
                <w:sz w:val="18"/>
                <w:szCs w:val="18"/>
              </w:rPr>
              <w:t>1984</w:t>
            </w:r>
          </w:p>
        </w:tc>
        <w:tc>
          <w:tcPr>
            <w:tcW w:w="1580" w:type="pct"/>
            <w:vAlign w:val="center"/>
          </w:tcPr>
          <w:p w14:paraId="67B2DEA7" w14:textId="77777777" w:rsidR="008F4122" w:rsidRPr="00BA6BF4" w:rsidRDefault="008F4122" w:rsidP="00573A00">
            <w:pPr>
              <w:rPr>
                <w:sz w:val="18"/>
                <w:szCs w:val="18"/>
              </w:rPr>
            </w:pPr>
            <w:r w:rsidRPr="00BA6BF4">
              <w:rPr>
                <w:sz w:val="18"/>
                <w:szCs w:val="18"/>
              </w:rPr>
              <w:t>2</w:t>
            </w:r>
          </w:p>
        </w:tc>
        <w:tc>
          <w:tcPr>
            <w:tcW w:w="2627" w:type="pct"/>
            <w:vAlign w:val="center"/>
          </w:tcPr>
          <w:p w14:paraId="54149BF0" w14:textId="77777777" w:rsidR="008F4122" w:rsidRPr="00BA6BF4" w:rsidRDefault="008F4122" w:rsidP="00573A00">
            <w:pPr>
              <w:rPr>
                <w:sz w:val="18"/>
                <w:szCs w:val="18"/>
              </w:rPr>
            </w:pPr>
            <w:r w:rsidRPr="00BA6BF4">
              <w:rPr>
                <w:sz w:val="18"/>
                <w:szCs w:val="18"/>
              </w:rPr>
              <w:t>280</w:t>
            </w:r>
          </w:p>
        </w:tc>
      </w:tr>
      <w:tr w:rsidR="008F4122" w:rsidRPr="00BA6BF4" w14:paraId="17BEB29A" w14:textId="77777777" w:rsidTr="00573A00">
        <w:tc>
          <w:tcPr>
            <w:tcW w:w="793" w:type="pct"/>
            <w:vAlign w:val="center"/>
          </w:tcPr>
          <w:p w14:paraId="18E86FAD" w14:textId="77777777" w:rsidR="008F4122" w:rsidRPr="00BA6BF4" w:rsidRDefault="008F4122" w:rsidP="00573A00">
            <w:pPr>
              <w:rPr>
                <w:sz w:val="18"/>
                <w:szCs w:val="18"/>
              </w:rPr>
            </w:pPr>
            <w:r w:rsidRPr="00BA6BF4">
              <w:rPr>
                <w:sz w:val="18"/>
                <w:szCs w:val="18"/>
              </w:rPr>
              <w:t>1985</w:t>
            </w:r>
          </w:p>
        </w:tc>
        <w:tc>
          <w:tcPr>
            <w:tcW w:w="1580" w:type="pct"/>
            <w:vAlign w:val="center"/>
          </w:tcPr>
          <w:p w14:paraId="28110622" w14:textId="77777777" w:rsidR="008F4122" w:rsidRPr="00BA6BF4" w:rsidRDefault="008F4122" w:rsidP="00573A00">
            <w:pPr>
              <w:rPr>
                <w:sz w:val="18"/>
                <w:szCs w:val="18"/>
              </w:rPr>
            </w:pPr>
            <w:r w:rsidRPr="00BA6BF4">
              <w:rPr>
                <w:sz w:val="18"/>
                <w:szCs w:val="18"/>
              </w:rPr>
              <w:t>6</w:t>
            </w:r>
          </w:p>
        </w:tc>
        <w:tc>
          <w:tcPr>
            <w:tcW w:w="2627" w:type="pct"/>
            <w:vAlign w:val="center"/>
          </w:tcPr>
          <w:p w14:paraId="3025085D" w14:textId="77777777" w:rsidR="008F4122" w:rsidRPr="00BA6BF4" w:rsidRDefault="008F4122" w:rsidP="00573A00">
            <w:pPr>
              <w:rPr>
                <w:sz w:val="18"/>
                <w:szCs w:val="18"/>
              </w:rPr>
            </w:pPr>
            <w:r w:rsidRPr="00BA6BF4">
              <w:rPr>
                <w:sz w:val="18"/>
                <w:szCs w:val="18"/>
              </w:rPr>
              <w:t>547</w:t>
            </w:r>
          </w:p>
        </w:tc>
      </w:tr>
      <w:tr w:rsidR="008F4122" w:rsidRPr="00BA6BF4" w14:paraId="16A5A21F" w14:textId="77777777" w:rsidTr="00573A00">
        <w:tc>
          <w:tcPr>
            <w:tcW w:w="793" w:type="pct"/>
            <w:vAlign w:val="center"/>
          </w:tcPr>
          <w:p w14:paraId="09D6771F" w14:textId="77777777" w:rsidR="008F4122" w:rsidRPr="00BA6BF4" w:rsidRDefault="008F4122" w:rsidP="00573A00">
            <w:pPr>
              <w:rPr>
                <w:sz w:val="18"/>
                <w:szCs w:val="18"/>
              </w:rPr>
            </w:pPr>
            <w:r w:rsidRPr="00BA6BF4">
              <w:rPr>
                <w:sz w:val="18"/>
                <w:szCs w:val="18"/>
              </w:rPr>
              <w:t>1986</w:t>
            </w:r>
          </w:p>
        </w:tc>
        <w:tc>
          <w:tcPr>
            <w:tcW w:w="1580" w:type="pct"/>
            <w:vAlign w:val="center"/>
          </w:tcPr>
          <w:p w14:paraId="03A48415" w14:textId="77777777" w:rsidR="008F4122" w:rsidRPr="00BA6BF4" w:rsidRDefault="008F4122" w:rsidP="00573A00">
            <w:pPr>
              <w:rPr>
                <w:sz w:val="18"/>
                <w:szCs w:val="18"/>
              </w:rPr>
            </w:pPr>
            <w:r w:rsidRPr="00BA6BF4">
              <w:rPr>
                <w:sz w:val="18"/>
                <w:szCs w:val="18"/>
              </w:rPr>
              <w:t>7</w:t>
            </w:r>
          </w:p>
        </w:tc>
        <w:tc>
          <w:tcPr>
            <w:tcW w:w="2627" w:type="pct"/>
            <w:vAlign w:val="center"/>
          </w:tcPr>
          <w:p w14:paraId="596BC65C" w14:textId="77777777" w:rsidR="008F4122" w:rsidRPr="00BA6BF4" w:rsidRDefault="008F4122" w:rsidP="00573A00">
            <w:pPr>
              <w:rPr>
                <w:sz w:val="18"/>
                <w:szCs w:val="18"/>
              </w:rPr>
            </w:pPr>
            <w:r w:rsidRPr="00BA6BF4">
              <w:rPr>
                <w:sz w:val="18"/>
                <w:szCs w:val="18"/>
              </w:rPr>
              <w:t>760</w:t>
            </w:r>
          </w:p>
        </w:tc>
      </w:tr>
      <w:tr w:rsidR="008F4122" w:rsidRPr="00BA6BF4" w14:paraId="2034E53D" w14:textId="77777777" w:rsidTr="00573A00">
        <w:tc>
          <w:tcPr>
            <w:tcW w:w="793" w:type="pct"/>
            <w:vAlign w:val="center"/>
          </w:tcPr>
          <w:p w14:paraId="6B494BE9" w14:textId="77777777" w:rsidR="008F4122" w:rsidRPr="00BA6BF4" w:rsidRDefault="008F4122" w:rsidP="00573A00">
            <w:pPr>
              <w:rPr>
                <w:sz w:val="18"/>
                <w:szCs w:val="18"/>
              </w:rPr>
            </w:pPr>
            <w:r w:rsidRPr="00BA6BF4">
              <w:rPr>
                <w:sz w:val="18"/>
                <w:szCs w:val="18"/>
              </w:rPr>
              <w:t>1987</w:t>
            </w:r>
          </w:p>
        </w:tc>
        <w:tc>
          <w:tcPr>
            <w:tcW w:w="1580" w:type="pct"/>
            <w:vAlign w:val="center"/>
          </w:tcPr>
          <w:p w14:paraId="75F222E0" w14:textId="77777777" w:rsidR="008F4122" w:rsidRPr="00BA6BF4" w:rsidRDefault="008F4122" w:rsidP="00573A00">
            <w:pPr>
              <w:rPr>
                <w:sz w:val="18"/>
                <w:szCs w:val="18"/>
              </w:rPr>
            </w:pPr>
            <w:r w:rsidRPr="00BA6BF4">
              <w:rPr>
                <w:sz w:val="18"/>
                <w:szCs w:val="18"/>
              </w:rPr>
              <w:t>2</w:t>
            </w:r>
          </w:p>
        </w:tc>
        <w:tc>
          <w:tcPr>
            <w:tcW w:w="2627" w:type="pct"/>
            <w:vAlign w:val="center"/>
          </w:tcPr>
          <w:p w14:paraId="6530E7AE" w14:textId="77777777" w:rsidR="008F4122" w:rsidRPr="00BA6BF4" w:rsidRDefault="008F4122" w:rsidP="00573A00">
            <w:pPr>
              <w:rPr>
                <w:sz w:val="18"/>
                <w:szCs w:val="18"/>
              </w:rPr>
            </w:pPr>
            <w:r w:rsidRPr="00BA6BF4">
              <w:rPr>
                <w:sz w:val="18"/>
                <w:szCs w:val="18"/>
              </w:rPr>
              <w:t>280</w:t>
            </w:r>
          </w:p>
        </w:tc>
      </w:tr>
      <w:tr w:rsidR="008F4122" w:rsidRPr="00BA6BF4" w14:paraId="7D19FD40" w14:textId="77777777" w:rsidTr="00573A00">
        <w:tc>
          <w:tcPr>
            <w:tcW w:w="793" w:type="pct"/>
            <w:vAlign w:val="center"/>
          </w:tcPr>
          <w:p w14:paraId="284B25A3" w14:textId="77777777" w:rsidR="008F4122" w:rsidRPr="00BA6BF4" w:rsidRDefault="008F4122" w:rsidP="00573A00">
            <w:pPr>
              <w:rPr>
                <w:sz w:val="18"/>
                <w:szCs w:val="18"/>
              </w:rPr>
            </w:pPr>
            <w:r w:rsidRPr="00BA6BF4">
              <w:rPr>
                <w:sz w:val="18"/>
                <w:szCs w:val="18"/>
              </w:rPr>
              <w:t>1988</w:t>
            </w:r>
          </w:p>
        </w:tc>
        <w:tc>
          <w:tcPr>
            <w:tcW w:w="1580" w:type="pct"/>
            <w:vAlign w:val="center"/>
          </w:tcPr>
          <w:p w14:paraId="65EF94D6" w14:textId="77777777" w:rsidR="008F4122" w:rsidRPr="00BA6BF4" w:rsidRDefault="008F4122" w:rsidP="00573A00">
            <w:pPr>
              <w:rPr>
                <w:sz w:val="18"/>
                <w:szCs w:val="18"/>
              </w:rPr>
            </w:pPr>
            <w:r w:rsidRPr="00BA6BF4">
              <w:rPr>
                <w:sz w:val="18"/>
                <w:szCs w:val="18"/>
              </w:rPr>
              <w:t>3</w:t>
            </w:r>
          </w:p>
        </w:tc>
        <w:tc>
          <w:tcPr>
            <w:tcW w:w="2627" w:type="pct"/>
            <w:vAlign w:val="center"/>
          </w:tcPr>
          <w:p w14:paraId="332DBF8B" w14:textId="77777777" w:rsidR="008F4122" w:rsidRPr="00BA6BF4" w:rsidRDefault="008F4122" w:rsidP="00573A00">
            <w:pPr>
              <w:rPr>
                <w:sz w:val="18"/>
                <w:szCs w:val="18"/>
              </w:rPr>
            </w:pPr>
            <w:r w:rsidRPr="00BA6BF4">
              <w:rPr>
                <w:sz w:val="18"/>
                <w:szCs w:val="18"/>
              </w:rPr>
              <w:t>3100</w:t>
            </w:r>
          </w:p>
        </w:tc>
      </w:tr>
      <w:tr w:rsidR="008F4122" w:rsidRPr="00BA6BF4" w14:paraId="11816CF4" w14:textId="77777777" w:rsidTr="00573A00">
        <w:tc>
          <w:tcPr>
            <w:tcW w:w="793" w:type="pct"/>
            <w:vAlign w:val="center"/>
          </w:tcPr>
          <w:p w14:paraId="69158492" w14:textId="77777777" w:rsidR="008F4122" w:rsidRPr="00BA6BF4" w:rsidRDefault="008F4122" w:rsidP="00573A00">
            <w:pPr>
              <w:rPr>
                <w:sz w:val="18"/>
                <w:szCs w:val="18"/>
              </w:rPr>
            </w:pPr>
            <w:r w:rsidRPr="00BA6BF4">
              <w:rPr>
                <w:sz w:val="18"/>
                <w:szCs w:val="18"/>
              </w:rPr>
              <w:t>1989</w:t>
            </w:r>
          </w:p>
        </w:tc>
        <w:tc>
          <w:tcPr>
            <w:tcW w:w="1580" w:type="pct"/>
            <w:vAlign w:val="center"/>
          </w:tcPr>
          <w:p w14:paraId="798BCCD9" w14:textId="77777777" w:rsidR="008F4122" w:rsidRPr="00BA6BF4" w:rsidRDefault="008F4122" w:rsidP="00573A00">
            <w:pPr>
              <w:rPr>
                <w:sz w:val="18"/>
                <w:szCs w:val="18"/>
              </w:rPr>
            </w:pPr>
            <w:r w:rsidRPr="00BA6BF4">
              <w:rPr>
                <w:sz w:val="18"/>
                <w:szCs w:val="18"/>
              </w:rPr>
              <w:t>3</w:t>
            </w:r>
          </w:p>
        </w:tc>
        <w:tc>
          <w:tcPr>
            <w:tcW w:w="2627" w:type="pct"/>
            <w:vAlign w:val="center"/>
          </w:tcPr>
          <w:p w14:paraId="033E8BAF" w14:textId="77777777" w:rsidR="008F4122" w:rsidRPr="00BA6BF4" w:rsidRDefault="008F4122" w:rsidP="00573A00">
            <w:pPr>
              <w:rPr>
                <w:sz w:val="18"/>
                <w:szCs w:val="18"/>
              </w:rPr>
            </w:pPr>
            <w:r w:rsidRPr="00BA6BF4">
              <w:rPr>
                <w:sz w:val="18"/>
                <w:szCs w:val="18"/>
              </w:rPr>
              <w:t>399.7</w:t>
            </w:r>
          </w:p>
        </w:tc>
      </w:tr>
      <w:tr w:rsidR="008F4122" w:rsidRPr="00BA6BF4" w14:paraId="4B91D52C" w14:textId="77777777" w:rsidTr="00573A00">
        <w:tc>
          <w:tcPr>
            <w:tcW w:w="793" w:type="pct"/>
            <w:vAlign w:val="center"/>
          </w:tcPr>
          <w:p w14:paraId="2D3D7ED9" w14:textId="77777777" w:rsidR="008F4122" w:rsidRPr="00BA6BF4" w:rsidRDefault="008F4122" w:rsidP="00573A00">
            <w:pPr>
              <w:rPr>
                <w:sz w:val="18"/>
                <w:szCs w:val="18"/>
              </w:rPr>
            </w:pPr>
            <w:r w:rsidRPr="00BA6BF4">
              <w:rPr>
                <w:sz w:val="18"/>
                <w:szCs w:val="18"/>
              </w:rPr>
              <w:t>1990</w:t>
            </w:r>
          </w:p>
        </w:tc>
        <w:tc>
          <w:tcPr>
            <w:tcW w:w="1580" w:type="pct"/>
            <w:vAlign w:val="center"/>
          </w:tcPr>
          <w:p w14:paraId="2B3809C6" w14:textId="77777777" w:rsidR="008F4122" w:rsidRPr="00BA6BF4" w:rsidRDefault="008F4122" w:rsidP="00573A00">
            <w:pPr>
              <w:rPr>
                <w:sz w:val="18"/>
                <w:szCs w:val="18"/>
              </w:rPr>
            </w:pPr>
            <w:r w:rsidRPr="00BA6BF4">
              <w:rPr>
                <w:sz w:val="18"/>
                <w:szCs w:val="18"/>
              </w:rPr>
              <w:t>2</w:t>
            </w:r>
          </w:p>
        </w:tc>
        <w:tc>
          <w:tcPr>
            <w:tcW w:w="2627" w:type="pct"/>
            <w:vAlign w:val="center"/>
          </w:tcPr>
          <w:p w14:paraId="1FDBBA96" w14:textId="77777777" w:rsidR="008F4122" w:rsidRPr="00BA6BF4" w:rsidRDefault="008F4122" w:rsidP="00573A00">
            <w:pPr>
              <w:rPr>
                <w:sz w:val="18"/>
                <w:szCs w:val="18"/>
              </w:rPr>
            </w:pPr>
            <w:r w:rsidRPr="00BA6BF4">
              <w:rPr>
                <w:sz w:val="18"/>
                <w:szCs w:val="18"/>
              </w:rPr>
              <w:t>2,375</w:t>
            </w:r>
          </w:p>
        </w:tc>
      </w:tr>
    </w:tbl>
    <w:p w14:paraId="34ABDA2B" w14:textId="77777777" w:rsidR="008F4122" w:rsidRPr="00800D22" w:rsidRDefault="008F4122" w:rsidP="008F4122">
      <w:pPr>
        <w:autoSpaceDE w:val="0"/>
        <w:autoSpaceDN w:val="0"/>
        <w:adjustRightInd w:val="0"/>
        <w:spacing w:beforeLines="100" w:before="312" w:line="440" w:lineRule="exact"/>
        <w:ind w:firstLineChars="3600" w:firstLine="7560"/>
        <w:rPr>
          <w:rFonts w:ascii="宋体" w:hAnsi="宋体"/>
          <w:szCs w:val="21"/>
        </w:rPr>
      </w:pPr>
      <w:r w:rsidRPr="00800D22">
        <w:rPr>
          <w:rFonts w:ascii="宋体" w:hAnsi="宋体" w:hint="eastAsia"/>
          <w:szCs w:val="21"/>
        </w:rPr>
        <w:lastRenderedPageBreak/>
        <w:t>（续表）</w:t>
      </w:r>
    </w:p>
    <w:tbl>
      <w:tblPr>
        <w:tblW w:w="5000" w:type="pct"/>
        <w:tblLook w:val="01E0" w:firstRow="1" w:lastRow="1" w:firstColumn="1" w:lastColumn="1" w:noHBand="0" w:noVBand="0"/>
      </w:tblPr>
      <w:tblGrid>
        <w:gridCol w:w="1352"/>
        <w:gridCol w:w="2693"/>
        <w:gridCol w:w="4477"/>
      </w:tblGrid>
      <w:tr w:rsidR="008F4122" w:rsidRPr="00BA6BF4" w14:paraId="57E0C41F" w14:textId="77777777" w:rsidTr="00573A00">
        <w:tc>
          <w:tcPr>
            <w:tcW w:w="793" w:type="pct"/>
            <w:tcBorders>
              <w:top w:val="single" w:sz="4" w:space="0" w:color="auto"/>
              <w:bottom w:val="single" w:sz="4" w:space="0" w:color="auto"/>
            </w:tcBorders>
            <w:vAlign w:val="center"/>
          </w:tcPr>
          <w:p w14:paraId="3FDD6DA7" w14:textId="77777777" w:rsidR="008F4122" w:rsidRPr="00BA6BF4" w:rsidRDefault="008F4122" w:rsidP="00573A00">
            <w:pPr>
              <w:rPr>
                <w:szCs w:val="21"/>
              </w:rPr>
            </w:pPr>
            <w:r w:rsidRPr="00BA6BF4">
              <w:rPr>
                <w:rFonts w:hint="eastAsia"/>
                <w:szCs w:val="21"/>
              </w:rPr>
              <w:t>时间</w:t>
            </w:r>
          </w:p>
        </w:tc>
        <w:tc>
          <w:tcPr>
            <w:tcW w:w="1580" w:type="pct"/>
            <w:tcBorders>
              <w:top w:val="single" w:sz="4" w:space="0" w:color="auto"/>
              <w:bottom w:val="single" w:sz="4" w:space="0" w:color="auto"/>
            </w:tcBorders>
            <w:vAlign w:val="center"/>
          </w:tcPr>
          <w:p w14:paraId="2CC464D4" w14:textId="77777777" w:rsidR="008F4122" w:rsidRPr="00BA6BF4" w:rsidRDefault="008F4122" w:rsidP="00573A00">
            <w:pPr>
              <w:rPr>
                <w:szCs w:val="21"/>
              </w:rPr>
            </w:pPr>
            <w:r w:rsidRPr="00BA6BF4">
              <w:rPr>
                <w:rFonts w:hint="eastAsia"/>
                <w:szCs w:val="21"/>
              </w:rPr>
              <w:t>发行人数量</w:t>
            </w:r>
          </w:p>
        </w:tc>
        <w:tc>
          <w:tcPr>
            <w:tcW w:w="2627" w:type="pct"/>
            <w:tcBorders>
              <w:top w:val="single" w:sz="4" w:space="0" w:color="auto"/>
              <w:bottom w:val="single" w:sz="4" w:space="0" w:color="auto"/>
            </w:tcBorders>
            <w:vAlign w:val="center"/>
          </w:tcPr>
          <w:p w14:paraId="055CE599" w14:textId="77777777" w:rsidR="008F4122" w:rsidRPr="00BA6BF4" w:rsidRDefault="008F4122" w:rsidP="00573A00">
            <w:pPr>
              <w:rPr>
                <w:szCs w:val="21"/>
              </w:rPr>
            </w:pPr>
            <w:r w:rsidRPr="00BA6BF4">
              <w:rPr>
                <w:rFonts w:hint="eastAsia"/>
                <w:szCs w:val="21"/>
              </w:rPr>
              <w:t>发行额（百万美元）</w:t>
            </w:r>
          </w:p>
        </w:tc>
      </w:tr>
      <w:tr w:rsidR="008F4122" w:rsidRPr="00BA6BF4" w14:paraId="33E75B50" w14:textId="77777777" w:rsidTr="00573A00">
        <w:tc>
          <w:tcPr>
            <w:tcW w:w="793" w:type="pct"/>
            <w:vAlign w:val="center"/>
          </w:tcPr>
          <w:p w14:paraId="64D0B32C" w14:textId="77777777" w:rsidR="008F4122" w:rsidRPr="00BA6BF4" w:rsidRDefault="008F4122" w:rsidP="00573A00">
            <w:pPr>
              <w:rPr>
                <w:sz w:val="18"/>
                <w:szCs w:val="18"/>
              </w:rPr>
            </w:pPr>
            <w:r w:rsidRPr="00BA6BF4">
              <w:rPr>
                <w:sz w:val="18"/>
                <w:szCs w:val="18"/>
              </w:rPr>
              <w:t>1991</w:t>
            </w:r>
          </w:p>
        </w:tc>
        <w:tc>
          <w:tcPr>
            <w:tcW w:w="1580" w:type="pct"/>
            <w:vAlign w:val="center"/>
          </w:tcPr>
          <w:p w14:paraId="35769DFD" w14:textId="77777777" w:rsidR="008F4122" w:rsidRPr="00BA6BF4" w:rsidRDefault="008F4122" w:rsidP="00573A00">
            <w:pPr>
              <w:rPr>
                <w:sz w:val="18"/>
                <w:szCs w:val="18"/>
              </w:rPr>
            </w:pPr>
            <w:r w:rsidRPr="00BA6BF4">
              <w:rPr>
                <w:sz w:val="18"/>
                <w:szCs w:val="18"/>
              </w:rPr>
              <w:t>3</w:t>
            </w:r>
          </w:p>
        </w:tc>
        <w:tc>
          <w:tcPr>
            <w:tcW w:w="2627" w:type="pct"/>
            <w:vAlign w:val="center"/>
          </w:tcPr>
          <w:p w14:paraId="2297C82E" w14:textId="77777777" w:rsidR="008F4122" w:rsidRPr="00BA6BF4" w:rsidRDefault="008F4122" w:rsidP="00573A00">
            <w:pPr>
              <w:rPr>
                <w:sz w:val="18"/>
                <w:szCs w:val="18"/>
              </w:rPr>
            </w:pPr>
            <w:r w:rsidRPr="00BA6BF4">
              <w:rPr>
                <w:sz w:val="18"/>
                <w:szCs w:val="18"/>
              </w:rPr>
              <w:t>420.88</w:t>
            </w:r>
          </w:p>
        </w:tc>
      </w:tr>
      <w:tr w:rsidR="008F4122" w:rsidRPr="00BA6BF4" w14:paraId="08639177" w14:textId="77777777" w:rsidTr="00573A00">
        <w:tc>
          <w:tcPr>
            <w:tcW w:w="793" w:type="pct"/>
            <w:vAlign w:val="center"/>
          </w:tcPr>
          <w:p w14:paraId="4DA6D44B" w14:textId="77777777" w:rsidR="008F4122" w:rsidRPr="00BA6BF4" w:rsidRDefault="008F4122" w:rsidP="00573A00">
            <w:pPr>
              <w:rPr>
                <w:sz w:val="18"/>
                <w:szCs w:val="18"/>
              </w:rPr>
            </w:pPr>
            <w:r w:rsidRPr="00BA6BF4">
              <w:rPr>
                <w:sz w:val="18"/>
                <w:szCs w:val="18"/>
              </w:rPr>
              <w:t>1992</w:t>
            </w:r>
          </w:p>
        </w:tc>
        <w:tc>
          <w:tcPr>
            <w:tcW w:w="1580" w:type="pct"/>
            <w:vAlign w:val="center"/>
          </w:tcPr>
          <w:p w14:paraId="142B1EFC" w14:textId="77777777" w:rsidR="008F4122" w:rsidRPr="00BA6BF4" w:rsidRDefault="008F4122" w:rsidP="00573A00">
            <w:pPr>
              <w:rPr>
                <w:sz w:val="18"/>
                <w:szCs w:val="18"/>
              </w:rPr>
            </w:pPr>
            <w:r w:rsidRPr="00BA6BF4">
              <w:rPr>
                <w:sz w:val="18"/>
                <w:szCs w:val="18"/>
              </w:rPr>
              <w:t>5</w:t>
            </w:r>
          </w:p>
        </w:tc>
        <w:tc>
          <w:tcPr>
            <w:tcW w:w="2627" w:type="pct"/>
            <w:vAlign w:val="center"/>
          </w:tcPr>
          <w:p w14:paraId="555065F0" w14:textId="77777777" w:rsidR="008F4122" w:rsidRPr="00BA6BF4" w:rsidRDefault="008F4122" w:rsidP="00573A00">
            <w:pPr>
              <w:rPr>
                <w:sz w:val="18"/>
                <w:szCs w:val="18"/>
              </w:rPr>
            </w:pPr>
            <w:r w:rsidRPr="00BA6BF4">
              <w:rPr>
                <w:sz w:val="18"/>
                <w:szCs w:val="18"/>
              </w:rPr>
              <w:t>1,728.73</w:t>
            </w:r>
          </w:p>
        </w:tc>
      </w:tr>
      <w:tr w:rsidR="008F4122" w:rsidRPr="00BA6BF4" w14:paraId="44B2754C" w14:textId="77777777" w:rsidTr="00573A00">
        <w:tc>
          <w:tcPr>
            <w:tcW w:w="793" w:type="pct"/>
            <w:vAlign w:val="center"/>
          </w:tcPr>
          <w:p w14:paraId="6ED03D92" w14:textId="77777777" w:rsidR="008F4122" w:rsidRPr="00BA6BF4" w:rsidRDefault="008F4122" w:rsidP="00573A00">
            <w:pPr>
              <w:rPr>
                <w:sz w:val="18"/>
                <w:szCs w:val="18"/>
              </w:rPr>
            </w:pPr>
            <w:r w:rsidRPr="00BA6BF4">
              <w:rPr>
                <w:sz w:val="18"/>
                <w:szCs w:val="18"/>
              </w:rPr>
              <w:t>1993</w:t>
            </w:r>
          </w:p>
        </w:tc>
        <w:tc>
          <w:tcPr>
            <w:tcW w:w="1580" w:type="pct"/>
            <w:vAlign w:val="center"/>
          </w:tcPr>
          <w:p w14:paraId="45D704D9" w14:textId="77777777" w:rsidR="008F4122" w:rsidRPr="00BA6BF4" w:rsidRDefault="008F4122" w:rsidP="00573A00">
            <w:pPr>
              <w:rPr>
                <w:sz w:val="18"/>
                <w:szCs w:val="18"/>
              </w:rPr>
            </w:pPr>
            <w:r w:rsidRPr="00BA6BF4">
              <w:rPr>
                <w:sz w:val="18"/>
                <w:szCs w:val="18"/>
              </w:rPr>
              <w:t>5</w:t>
            </w:r>
          </w:p>
        </w:tc>
        <w:tc>
          <w:tcPr>
            <w:tcW w:w="2627" w:type="pct"/>
            <w:vAlign w:val="center"/>
          </w:tcPr>
          <w:p w14:paraId="64E1C794" w14:textId="77777777" w:rsidR="008F4122" w:rsidRPr="00BA6BF4" w:rsidRDefault="008F4122" w:rsidP="00573A00">
            <w:pPr>
              <w:rPr>
                <w:sz w:val="18"/>
                <w:szCs w:val="18"/>
              </w:rPr>
            </w:pPr>
            <w:r w:rsidRPr="00BA6BF4">
              <w:rPr>
                <w:sz w:val="18"/>
                <w:szCs w:val="18"/>
              </w:rPr>
              <w:t>2,144.20</w:t>
            </w:r>
          </w:p>
        </w:tc>
      </w:tr>
      <w:tr w:rsidR="008F4122" w:rsidRPr="00BA6BF4" w14:paraId="1AEBA017" w14:textId="77777777" w:rsidTr="00573A00">
        <w:tc>
          <w:tcPr>
            <w:tcW w:w="793" w:type="pct"/>
            <w:vAlign w:val="center"/>
          </w:tcPr>
          <w:p w14:paraId="0D4ABA1B" w14:textId="77777777" w:rsidR="008F4122" w:rsidRPr="00BA6BF4" w:rsidRDefault="008F4122" w:rsidP="00573A00">
            <w:pPr>
              <w:rPr>
                <w:sz w:val="18"/>
                <w:szCs w:val="18"/>
              </w:rPr>
            </w:pPr>
            <w:r w:rsidRPr="00BA6BF4">
              <w:rPr>
                <w:sz w:val="18"/>
                <w:szCs w:val="18"/>
              </w:rPr>
              <w:t>1994</w:t>
            </w:r>
          </w:p>
        </w:tc>
        <w:tc>
          <w:tcPr>
            <w:tcW w:w="1580" w:type="pct"/>
            <w:vAlign w:val="center"/>
          </w:tcPr>
          <w:p w14:paraId="06D25AF4" w14:textId="77777777" w:rsidR="008F4122" w:rsidRPr="00BA6BF4" w:rsidRDefault="008F4122" w:rsidP="00573A00">
            <w:pPr>
              <w:rPr>
                <w:sz w:val="18"/>
                <w:szCs w:val="18"/>
              </w:rPr>
            </w:pPr>
            <w:r w:rsidRPr="00BA6BF4">
              <w:rPr>
                <w:sz w:val="18"/>
                <w:szCs w:val="18"/>
              </w:rPr>
              <w:t>4</w:t>
            </w:r>
          </w:p>
        </w:tc>
        <w:tc>
          <w:tcPr>
            <w:tcW w:w="2627" w:type="pct"/>
            <w:vAlign w:val="center"/>
          </w:tcPr>
          <w:p w14:paraId="4EF7FE82" w14:textId="77777777" w:rsidR="008F4122" w:rsidRPr="00BA6BF4" w:rsidRDefault="008F4122" w:rsidP="00573A00">
            <w:pPr>
              <w:rPr>
                <w:sz w:val="18"/>
                <w:szCs w:val="18"/>
              </w:rPr>
            </w:pPr>
            <w:r w:rsidRPr="00BA6BF4">
              <w:rPr>
                <w:sz w:val="18"/>
                <w:szCs w:val="18"/>
              </w:rPr>
              <w:t>1,380.47</w:t>
            </w:r>
          </w:p>
        </w:tc>
      </w:tr>
      <w:tr w:rsidR="008F4122" w:rsidRPr="00BA6BF4" w14:paraId="24CA1C4D" w14:textId="77777777" w:rsidTr="00573A00">
        <w:tc>
          <w:tcPr>
            <w:tcW w:w="793" w:type="pct"/>
            <w:vAlign w:val="center"/>
          </w:tcPr>
          <w:p w14:paraId="5C69442E" w14:textId="77777777" w:rsidR="008F4122" w:rsidRPr="00BA6BF4" w:rsidRDefault="008F4122" w:rsidP="00573A00">
            <w:pPr>
              <w:rPr>
                <w:sz w:val="18"/>
                <w:szCs w:val="18"/>
              </w:rPr>
            </w:pPr>
            <w:r w:rsidRPr="00BA6BF4">
              <w:rPr>
                <w:sz w:val="18"/>
                <w:szCs w:val="18"/>
              </w:rPr>
              <w:t>1995</w:t>
            </w:r>
          </w:p>
        </w:tc>
        <w:tc>
          <w:tcPr>
            <w:tcW w:w="1580" w:type="pct"/>
            <w:vAlign w:val="center"/>
          </w:tcPr>
          <w:p w14:paraId="4D6990E5" w14:textId="77777777" w:rsidR="008F4122" w:rsidRPr="00BA6BF4" w:rsidRDefault="008F4122" w:rsidP="00573A00">
            <w:pPr>
              <w:rPr>
                <w:sz w:val="18"/>
                <w:szCs w:val="18"/>
              </w:rPr>
            </w:pPr>
            <w:r w:rsidRPr="00BA6BF4">
              <w:rPr>
                <w:sz w:val="18"/>
                <w:szCs w:val="18"/>
              </w:rPr>
              <w:t>12</w:t>
            </w:r>
          </w:p>
        </w:tc>
        <w:tc>
          <w:tcPr>
            <w:tcW w:w="2627" w:type="pct"/>
            <w:vAlign w:val="center"/>
          </w:tcPr>
          <w:p w14:paraId="65E88884" w14:textId="77777777" w:rsidR="008F4122" w:rsidRPr="00BA6BF4" w:rsidRDefault="008F4122" w:rsidP="00573A00">
            <w:pPr>
              <w:rPr>
                <w:sz w:val="18"/>
                <w:szCs w:val="18"/>
              </w:rPr>
            </w:pPr>
            <w:r w:rsidRPr="00BA6BF4">
              <w:rPr>
                <w:sz w:val="18"/>
                <w:szCs w:val="18"/>
              </w:rPr>
              <w:t>2,399.40</w:t>
            </w:r>
          </w:p>
        </w:tc>
      </w:tr>
      <w:tr w:rsidR="008F4122" w:rsidRPr="00BA6BF4" w14:paraId="7F46C691" w14:textId="77777777" w:rsidTr="00573A00">
        <w:tc>
          <w:tcPr>
            <w:tcW w:w="793" w:type="pct"/>
            <w:vAlign w:val="center"/>
          </w:tcPr>
          <w:p w14:paraId="78AC8279" w14:textId="77777777" w:rsidR="008F4122" w:rsidRPr="00BA6BF4" w:rsidRDefault="008F4122" w:rsidP="00573A00">
            <w:pPr>
              <w:rPr>
                <w:sz w:val="18"/>
                <w:szCs w:val="18"/>
              </w:rPr>
            </w:pPr>
            <w:r w:rsidRPr="00BA6BF4">
              <w:rPr>
                <w:sz w:val="18"/>
                <w:szCs w:val="18"/>
              </w:rPr>
              <w:t>1996</w:t>
            </w:r>
          </w:p>
        </w:tc>
        <w:tc>
          <w:tcPr>
            <w:tcW w:w="1580" w:type="pct"/>
            <w:vAlign w:val="center"/>
          </w:tcPr>
          <w:p w14:paraId="0D164742" w14:textId="77777777" w:rsidR="008F4122" w:rsidRPr="00BA6BF4" w:rsidRDefault="008F4122" w:rsidP="00573A00">
            <w:pPr>
              <w:rPr>
                <w:sz w:val="18"/>
                <w:szCs w:val="18"/>
              </w:rPr>
            </w:pPr>
            <w:r w:rsidRPr="00BA6BF4">
              <w:rPr>
                <w:sz w:val="18"/>
                <w:szCs w:val="18"/>
              </w:rPr>
              <w:t>11</w:t>
            </w:r>
          </w:p>
        </w:tc>
        <w:tc>
          <w:tcPr>
            <w:tcW w:w="2627" w:type="pct"/>
            <w:vAlign w:val="center"/>
          </w:tcPr>
          <w:p w14:paraId="2AB866A6" w14:textId="77777777" w:rsidR="008F4122" w:rsidRPr="00BA6BF4" w:rsidRDefault="008F4122" w:rsidP="00573A00">
            <w:pPr>
              <w:rPr>
                <w:sz w:val="18"/>
                <w:szCs w:val="18"/>
              </w:rPr>
            </w:pPr>
            <w:r w:rsidRPr="00BA6BF4">
              <w:rPr>
                <w:sz w:val="18"/>
                <w:szCs w:val="18"/>
              </w:rPr>
              <w:t>2,158.84</w:t>
            </w:r>
          </w:p>
        </w:tc>
      </w:tr>
      <w:tr w:rsidR="008F4122" w:rsidRPr="00BA6BF4" w14:paraId="75D9570B" w14:textId="77777777" w:rsidTr="00573A00">
        <w:tc>
          <w:tcPr>
            <w:tcW w:w="793" w:type="pct"/>
            <w:vAlign w:val="center"/>
          </w:tcPr>
          <w:p w14:paraId="593CA7D4" w14:textId="77777777" w:rsidR="008F4122" w:rsidRPr="00BA6BF4" w:rsidRDefault="008F4122" w:rsidP="00573A00">
            <w:pPr>
              <w:rPr>
                <w:sz w:val="18"/>
                <w:szCs w:val="18"/>
              </w:rPr>
            </w:pPr>
            <w:r w:rsidRPr="00BA6BF4">
              <w:rPr>
                <w:sz w:val="18"/>
                <w:szCs w:val="18"/>
              </w:rPr>
              <w:t>1997</w:t>
            </w:r>
          </w:p>
        </w:tc>
        <w:tc>
          <w:tcPr>
            <w:tcW w:w="1580" w:type="pct"/>
            <w:vAlign w:val="center"/>
          </w:tcPr>
          <w:p w14:paraId="06FF534D" w14:textId="77777777" w:rsidR="008F4122" w:rsidRPr="00BA6BF4" w:rsidRDefault="008F4122" w:rsidP="00573A00">
            <w:pPr>
              <w:rPr>
                <w:sz w:val="18"/>
                <w:szCs w:val="18"/>
              </w:rPr>
            </w:pPr>
            <w:r w:rsidRPr="00BA6BF4">
              <w:rPr>
                <w:sz w:val="18"/>
                <w:szCs w:val="18"/>
              </w:rPr>
              <w:t>5</w:t>
            </w:r>
          </w:p>
        </w:tc>
        <w:tc>
          <w:tcPr>
            <w:tcW w:w="2627" w:type="pct"/>
            <w:vAlign w:val="center"/>
          </w:tcPr>
          <w:p w14:paraId="0C2B57F0" w14:textId="77777777" w:rsidR="008F4122" w:rsidRPr="00BA6BF4" w:rsidRDefault="008F4122" w:rsidP="00573A00">
            <w:pPr>
              <w:rPr>
                <w:sz w:val="18"/>
                <w:szCs w:val="18"/>
              </w:rPr>
            </w:pPr>
            <w:r w:rsidRPr="00BA6BF4">
              <w:rPr>
                <w:sz w:val="18"/>
                <w:szCs w:val="18"/>
              </w:rPr>
              <w:t>5,251.60</w:t>
            </w:r>
          </w:p>
        </w:tc>
      </w:tr>
      <w:tr w:rsidR="008F4122" w:rsidRPr="00BA6BF4" w14:paraId="1A4D95E1" w14:textId="77777777" w:rsidTr="00573A00">
        <w:tc>
          <w:tcPr>
            <w:tcW w:w="793" w:type="pct"/>
            <w:vAlign w:val="center"/>
          </w:tcPr>
          <w:p w14:paraId="2DED3E6D" w14:textId="77777777" w:rsidR="008F4122" w:rsidRPr="00BA6BF4" w:rsidRDefault="008F4122" w:rsidP="00573A00">
            <w:pPr>
              <w:rPr>
                <w:sz w:val="18"/>
                <w:szCs w:val="18"/>
              </w:rPr>
            </w:pPr>
            <w:r w:rsidRPr="00BA6BF4">
              <w:rPr>
                <w:sz w:val="18"/>
                <w:szCs w:val="18"/>
              </w:rPr>
              <w:t>1998</w:t>
            </w:r>
          </w:p>
        </w:tc>
        <w:tc>
          <w:tcPr>
            <w:tcW w:w="1580" w:type="pct"/>
            <w:vAlign w:val="center"/>
          </w:tcPr>
          <w:p w14:paraId="0180B823" w14:textId="77777777" w:rsidR="008F4122" w:rsidRPr="00BA6BF4" w:rsidRDefault="008F4122" w:rsidP="00573A00">
            <w:pPr>
              <w:rPr>
                <w:sz w:val="18"/>
                <w:szCs w:val="18"/>
              </w:rPr>
            </w:pPr>
            <w:r w:rsidRPr="00BA6BF4">
              <w:rPr>
                <w:sz w:val="18"/>
                <w:szCs w:val="18"/>
              </w:rPr>
              <w:t>4</w:t>
            </w:r>
          </w:p>
        </w:tc>
        <w:tc>
          <w:tcPr>
            <w:tcW w:w="2627" w:type="pct"/>
            <w:vAlign w:val="center"/>
          </w:tcPr>
          <w:p w14:paraId="4224D6B4" w14:textId="77777777" w:rsidR="008F4122" w:rsidRPr="00BA6BF4" w:rsidRDefault="008F4122" w:rsidP="00573A00">
            <w:pPr>
              <w:rPr>
                <w:sz w:val="18"/>
                <w:szCs w:val="18"/>
              </w:rPr>
            </w:pPr>
            <w:r w:rsidRPr="00BA6BF4">
              <w:rPr>
                <w:sz w:val="18"/>
                <w:szCs w:val="18"/>
              </w:rPr>
              <w:t>4,914.52</w:t>
            </w:r>
          </w:p>
        </w:tc>
      </w:tr>
      <w:tr w:rsidR="008F4122" w:rsidRPr="00BA6BF4" w14:paraId="2F86B4D8" w14:textId="77777777" w:rsidTr="00573A00">
        <w:tc>
          <w:tcPr>
            <w:tcW w:w="793" w:type="pct"/>
            <w:vAlign w:val="center"/>
          </w:tcPr>
          <w:p w14:paraId="2D7B998D" w14:textId="77777777" w:rsidR="008F4122" w:rsidRPr="00BA6BF4" w:rsidRDefault="008F4122" w:rsidP="00573A00">
            <w:pPr>
              <w:rPr>
                <w:sz w:val="18"/>
                <w:szCs w:val="18"/>
              </w:rPr>
            </w:pPr>
            <w:r w:rsidRPr="00BA6BF4">
              <w:rPr>
                <w:sz w:val="18"/>
                <w:szCs w:val="18"/>
              </w:rPr>
              <w:t>1999</w:t>
            </w:r>
          </w:p>
        </w:tc>
        <w:tc>
          <w:tcPr>
            <w:tcW w:w="1580" w:type="pct"/>
            <w:vAlign w:val="center"/>
          </w:tcPr>
          <w:p w14:paraId="79BE94A1" w14:textId="77777777" w:rsidR="008F4122" w:rsidRPr="00BA6BF4" w:rsidRDefault="008F4122" w:rsidP="00573A00">
            <w:pPr>
              <w:rPr>
                <w:sz w:val="18"/>
                <w:szCs w:val="18"/>
              </w:rPr>
            </w:pPr>
            <w:r w:rsidRPr="00BA6BF4">
              <w:rPr>
                <w:sz w:val="18"/>
                <w:szCs w:val="18"/>
              </w:rPr>
              <w:t>11</w:t>
            </w:r>
          </w:p>
        </w:tc>
        <w:tc>
          <w:tcPr>
            <w:tcW w:w="2627" w:type="pct"/>
            <w:vAlign w:val="center"/>
          </w:tcPr>
          <w:p w14:paraId="1F58DF99" w14:textId="77777777" w:rsidR="008F4122" w:rsidRPr="00BA6BF4" w:rsidRDefault="008F4122" w:rsidP="00573A00">
            <w:pPr>
              <w:rPr>
                <w:sz w:val="18"/>
                <w:szCs w:val="18"/>
              </w:rPr>
            </w:pPr>
            <w:r w:rsidRPr="00BA6BF4">
              <w:rPr>
                <w:sz w:val="18"/>
                <w:szCs w:val="18"/>
              </w:rPr>
              <w:t>8,211.84</w:t>
            </w:r>
          </w:p>
        </w:tc>
      </w:tr>
      <w:tr w:rsidR="008F4122" w:rsidRPr="00BA6BF4" w14:paraId="575EBA99" w14:textId="77777777" w:rsidTr="00573A00">
        <w:tc>
          <w:tcPr>
            <w:tcW w:w="793" w:type="pct"/>
            <w:vAlign w:val="center"/>
          </w:tcPr>
          <w:p w14:paraId="5DD48827" w14:textId="77777777" w:rsidR="008F4122" w:rsidRPr="00BA6BF4" w:rsidRDefault="008F4122" w:rsidP="00573A00">
            <w:pPr>
              <w:rPr>
                <w:sz w:val="18"/>
                <w:szCs w:val="18"/>
              </w:rPr>
            </w:pPr>
            <w:r w:rsidRPr="00BA6BF4">
              <w:rPr>
                <w:sz w:val="18"/>
                <w:szCs w:val="18"/>
              </w:rPr>
              <w:t>2000</w:t>
            </w:r>
          </w:p>
        </w:tc>
        <w:tc>
          <w:tcPr>
            <w:tcW w:w="1580" w:type="pct"/>
            <w:vAlign w:val="center"/>
          </w:tcPr>
          <w:p w14:paraId="3D781729" w14:textId="77777777" w:rsidR="008F4122" w:rsidRPr="00BA6BF4" w:rsidRDefault="008F4122" w:rsidP="00573A00">
            <w:pPr>
              <w:rPr>
                <w:sz w:val="18"/>
                <w:szCs w:val="18"/>
              </w:rPr>
            </w:pPr>
            <w:r w:rsidRPr="00BA6BF4">
              <w:rPr>
                <w:sz w:val="18"/>
                <w:szCs w:val="18"/>
              </w:rPr>
              <w:t>4</w:t>
            </w:r>
          </w:p>
        </w:tc>
        <w:tc>
          <w:tcPr>
            <w:tcW w:w="2627" w:type="pct"/>
            <w:vAlign w:val="center"/>
          </w:tcPr>
          <w:p w14:paraId="431D5550" w14:textId="77777777" w:rsidR="008F4122" w:rsidRPr="00BA6BF4" w:rsidRDefault="008F4122" w:rsidP="00573A00">
            <w:pPr>
              <w:rPr>
                <w:sz w:val="18"/>
                <w:szCs w:val="18"/>
              </w:rPr>
            </w:pPr>
            <w:r w:rsidRPr="00BA6BF4">
              <w:rPr>
                <w:sz w:val="18"/>
                <w:szCs w:val="18"/>
              </w:rPr>
              <w:t>3,131.10</w:t>
            </w:r>
          </w:p>
        </w:tc>
      </w:tr>
      <w:tr w:rsidR="008F4122" w:rsidRPr="00BA6BF4" w14:paraId="17A4AC93" w14:textId="77777777" w:rsidTr="00573A00">
        <w:tc>
          <w:tcPr>
            <w:tcW w:w="793" w:type="pct"/>
            <w:vAlign w:val="center"/>
          </w:tcPr>
          <w:p w14:paraId="682965EF" w14:textId="77777777" w:rsidR="008F4122" w:rsidRPr="00BA6BF4" w:rsidRDefault="008F4122" w:rsidP="00573A00">
            <w:pPr>
              <w:rPr>
                <w:sz w:val="18"/>
                <w:szCs w:val="18"/>
              </w:rPr>
            </w:pPr>
            <w:r w:rsidRPr="00BA6BF4">
              <w:rPr>
                <w:sz w:val="18"/>
                <w:szCs w:val="18"/>
              </w:rPr>
              <w:t>2001</w:t>
            </w:r>
          </w:p>
        </w:tc>
        <w:tc>
          <w:tcPr>
            <w:tcW w:w="1580" w:type="pct"/>
            <w:vAlign w:val="center"/>
          </w:tcPr>
          <w:p w14:paraId="17386050" w14:textId="77777777" w:rsidR="008F4122" w:rsidRPr="00BA6BF4" w:rsidRDefault="008F4122" w:rsidP="00573A00">
            <w:pPr>
              <w:rPr>
                <w:sz w:val="18"/>
                <w:szCs w:val="18"/>
              </w:rPr>
            </w:pPr>
            <w:r w:rsidRPr="00BA6BF4">
              <w:rPr>
                <w:sz w:val="18"/>
                <w:szCs w:val="18"/>
              </w:rPr>
              <w:t>3</w:t>
            </w:r>
          </w:p>
        </w:tc>
        <w:tc>
          <w:tcPr>
            <w:tcW w:w="2627" w:type="pct"/>
            <w:vAlign w:val="center"/>
          </w:tcPr>
          <w:p w14:paraId="68D39269" w14:textId="77777777" w:rsidR="008F4122" w:rsidRPr="00BA6BF4" w:rsidRDefault="008F4122" w:rsidP="00573A00">
            <w:pPr>
              <w:rPr>
                <w:sz w:val="18"/>
                <w:szCs w:val="18"/>
              </w:rPr>
            </w:pPr>
            <w:r w:rsidRPr="00BA6BF4">
              <w:rPr>
                <w:sz w:val="18"/>
                <w:szCs w:val="18"/>
              </w:rPr>
              <w:t>2,388.10</w:t>
            </w:r>
          </w:p>
        </w:tc>
      </w:tr>
      <w:tr w:rsidR="008F4122" w:rsidRPr="00BA6BF4" w14:paraId="2126A56D" w14:textId="77777777" w:rsidTr="00573A00">
        <w:tc>
          <w:tcPr>
            <w:tcW w:w="793" w:type="pct"/>
            <w:tcBorders>
              <w:bottom w:val="single" w:sz="4" w:space="0" w:color="auto"/>
            </w:tcBorders>
            <w:vAlign w:val="center"/>
          </w:tcPr>
          <w:p w14:paraId="237D427E" w14:textId="77777777" w:rsidR="008F4122" w:rsidRPr="00BA6BF4" w:rsidRDefault="008F4122" w:rsidP="00573A00">
            <w:pPr>
              <w:rPr>
                <w:sz w:val="18"/>
                <w:szCs w:val="18"/>
              </w:rPr>
            </w:pPr>
            <w:r w:rsidRPr="00BA6BF4">
              <w:rPr>
                <w:sz w:val="18"/>
                <w:szCs w:val="18"/>
              </w:rPr>
              <w:t>合计</w:t>
            </w:r>
          </w:p>
        </w:tc>
        <w:tc>
          <w:tcPr>
            <w:tcW w:w="1580" w:type="pct"/>
            <w:tcBorders>
              <w:bottom w:val="single" w:sz="4" w:space="0" w:color="auto"/>
            </w:tcBorders>
            <w:vAlign w:val="center"/>
          </w:tcPr>
          <w:p w14:paraId="176CB35E" w14:textId="77777777" w:rsidR="008F4122" w:rsidRPr="00BA6BF4" w:rsidRDefault="008F4122" w:rsidP="00573A00">
            <w:pPr>
              <w:rPr>
                <w:sz w:val="18"/>
                <w:szCs w:val="18"/>
              </w:rPr>
            </w:pPr>
            <w:r w:rsidRPr="00BA6BF4">
              <w:rPr>
                <w:sz w:val="18"/>
                <w:szCs w:val="18"/>
              </w:rPr>
              <w:t>104</w:t>
            </w:r>
          </w:p>
        </w:tc>
        <w:tc>
          <w:tcPr>
            <w:tcW w:w="2627" w:type="pct"/>
            <w:tcBorders>
              <w:bottom w:val="single" w:sz="4" w:space="0" w:color="auto"/>
            </w:tcBorders>
            <w:vAlign w:val="center"/>
          </w:tcPr>
          <w:p w14:paraId="4029DD96" w14:textId="77777777" w:rsidR="008F4122" w:rsidRPr="00BA6BF4" w:rsidRDefault="008F4122" w:rsidP="00573A00">
            <w:pPr>
              <w:rPr>
                <w:sz w:val="18"/>
                <w:szCs w:val="18"/>
              </w:rPr>
            </w:pPr>
            <w:r w:rsidRPr="00BA6BF4">
              <w:rPr>
                <w:sz w:val="18"/>
                <w:szCs w:val="18"/>
              </w:rPr>
              <w:t>43,167.38</w:t>
            </w:r>
          </w:p>
        </w:tc>
      </w:tr>
    </w:tbl>
    <w:p w14:paraId="62A50995" w14:textId="77777777" w:rsidR="008F4122" w:rsidRPr="00800D22" w:rsidRDefault="008F4122" w:rsidP="008F4122">
      <w:pPr>
        <w:autoSpaceDE w:val="0"/>
        <w:autoSpaceDN w:val="0"/>
        <w:adjustRightInd w:val="0"/>
        <w:spacing w:beforeLines="100" w:before="312" w:line="440" w:lineRule="exact"/>
        <w:ind w:firstLineChars="200" w:firstLine="420"/>
        <w:rPr>
          <w:rFonts w:ascii="宋体" w:hAnsi="宋体"/>
          <w:szCs w:val="21"/>
        </w:rPr>
      </w:pPr>
      <w:r w:rsidRPr="00800D22">
        <w:rPr>
          <w:rFonts w:ascii="宋体" w:hAnsi="宋体" w:hint="eastAsia"/>
          <w:szCs w:val="21"/>
        </w:rPr>
        <w:t>从上表中可以看出，在</w:t>
      </w:r>
      <w:r w:rsidRPr="00800D22">
        <w:rPr>
          <w:szCs w:val="21"/>
        </w:rPr>
        <w:t>1981-2001</w:t>
      </w:r>
      <w:r w:rsidRPr="00800D22">
        <w:rPr>
          <w:rFonts w:ascii="宋体" w:hAnsi="宋体" w:hint="eastAsia"/>
          <w:szCs w:val="21"/>
        </w:rPr>
        <w:t>这段时间内，美国的可交换债券市场实现了渐进式的扩容。在此期间共发行了</w:t>
      </w:r>
      <w:r w:rsidRPr="00800D22">
        <w:rPr>
          <w:szCs w:val="21"/>
        </w:rPr>
        <w:t>104</w:t>
      </w:r>
      <w:r w:rsidRPr="00800D22">
        <w:rPr>
          <w:rFonts w:ascii="宋体" w:hAnsi="宋体" w:hint="eastAsia"/>
          <w:szCs w:val="21"/>
        </w:rPr>
        <w:t>期可交换债券，累计发行额达到约</w:t>
      </w:r>
      <w:r w:rsidRPr="00800D22">
        <w:rPr>
          <w:szCs w:val="21"/>
        </w:rPr>
        <w:t>432</w:t>
      </w:r>
      <w:r w:rsidRPr="00800D22">
        <w:rPr>
          <w:rFonts w:ascii="宋体" w:hAnsi="宋体" w:hint="eastAsia"/>
          <w:szCs w:val="21"/>
        </w:rPr>
        <w:t>亿美元。这表明可交换债券这种新兴的金融衍生品正逐步得到美国资本市场各方的认可。</w:t>
      </w:r>
    </w:p>
    <w:p w14:paraId="706D81CD" w14:textId="77777777" w:rsidR="008F4122" w:rsidRPr="00800D22" w:rsidRDefault="008F4122" w:rsidP="008F4122">
      <w:pPr>
        <w:autoSpaceDE w:val="0"/>
        <w:autoSpaceDN w:val="0"/>
        <w:adjustRightInd w:val="0"/>
        <w:spacing w:line="440" w:lineRule="exact"/>
        <w:ind w:firstLineChars="200" w:firstLine="420"/>
        <w:jc w:val="left"/>
        <w:rPr>
          <w:rFonts w:ascii="宋体" w:hAnsi="宋体"/>
          <w:szCs w:val="21"/>
        </w:rPr>
      </w:pPr>
      <w:r w:rsidRPr="00800D22">
        <w:rPr>
          <w:rFonts w:ascii="宋体" w:hAnsi="宋体" w:hint="eastAsia"/>
          <w:szCs w:val="21"/>
        </w:rPr>
        <w:t>与传统的可转换债券在行</w:t>
      </w:r>
      <w:proofErr w:type="gramStart"/>
      <w:r w:rsidRPr="00800D22">
        <w:rPr>
          <w:rFonts w:ascii="宋体" w:hAnsi="宋体" w:hint="eastAsia"/>
          <w:szCs w:val="21"/>
        </w:rPr>
        <w:t>权时仅</w:t>
      </w:r>
      <w:proofErr w:type="gramEnd"/>
      <w:r w:rsidRPr="00800D22">
        <w:rPr>
          <w:rFonts w:ascii="宋体" w:hAnsi="宋体" w:hint="eastAsia"/>
          <w:szCs w:val="21"/>
        </w:rPr>
        <w:t>采用股票交割方式不同，可交换债券可选择股票交割方式、混合交割方式和现金交割方式中的一种进行行权。下表显示了美国在</w:t>
      </w:r>
      <w:r w:rsidRPr="00800D22">
        <w:rPr>
          <w:szCs w:val="21"/>
        </w:rPr>
        <w:t>1981-2001</w:t>
      </w:r>
      <w:r w:rsidRPr="00800D22">
        <w:rPr>
          <w:rFonts w:ascii="宋体" w:hAnsi="宋体" w:hint="eastAsia"/>
          <w:szCs w:val="21"/>
        </w:rPr>
        <w:t>年期间可交换债券按交割方式分类的情况。从表</w:t>
      </w:r>
      <w:r w:rsidRPr="00800D22">
        <w:rPr>
          <w:szCs w:val="21"/>
        </w:rPr>
        <w:t>2</w:t>
      </w:r>
      <w:r w:rsidRPr="00800D22">
        <w:rPr>
          <w:rFonts w:ascii="宋体" w:hAnsi="宋体" w:hint="eastAsia"/>
          <w:szCs w:val="21"/>
        </w:rPr>
        <w:t>中可以看出，美国的可交换债券交割方式以股票交割和混合交割为主，现金交割所占的比重较小。混合交割由于其灵活性和便利性，正越来越受到投资者的青睐，也逐渐发展成可交换债券市场上主流的交割方式。</w:t>
      </w:r>
    </w:p>
    <w:p w14:paraId="34198C29" w14:textId="749177DB" w:rsidR="008F4122" w:rsidRPr="00800D22" w:rsidRDefault="008F4122" w:rsidP="008F4122">
      <w:pPr>
        <w:pStyle w:val="ae"/>
        <w:spacing w:beforeLines="100" w:before="312"/>
        <w:jc w:val="center"/>
        <w:rPr>
          <w:rFonts w:ascii="Times New Roman" w:eastAsia="新宋体" w:hAnsi="新宋体" w:cs="Times New Roman"/>
          <w:sz w:val="21"/>
          <w:szCs w:val="21"/>
        </w:rPr>
      </w:pPr>
      <w:bookmarkStart w:id="1" w:name="_Toc256506933"/>
      <w:r w:rsidRPr="00800D22">
        <w:rPr>
          <w:rFonts w:ascii="Times New Roman" w:eastAsia="新宋体" w:hAnsi="新宋体" w:cs="Times New Roman" w:hint="eastAsia"/>
          <w:sz w:val="21"/>
          <w:szCs w:val="21"/>
        </w:rPr>
        <w:t>表</w:t>
      </w:r>
      <w:r w:rsidR="00B510E7">
        <w:rPr>
          <w:rFonts w:ascii="Times New Roman" w:eastAsia="新宋体" w:hAnsi="新宋体" w:cs="Times New Roman" w:hint="eastAsia"/>
          <w:sz w:val="21"/>
          <w:szCs w:val="21"/>
        </w:rPr>
        <w:t>2</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美国可交换债券按交割方式的分类（单位：百万美元）</w:t>
      </w:r>
      <w:bookmarkEnd w:id="1"/>
    </w:p>
    <w:p w14:paraId="5322CFF1" w14:textId="0BB0019A" w:rsidR="008F4122" w:rsidRPr="00800D22" w:rsidRDefault="008F4122" w:rsidP="008F4122">
      <w:pPr>
        <w:pStyle w:val="ae"/>
        <w:jc w:val="center"/>
        <w:rPr>
          <w:rFonts w:ascii="Times New Roman" w:hAnsi="Times New Roman" w:cs="Times New Roman"/>
          <w:sz w:val="21"/>
          <w:szCs w:val="21"/>
        </w:rPr>
      </w:pPr>
      <w:r w:rsidRPr="00800D22">
        <w:rPr>
          <w:rFonts w:ascii="Times New Roman" w:hAnsi="Times New Roman" w:cs="Times New Roman"/>
          <w:sz w:val="21"/>
          <w:szCs w:val="21"/>
        </w:rPr>
        <w:t xml:space="preserve">table 6  Classification of delivery methods of U.S. exchangeable bonds </w:t>
      </w:r>
    </w:p>
    <w:p w14:paraId="79904297" w14:textId="77777777" w:rsidR="008F4122" w:rsidRPr="00800D22" w:rsidRDefault="008F4122" w:rsidP="008F4122">
      <w:pPr>
        <w:pStyle w:val="ae"/>
        <w:jc w:val="center"/>
        <w:rPr>
          <w:rFonts w:ascii="Times New Roman" w:hAnsi="Times New Roman" w:cs="Times New Roman"/>
          <w:sz w:val="21"/>
          <w:szCs w:val="21"/>
        </w:rPr>
      </w:pPr>
      <w:r w:rsidRPr="00800D22">
        <w:rPr>
          <w:rFonts w:ascii="Times New Roman" w:hAnsi="Times New Roman" w:cs="Times New Roman"/>
          <w:sz w:val="21"/>
          <w:szCs w:val="21"/>
        </w:rPr>
        <w:t>(Unit: millions of dollars)</w:t>
      </w:r>
    </w:p>
    <w:tbl>
      <w:tblPr>
        <w:tblW w:w="5000" w:type="pct"/>
        <w:tblLook w:val="01E0" w:firstRow="1" w:lastRow="1" w:firstColumn="1" w:lastColumn="1" w:noHBand="0" w:noVBand="0"/>
      </w:tblPr>
      <w:tblGrid>
        <w:gridCol w:w="816"/>
        <w:gridCol w:w="1326"/>
        <w:gridCol w:w="1200"/>
        <w:gridCol w:w="1326"/>
        <w:gridCol w:w="1328"/>
        <w:gridCol w:w="1326"/>
        <w:gridCol w:w="1200"/>
      </w:tblGrid>
      <w:tr w:rsidR="008F4122" w:rsidRPr="00BA6BF4" w14:paraId="573F5E91" w14:textId="77777777" w:rsidTr="00573A00">
        <w:trPr>
          <w:trHeight w:val="284"/>
        </w:trPr>
        <w:tc>
          <w:tcPr>
            <w:tcW w:w="479" w:type="pct"/>
            <w:tcBorders>
              <w:top w:val="single" w:sz="4" w:space="0" w:color="auto"/>
            </w:tcBorders>
            <w:vAlign w:val="center"/>
          </w:tcPr>
          <w:p w14:paraId="2E57863B" w14:textId="77777777" w:rsidR="008F4122" w:rsidRPr="00BA6BF4" w:rsidRDefault="008F4122" w:rsidP="00573A00">
            <w:pPr>
              <w:autoSpaceDE w:val="0"/>
              <w:autoSpaceDN w:val="0"/>
              <w:adjustRightInd w:val="0"/>
              <w:rPr>
                <w:szCs w:val="21"/>
              </w:rPr>
            </w:pPr>
          </w:p>
        </w:tc>
        <w:tc>
          <w:tcPr>
            <w:tcW w:w="1482" w:type="pct"/>
            <w:gridSpan w:val="2"/>
            <w:tcBorders>
              <w:top w:val="single" w:sz="4" w:space="0" w:color="auto"/>
            </w:tcBorders>
            <w:vAlign w:val="center"/>
          </w:tcPr>
          <w:p w14:paraId="6EC54425" w14:textId="77777777" w:rsidR="008F4122" w:rsidRPr="00BA6BF4" w:rsidRDefault="008F4122" w:rsidP="00573A00">
            <w:pPr>
              <w:autoSpaceDE w:val="0"/>
              <w:autoSpaceDN w:val="0"/>
              <w:adjustRightInd w:val="0"/>
              <w:rPr>
                <w:szCs w:val="21"/>
              </w:rPr>
            </w:pPr>
            <w:r w:rsidRPr="00BA6BF4">
              <w:rPr>
                <w:rFonts w:hint="eastAsia"/>
                <w:szCs w:val="21"/>
              </w:rPr>
              <w:t>股票交割</w:t>
            </w:r>
          </w:p>
        </w:tc>
        <w:tc>
          <w:tcPr>
            <w:tcW w:w="1557" w:type="pct"/>
            <w:gridSpan w:val="2"/>
            <w:tcBorders>
              <w:top w:val="single" w:sz="4" w:space="0" w:color="auto"/>
            </w:tcBorders>
            <w:vAlign w:val="center"/>
          </w:tcPr>
          <w:p w14:paraId="20D440EB" w14:textId="77777777" w:rsidR="008F4122" w:rsidRPr="00BA6BF4" w:rsidRDefault="008F4122" w:rsidP="00573A00">
            <w:pPr>
              <w:autoSpaceDE w:val="0"/>
              <w:autoSpaceDN w:val="0"/>
              <w:adjustRightInd w:val="0"/>
              <w:rPr>
                <w:szCs w:val="21"/>
              </w:rPr>
            </w:pPr>
            <w:r w:rsidRPr="00BA6BF4">
              <w:rPr>
                <w:rFonts w:hint="eastAsia"/>
                <w:szCs w:val="21"/>
              </w:rPr>
              <w:t>混合交割</w:t>
            </w:r>
          </w:p>
        </w:tc>
        <w:tc>
          <w:tcPr>
            <w:tcW w:w="1482" w:type="pct"/>
            <w:gridSpan w:val="2"/>
            <w:tcBorders>
              <w:top w:val="single" w:sz="4" w:space="0" w:color="auto"/>
            </w:tcBorders>
            <w:vAlign w:val="center"/>
          </w:tcPr>
          <w:p w14:paraId="09CB4C6B" w14:textId="77777777" w:rsidR="008F4122" w:rsidRPr="00BA6BF4" w:rsidRDefault="008F4122" w:rsidP="00573A00">
            <w:pPr>
              <w:autoSpaceDE w:val="0"/>
              <w:autoSpaceDN w:val="0"/>
              <w:adjustRightInd w:val="0"/>
              <w:rPr>
                <w:szCs w:val="21"/>
              </w:rPr>
            </w:pPr>
            <w:r w:rsidRPr="00BA6BF4">
              <w:rPr>
                <w:rFonts w:hint="eastAsia"/>
                <w:szCs w:val="21"/>
              </w:rPr>
              <w:t>现金交割</w:t>
            </w:r>
          </w:p>
        </w:tc>
      </w:tr>
      <w:tr w:rsidR="008F4122" w:rsidRPr="00BA6BF4" w14:paraId="18001BDE" w14:textId="77777777" w:rsidTr="00573A00">
        <w:trPr>
          <w:trHeight w:val="284"/>
        </w:trPr>
        <w:tc>
          <w:tcPr>
            <w:tcW w:w="479" w:type="pct"/>
            <w:tcBorders>
              <w:bottom w:val="single" w:sz="4" w:space="0" w:color="auto"/>
            </w:tcBorders>
            <w:vAlign w:val="center"/>
          </w:tcPr>
          <w:p w14:paraId="351BB545" w14:textId="77777777" w:rsidR="008F4122" w:rsidRPr="00BA6BF4" w:rsidRDefault="008F4122" w:rsidP="00573A00">
            <w:pPr>
              <w:autoSpaceDE w:val="0"/>
              <w:autoSpaceDN w:val="0"/>
              <w:adjustRightInd w:val="0"/>
              <w:rPr>
                <w:szCs w:val="21"/>
              </w:rPr>
            </w:pPr>
            <w:r w:rsidRPr="00BA6BF4">
              <w:rPr>
                <w:rFonts w:hint="eastAsia"/>
                <w:szCs w:val="21"/>
              </w:rPr>
              <w:t>时间</w:t>
            </w:r>
          </w:p>
        </w:tc>
        <w:tc>
          <w:tcPr>
            <w:tcW w:w="778" w:type="pct"/>
            <w:tcBorders>
              <w:bottom w:val="single" w:sz="4" w:space="0" w:color="auto"/>
            </w:tcBorders>
            <w:vAlign w:val="center"/>
          </w:tcPr>
          <w:p w14:paraId="0305F4AF" w14:textId="77777777" w:rsidR="008F4122" w:rsidRPr="00BA6BF4" w:rsidRDefault="008F4122" w:rsidP="00573A00">
            <w:pPr>
              <w:autoSpaceDE w:val="0"/>
              <w:autoSpaceDN w:val="0"/>
              <w:adjustRightInd w:val="0"/>
              <w:rPr>
                <w:szCs w:val="21"/>
              </w:rPr>
            </w:pPr>
            <w:r w:rsidRPr="00BA6BF4">
              <w:rPr>
                <w:rFonts w:hint="eastAsia"/>
                <w:szCs w:val="21"/>
              </w:rPr>
              <w:t>发行期数</w:t>
            </w:r>
          </w:p>
        </w:tc>
        <w:tc>
          <w:tcPr>
            <w:tcW w:w="704" w:type="pct"/>
            <w:tcBorders>
              <w:bottom w:val="single" w:sz="4" w:space="0" w:color="auto"/>
            </w:tcBorders>
            <w:vAlign w:val="center"/>
          </w:tcPr>
          <w:p w14:paraId="16887E2C" w14:textId="77777777" w:rsidR="008F4122" w:rsidRPr="00BA6BF4" w:rsidRDefault="008F4122" w:rsidP="00573A00">
            <w:pPr>
              <w:autoSpaceDE w:val="0"/>
              <w:autoSpaceDN w:val="0"/>
              <w:adjustRightInd w:val="0"/>
              <w:rPr>
                <w:szCs w:val="21"/>
              </w:rPr>
            </w:pPr>
            <w:r w:rsidRPr="00BA6BF4">
              <w:rPr>
                <w:rFonts w:hint="eastAsia"/>
                <w:szCs w:val="21"/>
              </w:rPr>
              <w:t>发行额</w:t>
            </w:r>
          </w:p>
        </w:tc>
        <w:tc>
          <w:tcPr>
            <w:tcW w:w="778" w:type="pct"/>
            <w:tcBorders>
              <w:bottom w:val="single" w:sz="4" w:space="0" w:color="auto"/>
            </w:tcBorders>
            <w:vAlign w:val="center"/>
          </w:tcPr>
          <w:p w14:paraId="0D5D11FE" w14:textId="77777777" w:rsidR="008F4122" w:rsidRPr="00BA6BF4" w:rsidRDefault="008F4122" w:rsidP="00573A00">
            <w:pPr>
              <w:autoSpaceDE w:val="0"/>
              <w:autoSpaceDN w:val="0"/>
              <w:adjustRightInd w:val="0"/>
              <w:rPr>
                <w:szCs w:val="21"/>
              </w:rPr>
            </w:pPr>
            <w:r w:rsidRPr="00BA6BF4">
              <w:rPr>
                <w:rFonts w:hint="eastAsia"/>
                <w:szCs w:val="21"/>
              </w:rPr>
              <w:t>发行期数</w:t>
            </w:r>
          </w:p>
        </w:tc>
        <w:tc>
          <w:tcPr>
            <w:tcW w:w="779" w:type="pct"/>
            <w:tcBorders>
              <w:bottom w:val="single" w:sz="4" w:space="0" w:color="auto"/>
            </w:tcBorders>
            <w:vAlign w:val="center"/>
          </w:tcPr>
          <w:p w14:paraId="4687E3A3" w14:textId="77777777" w:rsidR="008F4122" w:rsidRPr="00BA6BF4" w:rsidRDefault="008F4122" w:rsidP="00573A00">
            <w:pPr>
              <w:autoSpaceDE w:val="0"/>
              <w:autoSpaceDN w:val="0"/>
              <w:adjustRightInd w:val="0"/>
              <w:rPr>
                <w:szCs w:val="21"/>
              </w:rPr>
            </w:pPr>
            <w:r w:rsidRPr="00BA6BF4">
              <w:rPr>
                <w:rFonts w:hint="eastAsia"/>
                <w:szCs w:val="21"/>
              </w:rPr>
              <w:t>发行额</w:t>
            </w:r>
          </w:p>
        </w:tc>
        <w:tc>
          <w:tcPr>
            <w:tcW w:w="778" w:type="pct"/>
            <w:tcBorders>
              <w:bottom w:val="single" w:sz="4" w:space="0" w:color="auto"/>
            </w:tcBorders>
            <w:vAlign w:val="center"/>
          </w:tcPr>
          <w:p w14:paraId="6634BE0D" w14:textId="77777777" w:rsidR="008F4122" w:rsidRPr="00BA6BF4" w:rsidRDefault="008F4122" w:rsidP="00573A00">
            <w:pPr>
              <w:autoSpaceDE w:val="0"/>
              <w:autoSpaceDN w:val="0"/>
              <w:adjustRightInd w:val="0"/>
              <w:rPr>
                <w:szCs w:val="21"/>
              </w:rPr>
            </w:pPr>
            <w:r w:rsidRPr="00BA6BF4">
              <w:rPr>
                <w:rFonts w:hint="eastAsia"/>
                <w:szCs w:val="21"/>
              </w:rPr>
              <w:t>发行期数</w:t>
            </w:r>
          </w:p>
        </w:tc>
        <w:tc>
          <w:tcPr>
            <w:tcW w:w="704" w:type="pct"/>
            <w:tcBorders>
              <w:bottom w:val="single" w:sz="4" w:space="0" w:color="auto"/>
            </w:tcBorders>
            <w:vAlign w:val="center"/>
          </w:tcPr>
          <w:p w14:paraId="106BF0C3" w14:textId="77777777" w:rsidR="008F4122" w:rsidRPr="00BA6BF4" w:rsidRDefault="008F4122" w:rsidP="00573A00">
            <w:pPr>
              <w:autoSpaceDE w:val="0"/>
              <w:autoSpaceDN w:val="0"/>
              <w:adjustRightInd w:val="0"/>
              <w:rPr>
                <w:szCs w:val="21"/>
              </w:rPr>
            </w:pPr>
            <w:r w:rsidRPr="00BA6BF4">
              <w:rPr>
                <w:rFonts w:hint="eastAsia"/>
                <w:szCs w:val="21"/>
              </w:rPr>
              <w:t>发行额</w:t>
            </w:r>
          </w:p>
        </w:tc>
      </w:tr>
      <w:tr w:rsidR="008F4122" w:rsidRPr="00BA6BF4" w14:paraId="3648D8DB" w14:textId="77777777" w:rsidTr="00573A00">
        <w:trPr>
          <w:trHeight w:val="284"/>
        </w:trPr>
        <w:tc>
          <w:tcPr>
            <w:tcW w:w="479" w:type="pct"/>
            <w:tcBorders>
              <w:top w:val="single" w:sz="4" w:space="0" w:color="auto"/>
            </w:tcBorders>
            <w:vAlign w:val="center"/>
          </w:tcPr>
          <w:p w14:paraId="5739E1DF" w14:textId="77777777" w:rsidR="008F4122" w:rsidRPr="00BA6BF4" w:rsidRDefault="008F4122" w:rsidP="00573A00">
            <w:pPr>
              <w:autoSpaceDE w:val="0"/>
              <w:autoSpaceDN w:val="0"/>
              <w:adjustRightInd w:val="0"/>
              <w:rPr>
                <w:sz w:val="18"/>
                <w:szCs w:val="18"/>
              </w:rPr>
            </w:pPr>
            <w:r w:rsidRPr="00BA6BF4">
              <w:rPr>
                <w:rFonts w:hint="eastAsia"/>
                <w:sz w:val="18"/>
                <w:szCs w:val="18"/>
              </w:rPr>
              <w:t>1981</w:t>
            </w:r>
          </w:p>
        </w:tc>
        <w:tc>
          <w:tcPr>
            <w:tcW w:w="778" w:type="pct"/>
            <w:tcBorders>
              <w:top w:val="single" w:sz="4" w:space="0" w:color="auto"/>
            </w:tcBorders>
            <w:vAlign w:val="center"/>
          </w:tcPr>
          <w:p w14:paraId="629B1A20" w14:textId="77777777" w:rsidR="008F4122" w:rsidRPr="00BA6BF4" w:rsidRDefault="008F4122" w:rsidP="00573A00">
            <w:pPr>
              <w:autoSpaceDE w:val="0"/>
              <w:autoSpaceDN w:val="0"/>
              <w:adjustRightInd w:val="0"/>
              <w:rPr>
                <w:sz w:val="18"/>
                <w:szCs w:val="18"/>
              </w:rPr>
            </w:pPr>
            <w:r w:rsidRPr="00BA6BF4">
              <w:rPr>
                <w:rFonts w:hint="eastAsia"/>
                <w:sz w:val="18"/>
                <w:szCs w:val="18"/>
              </w:rPr>
              <w:t>4</w:t>
            </w:r>
          </w:p>
        </w:tc>
        <w:tc>
          <w:tcPr>
            <w:tcW w:w="704" w:type="pct"/>
            <w:tcBorders>
              <w:top w:val="single" w:sz="4" w:space="0" w:color="auto"/>
            </w:tcBorders>
            <w:vAlign w:val="center"/>
          </w:tcPr>
          <w:p w14:paraId="73462FF6" w14:textId="77777777" w:rsidR="008F4122" w:rsidRPr="00BA6BF4" w:rsidRDefault="008F4122" w:rsidP="00573A00">
            <w:pPr>
              <w:autoSpaceDE w:val="0"/>
              <w:autoSpaceDN w:val="0"/>
              <w:adjustRightInd w:val="0"/>
              <w:rPr>
                <w:sz w:val="18"/>
                <w:szCs w:val="18"/>
              </w:rPr>
            </w:pPr>
            <w:r w:rsidRPr="00BA6BF4">
              <w:rPr>
                <w:rFonts w:hint="eastAsia"/>
                <w:sz w:val="18"/>
                <w:szCs w:val="18"/>
              </w:rPr>
              <w:t>436</w:t>
            </w:r>
          </w:p>
        </w:tc>
        <w:tc>
          <w:tcPr>
            <w:tcW w:w="778" w:type="pct"/>
            <w:tcBorders>
              <w:top w:val="single" w:sz="4" w:space="0" w:color="auto"/>
            </w:tcBorders>
            <w:vAlign w:val="center"/>
          </w:tcPr>
          <w:p w14:paraId="66AAF79C"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9" w:type="pct"/>
            <w:tcBorders>
              <w:top w:val="single" w:sz="4" w:space="0" w:color="auto"/>
            </w:tcBorders>
            <w:vAlign w:val="center"/>
          </w:tcPr>
          <w:p w14:paraId="47EA16A1"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8" w:type="pct"/>
            <w:tcBorders>
              <w:top w:val="single" w:sz="4" w:space="0" w:color="auto"/>
            </w:tcBorders>
            <w:vAlign w:val="center"/>
          </w:tcPr>
          <w:p w14:paraId="7A72FB19"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tcBorders>
              <w:top w:val="single" w:sz="4" w:space="0" w:color="auto"/>
            </w:tcBorders>
            <w:vAlign w:val="center"/>
          </w:tcPr>
          <w:p w14:paraId="2817DB67"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782BA450" w14:textId="77777777" w:rsidTr="00573A00">
        <w:trPr>
          <w:trHeight w:val="284"/>
        </w:trPr>
        <w:tc>
          <w:tcPr>
            <w:tcW w:w="479" w:type="pct"/>
            <w:vAlign w:val="center"/>
          </w:tcPr>
          <w:p w14:paraId="23B42C9E" w14:textId="77777777" w:rsidR="008F4122" w:rsidRPr="00BA6BF4" w:rsidRDefault="008F4122" w:rsidP="00573A00">
            <w:pPr>
              <w:autoSpaceDE w:val="0"/>
              <w:autoSpaceDN w:val="0"/>
              <w:adjustRightInd w:val="0"/>
              <w:rPr>
                <w:sz w:val="18"/>
                <w:szCs w:val="18"/>
              </w:rPr>
            </w:pPr>
            <w:r w:rsidRPr="00BA6BF4">
              <w:rPr>
                <w:rFonts w:hint="eastAsia"/>
                <w:sz w:val="18"/>
                <w:szCs w:val="18"/>
              </w:rPr>
              <w:t>1982</w:t>
            </w:r>
          </w:p>
        </w:tc>
        <w:tc>
          <w:tcPr>
            <w:tcW w:w="778" w:type="pct"/>
            <w:vAlign w:val="center"/>
          </w:tcPr>
          <w:p w14:paraId="522061D2"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04" w:type="pct"/>
            <w:vAlign w:val="center"/>
          </w:tcPr>
          <w:p w14:paraId="3F558683" w14:textId="77777777" w:rsidR="008F4122" w:rsidRPr="00BA6BF4" w:rsidRDefault="008F4122" w:rsidP="00573A00">
            <w:pPr>
              <w:autoSpaceDE w:val="0"/>
              <w:autoSpaceDN w:val="0"/>
              <w:adjustRightInd w:val="0"/>
              <w:rPr>
                <w:sz w:val="18"/>
                <w:szCs w:val="18"/>
              </w:rPr>
            </w:pPr>
            <w:r w:rsidRPr="00BA6BF4">
              <w:rPr>
                <w:rFonts w:hint="eastAsia"/>
                <w:sz w:val="18"/>
                <w:szCs w:val="18"/>
              </w:rPr>
              <w:t>200</w:t>
            </w:r>
          </w:p>
        </w:tc>
        <w:tc>
          <w:tcPr>
            <w:tcW w:w="778" w:type="pct"/>
            <w:vAlign w:val="center"/>
          </w:tcPr>
          <w:p w14:paraId="4F162588"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9" w:type="pct"/>
            <w:vAlign w:val="center"/>
          </w:tcPr>
          <w:p w14:paraId="1FAAB95C"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8" w:type="pct"/>
            <w:vAlign w:val="center"/>
          </w:tcPr>
          <w:p w14:paraId="7395C7EC"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5423B034"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6451886F" w14:textId="77777777" w:rsidTr="00573A00">
        <w:trPr>
          <w:trHeight w:val="284"/>
        </w:trPr>
        <w:tc>
          <w:tcPr>
            <w:tcW w:w="479" w:type="pct"/>
            <w:vAlign w:val="center"/>
          </w:tcPr>
          <w:p w14:paraId="3D4B80B5" w14:textId="77777777" w:rsidR="008F4122" w:rsidRPr="00BA6BF4" w:rsidRDefault="008F4122" w:rsidP="00573A00">
            <w:pPr>
              <w:autoSpaceDE w:val="0"/>
              <w:autoSpaceDN w:val="0"/>
              <w:adjustRightInd w:val="0"/>
              <w:rPr>
                <w:sz w:val="18"/>
                <w:szCs w:val="18"/>
              </w:rPr>
            </w:pPr>
            <w:r w:rsidRPr="00BA6BF4">
              <w:rPr>
                <w:rFonts w:hint="eastAsia"/>
                <w:sz w:val="18"/>
                <w:szCs w:val="18"/>
              </w:rPr>
              <w:t>1983</w:t>
            </w:r>
          </w:p>
        </w:tc>
        <w:tc>
          <w:tcPr>
            <w:tcW w:w="778" w:type="pct"/>
            <w:vAlign w:val="center"/>
          </w:tcPr>
          <w:p w14:paraId="14956C1C" w14:textId="77777777" w:rsidR="008F4122" w:rsidRPr="00BA6BF4" w:rsidRDefault="008F4122" w:rsidP="00573A00">
            <w:pPr>
              <w:autoSpaceDE w:val="0"/>
              <w:autoSpaceDN w:val="0"/>
              <w:adjustRightInd w:val="0"/>
              <w:rPr>
                <w:sz w:val="18"/>
                <w:szCs w:val="18"/>
              </w:rPr>
            </w:pPr>
            <w:r w:rsidRPr="00BA6BF4">
              <w:rPr>
                <w:rFonts w:hint="eastAsia"/>
                <w:sz w:val="18"/>
                <w:szCs w:val="18"/>
              </w:rPr>
              <w:t>4</w:t>
            </w:r>
          </w:p>
        </w:tc>
        <w:tc>
          <w:tcPr>
            <w:tcW w:w="704" w:type="pct"/>
            <w:vAlign w:val="center"/>
          </w:tcPr>
          <w:p w14:paraId="4361252B" w14:textId="77777777" w:rsidR="008F4122" w:rsidRPr="00BA6BF4" w:rsidRDefault="008F4122" w:rsidP="00573A00">
            <w:pPr>
              <w:autoSpaceDE w:val="0"/>
              <w:autoSpaceDN w:val="0"/>
              <w:adjustRightInd w:val="0"/>
              <w:rPr>
                <w:sz w:val="18"/>
                <w:szCs w:val="18"/>
              </w:rPr>
            </w:pPr>
            <w:r w:rsidRPr="00BA6BF4">
              <w:rPr>
                <w:rFonts w:hint="eastAsia"/>
                <w:sz w:val="18"/>
                <w:szCs w:val="18"/>
              </w:rPr>
              <w:t>360</w:t>
            </w:r>
          </w:p>
        </w:tc>
        <w:tc>
          <w:tcPr>
            <w:tcW w:w="778" w:type="pct"/>
            <w:vAlign w:val="center"/>
          </w:tcPr>
          <w:p w14:paraId="00DBC8E7"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79" w:type="pct"/>
            <w:vAlign w:val="center"/>
          </w:tcPr>
          <w:p w14:paraId="0AB6F713" w14:textId="77777777" w:rsidR="008F4122" w:rsidRPr="00BA6BF4" w:rsidRDefault="008F4122" w:rsidP="00573A00">
            <w:pPr>
              <w:autoSpaceDE w:val="0"/>
              <w:autoSpaceDN w:val="0"/>
              <w:adjustRightInd w:val="0"/>
              <w:rPr>
                <w:sz w:val="18"/>
                <w:szCs w:val="18"/>
              </w:rPr>
            </w:pPr>
            <w:r w:rsidRPr="00BA6BF4">
              <w:rPr>
                <w:rFonts w:hint="eastAsia"/>
                <w:sz w:val="18"/>
                <w:szCs w:val="18"/>
              </w:rPr>
              <w:t>300</w:t>
            </w:r>
          </w:p>
        </w:tc>
        <w:tc>
          <w:tcPr>
            <w:tcW w:w="778" w:type="pct"/>
            <w:vAlign w:val="center"/>
          </w:tcPr>
          <w:p w14:paraId="28314D60"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06722712"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59702C72" w14:textId="77777777" w:rsidTr="00573A00">
        <w:trPr>
          <w:trHeight w:val="284"/>
        </w:trPr>
        <w:tc>
          <w:tcPr>
            <w:tcW w:w="479" w:type="pct"/>
            <w:vAlign w:val="center"/>
          </w:tcPr>
          <w:p w14:paraId="26EBF6EF" w14:textId="77777777" w:rsidR="008F4122" w:rsidRPr="00BA6BF4" w:rsidRDefault="008F4122" w:rsidP="00573A00">
            <w:pPr>
              <w:autoSpaceDE w:val="0"/>
              <w:autoSpaceDN w:val="0"/>
              <w:adjustRightInd w:val="0"/>
              <w:rPr>
                <w:sz w:val="18"/>
                <w:szCs w:val="18"/>
              </w:rPr>
            </w:pPr>
            <w:r w:rsidRPr="00BA6BF4">
              <w:rPr>
                <w:rFonts w:hint="eastAsia"/>
                <w:sz w:val="18"/>
                <w:szCs w:val="18"/>
              </w:rPr>
              <w:t>1984</w:t>
            </w:r>
          </w:p>
        </w:tc>
        <w:tc>
          <w:tcPr>
            <w:tcW w:w="778" w:type="pct"/>
            <w:vAlign w:val="center"/>
          </w:tcPr>
          <w:p w14:paraId="456D007F"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04" w:type="pct"/>
            <w:vAlign w:val="center"/>
          </w:tcPr>
          <w:p w14:paraId="01B8E188" w14:textId="77777777" w:rsidR="008F4122" w:rsidRPr="00BA6BF4" w:rsidRDefault="008F4122" w:rsidP="00573A00">
            <w:pPr>
              <w:autoSpaceDE w:val="0"/>
              <w:autoSpaceDN w:val="0"/>
              <w:adjustRightInd w:val="0"/>
              <w:rPr>
                <w:sz w:val="18"/>
                <w:szCs w:val="18"/>
              </w:rPr>
            </w:pPr>
            <w:r w:rsidRPr="00BA6BF4">
              <w:rPr>
                <w:rFonts w:hint="eastAsia"/>
                <w:sz w:val="18"/>
                <w:szCs w:val="18"/>
              </w:rPr>
              <w:t>280</w:t>
            </w:r>
          </w:p>
        </w:tc>
        <w:tc>
          <w:tcPr>
            <w:tcW w:w="778" w:type="pct"/>
            <w:vAlign w:val="center"/>
          </w:tcPr>
          <w:p w14:paraId="2CB0C645"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9" w:type="pct"/>
            <w:vAlign w:val="center"/>
          </w:tcPr>
          <w:p w14:paraId="14B310D3"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8" w:type="pct"/>
            <w:vAlign w:val="center"/>
          </w:tcPr>
          <w:p w14:paraId="34992B45"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731DCDE1"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0D3E1F17" w14:textId="77777777" w:rsidTr="00573A00">
        <w:trPr>
          <w:trHeight w:val="284"/>
        </w:trPr>
        <w:tc>
          <w:tcPr>
            <w:tcW w:w="479" w:type="pct"/>
            <w:vAlign w:val="center"/>
          </w:tcPr>
          <w:p w14:paraId="3F65E70F" w14:textId="77777777" w:rsidR="008F4122" w:rsidRPr="00BA6BF4" w:rsidRDefault="008F4122" w:rsidP="00573A00">
            <w:pPr>
              <w:autoSpaceDE w:val="0"/>
              <w:autoSpaceDN w:val="0"/>
              <w:adjustRightInd w:val="0"/>
              <w:rPr>
                <w:sz w:val="18"/>
                <w:szCs w:val="18"/>
              </w:rPr>
            </w:pPr>
            <w:r w:rsidRPr="00BA6BF4">
              <w:rPr>
                <w:rFonts w:hint="eastAsia"/>
                <w:sz w:val="18"/>
                <w:szCs w:val="18"/>
              </w:rPr>
              <w:t>1985</w:t>
            </w:r>
          </w:p>
        </w:tc>
        <w:tc>
          <w:tcPr>
            <w:tcW w:w="778" w:type="pct"/>
            <w:vAlign w:val="center"/>
          </w:tcPr>
          <w:p w14:paraId="435DF587" w14:textId="77777777" w:rsidR="008F4122" w:rsidRPr="00BA6BF4" w:rsidRDefault="008F4122" w:rsidP="00573A00">
            <w:pPr>
              <w:autoSpaceDE w:val="0"/>
              <w:autoSpaceDN w:val="0"/>
              <w:adjustRightInd w:val="0"/>
              <w:rPr>
                <w:sz w:val="18"/>
                <w:szCs w:val="18"/>
              </w:rPr>
            </w:pPr>
            <w:r w:rsidRPr="00BA6BF4">
              <w:rPr>
                <w:rFonts w:hint="eastAsia"/>
                <w:sz w:val="18"/>
                <w:szCs w:val="18"/>
              </w:rPr>
              <w:t>5</w:t>
            </w:r>
          </w:p>
        </w:tc>
        <w:tc>
          <w:tcPr>
            <w:tcW w:w="704" w:type="pct"/>
            <w:vAlign w:val="center"/>
          </w:tcPr>
          <w:p w14:paraId="06A11609" w14:textId="77777777" w:rsidR="008F4122" w:rsidRPr="00BA6BF4" w:rsidRDefault="008F4122" w:rsidP="00573A00">
            <w:pPr>
              <w:autoSpaceDE w:val="0"/>
              <w:autoSpaceDN w:val="0"/>
              <w:adjustRightInd w:val="0"/>
              <w:rPr>
                <w:sz w:val="18"/>
                <w:szCs w:val="18"/>
              </w:rPr>
            </w:pPr>
            <w:r w:rsidRPr="00BA6BF4">
              <w:rPr>
                <w:rFonts w:hint="eastAsia"/>
                <w:sz w:val="18"/>
                <w:szCs w:val="18"/>
              </w:rPr>
              <w:t>405</w:t>
            </w:r>
          </w:p>
        </w:tc>
        <w:tc>
          <w:tcPr>
            <w:tcW w:w="778" w:type="pct"/>
            <w:vAlign w:val="center"/>
          </w:tcPr>
          <w:p w14:paraId="6CD71083"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79" w:type="pct"/>
            <w:vAlign w:val="center"/>
          </w:tcPr>
          <w:p w14:paraId="11A1691B" w14:textId="77777777" w:rsidR="008F4122" w:rsidRPr="00BA6BF4" w:rsidRDefault="008F4122" w:rsidP="00573A00">
            <w:pPr>
              <w:autoSpaceDE w:val="0"/>
              <w:autoSpaceDN w:val="0"/>
              <w:adjustRightInd w:val="0"/>
              <w:rPr>
                <w:sz w:val="18"/>
                <w:szCs w:val="18"/>
              </w:rPr>
            </w:pPr>
            <w:r w:rsidRPr="00BA6BF4">
              <w:rPr>
                <w:rFonts w:hint="eastAsia"/>
                <w:sz w:val="18"/>
                <w:szCs w:val="18"/>
              </w:rPr>
              <w:t>142</w:t>
            </w:r>
          </w:p>
        </w:tc>
        <w:tc>
          <w:tcPr>
            <w:tcW w:w="778" w:type="pct"/>
            <w:vAlign w:val="center"/>
          </w:tcPr>
          <w:p w14:paraId="7849D97E"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4429A8D0"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381F42B1" w14:textId="77777777" w:rsidTr="00573A00">
        <w:trPr>
          <w:trHeight w:val="284"/>
        </w:trPr>
        <w:tc>
          <w:tcPr>
            <w:tcW w:w="479" w:type="pct"/>
            <w:vAlign w:val="center"/>
          </w:tcPr>
          <w:p w14:paraId="233B5B92" w14:textId="77777777" w:rsidR="008F4122" w:rsidRPr="00BA6BF4" w:rsidRDefault="008F4122" w:rsidP="00573A00">
            <w:pPr>
              <w:autoSpaceDE w:val="0"/>
              <w:autoSpaceDN w:val="0"/>
              <w:adjustRightInd w:val="0"/>
              <w:rPr>
                <w:sz w:val="18"/>
                <w:szCs w:val="18"/>
              </w:rPr>
            </w:pPr>
            <w:r w:rsidRPr="00BA6BF4">
              <w:rPr>
                <w:rFonts w:hint="eastAsia"/>
                <w:sz w:val="18"/>
                <w:szCs w:val="18"/>
              </w:rPr>
              <w:t>1986</w:t>
            </w:r>
          </w:p>
        </w:tc>
        <w:tc>
          <w:tcPr>
            <w:tcW w:w="778" w:type="pct"/>
            <w:vAlign w:val="center"/>
          </w:tcPr>
          <w:p w14:paraId="3734BBF1" w14:textId="77777777" w:rsidR="008F4122" w:rsidRPr="00BA6BF4" w:rsidRDefault="008F4122" w:rsidP="00573A00">
            <w:pPr>
              <w:autoSpaceDE w:val="0"/>
              <w:autoSpaceDN w:val="0"/>
              <w:adjustRightInd w:val="0"/>
              <w:rPr>
                <w:sz w:val="18"/>
                <w:szCs w:val="18"/>
              </w:rPr>
            </w:pPr>
            <w:r w:rsidRPr="00BA6BF4">
              <w:rPr>
                <w:rFonts w:hint="eastAsia"/>
                <w:sz w:val="18"/>
                <w:szCs w:val="18"/>
              </w:rPr>
              <w:t>6</w:t>
            </w:r>
          </w:p>
        </w:tc>
        <w:tc>
          <w:tcPr>
            <w:tcW w:w="704" w:type="pct"/>
            <w:vAlign w:val="center"/>
          </w:tcPr>
          <w:p w14:paraId="7D1AE676" w14:textId="77777777" w:rsidR="008F4122" w:rsidRPr="00BA6BF4" w:rsidRDefault="008F4122" w:rsidP="00573A00">
            <w:pPr>
              <w:autoSpaceDE w:val="0"/>
              <w:autoSpaceDN w:val="0"/>
              <w:adjustRightInd w:val="0"/>
              <w:rPr>
                <w:sz w:val="18"/>
                <w:szCs w:val="18"/>
              </w:rPr>
            </w:pPr>
            <w:r w:rsidRPr="00BA6BF4">
              <w:rPr>
                <w:rFonts w:hint="eastAsia"/>
                <w:sz w:val="18"/>
                <w:szCs w:val="18"/>
              </w:rPr>
              <w:t>660</w:t>
            </w:r>
          </w:p>
        </w:tc>
        <w:tc>
          <w:tcPr>
            <w:tcW w:w="778" w:type="pct"/>
            <w:vAlign w:val="center"/>
          </w:tcPr>
          <w:p w14:paraId="0C083BE0"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79" w:type="pct"/>
            <w:vAlign w:val="center"/>
          </w:tcPr>
          <w:p w14:paraId="32EDAF5B" w14:textId="77777777" w:rsidR="008F4122" w:rsidRPr="00BA6BF4" w:rsidRDefault="008F4122" w:rsidP="00573A00">
            <w:pPr>
              <w:autoSpaceDE w:val="0"/>
              <w:autoSpaceDN w:val="0"/>
              <w:adjustRightInd w:val="0"/>
              <w:rPr>
                <w:sz w:val="18"/>
                <w:szCs w:val="18"/>
              </w:rPr>
            </w:pPr>
            <w:r w:rsidRPr="00BA6BF4">
              <w:rPr>
                <w:rFonts w:hint="eastAsia"/>
                <w:sz w:val="18"/>
                <w:szCs w:val="18"/>
              </w:rPr>
              <w:t>100</w:t>
            </w:r>
          </w:p>
        </w:tc>
        <w:tc>
          <w:tcPr>
            <w:tcW w:w="778" w:type="pct"/>
            <w:vAlign w:val="center"/>
          </w:tcPr>
          <w:p w14:paraId="636D0BA0"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6963E399"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4A9750E6" w14:textId="77777777" w:rsidTr="00573A00">
        <w:trPr>
          <w:trHeight w:val="284"/>
        </w:trPr>
        <w:tc>
          <w:tcPr>
            <w:tcW w:w="479" w:type="pct"/>
            <w:vAlign w:val="center"/>
          </w:tcPr>
          <w:p w14:paraId="224E5F89" w14:textId="77777777" w:rsidR="008F4122" w:rsidRPr="00BA6BF4" w:rsidRDefault="008F4122" w:rsidP="00573A00">
            <w:pPr>
              <w:autoSpaceDE w:val="0"/>
              <w:autoSpaceDN w:val="0"/>
              <w:adjustRightInd w:val="0"/>
              <w:rPr>
                <w:sz w:val="18"/>
                <w:szCs w:val="18"/>
              </w:rPr>
            </w:pPr>
            <w:r w:rsidRPr="00BA6BF4">
              <w:rPr>
                <w:rFonts w:hint="eastAsia"/>
                <w:sz w:val="18"/>
                <w:szCs w:val="18"/>
              </w:rPr>
              <w:t>1987</w:t>
            </w:r>
          </w:p>
        </w:tc>
        <w:tc>
          <w:tcPr>
            <w:tcW w:w="778" w:type="pct"/>
            <w:vAlign w:val="center"/>
          </w:tcPr>
          <w:p w14:paraId="33B3DF71"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168FAF45"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8" w:type="pct"/>
            <w:vAlign w:val="center"/>
          </w:tcPr>
          <w:p w14:paraId="2143ACE8"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79" w:type="pct"/>
            <w:vAlign w:val="center"/>
          </w:tcPr>
          <w:p w14:paraId="3C4CF4A8" w14:textId="77777777" w:rsidR="008F4122" w:rsidRPr="00BA6BF4" w:rsidRDefault="008F4122" w:rsidP="00573A00">
            <w:pPr>
              <w:autoSpaceDE w:val="0"/>
              <w:autoSpaceDN w:val="0"/>
              <w:adjustRightInd w:val="0"/>
              <w:rPr>
                <w:sz w:val="18"/>
                <w:szCs w:val="18"/>
              </w:rPr>
            </w:pPr>
            <w:r w:rsidRPr="00BA6BF4">
              <w:rPr>
                <w:rFonts w:hint="eastAsia"/>
                <w:sz w:val="18"/>
                <w:szCs w:val="18"/>
              </w:rPr>
              <w:t>280</w:t>
            </w:r>
          </w:p>
        </w:tc>
        <w:tc>
          <w:tcPr>
            <w:tcW w:w="778" w:type="pct"/>
            <w:vAlign w:val="center"/>
          </w:tcPr>
          <w:p w14:paraId="6F52A998"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514120E2"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665D989A" w14:textId="77777777" w:rsidTr="00573A00">
        <w:trPr>
          <w:trHeight w:val="284"/>
        </w:trPr>
        <w:tc>
          <w:tcPr>
            <w:tcW w:w="479" w:type="pct"/>
            <w:vAlign w:val="center"/>
          </w:tcPr>
          <w:p w14:paraId="2A075662" w14:textId="77777777" w:rsidR="008F4122" w:rsidRPr="00BA6BF4" w:rsidRDefault="008F4122" w:rsidP="00573A00">
            <w:pPr>
              <w:autoSpaceDE w:val="0"/>
              <w:autoSpaceDN w:val="0"/>
              <w:adjustRightInd w:val="0"/>
              <w:rPr>
                <w:sz w:val="18"/>
                <w:szCs w:val="18"/>
              </w:rPr>
            </w:pPr>
            <w:r w:rsidRPr="00BA6BF4">
              <w:rPr>
                <w:rFonts w:hint="eastAsia"/>
                <w:sz w:val="18"/>
                <w:szCs w:val="18"/>
              </w:rPr>
              <w:t>1988</w:t>
            </w:r>
          </w:p>
        </w:tc>
        <w:tc>
          <w:tcPr>
            <w:tcW w:w="778" w:type="pct"/>
            <w:vAlign w:val="center"/>
          </w:tcPr>
          <w:p w14:paraId="7689A45F"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04" w:type="pct"/>
            <w:vAlign w:val="center"/>
          </w:tcPr>
          <w:p w14:paraId="1973C840" w14:textId="77777777" w:rsidR="008F4122" w:rsidRPr="00BA6BF4" w:rsidRDefault="008F4122" w:rsidP="00573A00">
            <w:pPr>
              <w:autoSpaceDE w:val="0"/>
              <w:autoSpaceDN w:val="0"/>
              <w:adjustRightInd w:val="0"/>
              <w:rPr>
                <w:sz w:val="18"/>
                <w:szCs w:val="18"/>
              </w:rPr>
            </w:pPr>
            <w:r w:rsidRPr="00BA6BF4">
              <w:rPr>
                <w:rFonts w:hint="eastAsia"/>
                <w:sz w:val="18"/>
                <w:szCs w:val="18"/>
              </w:rPr>
              <w:t>1,800</w:t>
            </w:r>
          </w:p>
        </w:tc>
        <w:tc>
          <w:tcPr>
            <w:tcW w:w="778" w:type="pct"/>
            <w:vAlign w:val="center"/>
          </w:tcPr>
          <w:p w14:paraId="09D5FCEB"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79" w:type="pct"/>
            <w:vAlign w:val="center"/>
          </w:tcPr>
          <w:p w14:paraId="715489A7" w14:textId="77777777" w:rsidR="008F4122" w:rsidRPr="00BA6BF4" w:rsidRDefault="008F4122" w:rsidP="00573A00">
            <w:pPr>
              <w:autoSpaceDE w:val="0"/>
              <w:autoSpaceDN w:val="0"/>
              <w:adjustRightInd w:val="0"/>
              <w:rPr>
                <w:sz w:val="18"/>
                <w:szCs w:val="18"/>
              </w:rPr>
            </w:pPr>
            <w:r w:rsidRPr="00BA6BF4">
              <w:rPr>
                <w:rFonts w:hint="eastAsia"/>
                <w:sz w:val="18"/>
                <w:szCs w:val="18"/>
              </w:rPr>
              <w:t>1,300</w:t>
            </w:r>
          </w:p>
        </w:tc>
        <w:tc>
          <w:tcPr>
            <w:tcW w:w="778" w:type="pct"/>
            <w:vAlign w:val="center"/>
          </w:tcPr>
          <w:p w14:paraId="5331B40B"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34D4E4E3"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28159291" w14:textId="77777777" w:rsidTr="00573A00">
        <w:trPr>
          <w:trHeight w:val="284"/>
        </w:trPr>
        <w:tc>
          <w:tcPr>
            <w:tcW w:w="479" w:type="pct"/>
            <w:vAlign w:val="center"/>
          </w:tcPr>
          <w:p w14:paraId="2FB4385E" w14:textId="77777777" w:rsidR="008F4122" w:rsidRPr="00BA6BF4" w:rsidRDefault="008F4122" w:rsidP="00573A00">
            <w:pPr>
              <w:autoSpaceDE w:val="0"/>
              <w:autoSpaceDN w:val="0"/>
              <w:adjustRightInd w:val="0"/>
              <w:rPr>
                <w:sz w:val="18"/>
                <w:szCs w:val="18"/>
              </w:rPr>
            </w:pPr>
            <w:r w:rsidRPr="00BA6BF4">
              <w:rPr>
                <w:rFonts w:hint="eastAsia"/>
                <w:sz w:val="18"/>
                <w:szCs w:val="18"/>
              </w:rPr>
              <w:t>1989</w:t>
            </w:r>
          </w:p>
        </w:tc>
        <w:tc>
          <w:tcPr>
            <w:tcW w:w="778" w:type="pct"/>
            <w:vAlign w:val="center"/>
          </w:tcPr>
          <w:p w14:paraId="2FE3419F"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04" w:type="pct"/>
            <w:vAlign w:val="center"/>
          </w:tcPr>
          <w:p w14:paraId="3C593193" w14:textId="77777777" w:rsidR="008F4122" w:rsidRPr="00BA6BF4" w:rsidRDefault="008F4122" w:rsidP="00573A00">
            <w:pPr>
              <w:autoSpaceDE w:val="0"/>
              <w:autoSpaceDN w:val="0"/>
              <w:adjustRightInd w:val="0"/>
              <w:rPr>
                <w:sz w:val="18"/>
                <w:szCs w:val="18"/>
              </w:rPr>
            </w:pPr>
            <w:r w:rsidRPr="00BA6BF4">
              <w:rPr>
                <w:rFonts w:hint="eastAsia"/>
                <w:sz w:val="18"/>
                <w:szCs w:val="18"/>
              </w:rPr>
              <w:t>280.1</w:t>
            </w:r>
          </w:p>
        </w:tc>
        <w:tc>
          <w:tcPr>
            <w:tcW w:w="778" w:type="pct"/>
            <w:vAlign w:val="center"/>
          </w:tcPr>
          <w:p w14:paraId="44CFB2D0"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79" w:type="pct"/>
            <w:vAlign w:val="center"/>
          </w:tcPr>
          <w:p w14:paraId="6F0BAA4E" w14:textId="77777777" w:rsidR="008F4122" w:rsidRPr="00BA6BF4" w:rsidRDefault="008F4122" w:rsidP="00573A00">
            <w:pPr>
              <w:autoSpaceDE w:val="0"/>
              <w:autoSpaceDN w:val="0"/>
              <w:adjustRightInd w:val="0"/>
              <w:rPr>
                <w:sz w:val="18"/>
                <w:szCs w:val="18"/>
              </w:rPr>
            </w:pPr>
            <w:r w:rsidRPr="00BA6BF4">
              <w:rPr>
                <w:rFonts w:hint="eastAsia"/>
                <w:sz w:val="18"/>
                <w:szCs w:val="18"/>
              </w:rPr>
              <w:t>119.6</w:t>
            </w:r>
          </w:p>
        </w:tc>
        <w:tc>
          <w:tcPr>
            <w:tcW w:w="778" w:type="pct"/>
            <w:vAlign w:val="center"/>
          </w:tcPr>
          <w:p w14:paraId="2D915CE3"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3CA52F55"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4BB461B0" w14:textId="77777777" w:rsidTr="00573A00">
        <w:trPr>
          <w:trHeight w:val="284"/>
        </w:trPr>
        <w:tc>
          <w:tcPr>
            <w:tcW w:w="479" w:type="pct"/>
            <w:vAlign w:val="center"/>
          </w:tcPr>
          <w:p w14:paraId="5EA4917A" w14:textId="77777777" w:rsidR="008F4122" w:rsidRPr="00BA6BF4" w:rsidRDefault="008F4122" w:rsidP="00573A00">
            <w:pPr>
              <w:autoSpaceDE w:val="0"/>
              <w:autoSpaceDN w:val="0"/>
              <w:adjustRightInd w:val="0"/>
              <w:rPr>
                <w:sz w:val="18"/>
                <w:szCs w:val="18"/>
              </w:rPr>
            </w:pPr>
            <w:r w:rsidRPr="00BA6BF4">
              <w:rPr>
                <w:rFonts w:hint="eastAsia"/>
                <w:sz w:val="18"/>
                <w:szCs w:val="18"/>
              </w:rPr>
              <w:t>1990</w:t>
            </w:r>
          </w:p>
        </w:tc>
        <w:tc>
          <w:tcPr>
            <w:tcW w:w="778" w:type="pct"/>
            <w:vAlign w:val="center"/>
          </w:tcPr>
          <w:p w14:paraId="6A6DD620"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04" w:type="pct"/>
            <w:vAlign w:val="center"/>
          </w:tcPr>
          <w:p w14:paraId="12BC7D8B" w14:textId="77777777" w:rsidR="008F4122" w:rsidRPr="00BA6BF4" w:rsidRDefault="008F4122" w:rsidP="00573A00">
            <w:pPr>
              <w:autoSpaceDE w:val="0"/>
              <w:autoSpaceDN w:val="0"/>
              <w:adjustRightInd w:val="0"/>
              <w:rPr>
                <w:sz w:val="18"/>
                <w:szCs w:val="18"/>
              </w:rPr>
            </w:pPr>
            <w:r w:rsidRPr="00BA6BF4">
              <w:rPr>
                <w:rFonts w:hint="eastAsia"/>
                <w:sz w:val="18"/>
                <w:szCs w:val="18"/>
              </w:rPr>
              <w:t>125</w:t>
            </w:r>
          </w:p>
        </w:tc>
        <w:tc>
          <w:tcPr>
            <w:tcW w:w="778" w:type="pct"/>
            <w:vAlign w:val="center"/>
          </w:tcPr>
          <w:p w14:paraId="6428F0E5"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9" w:type="pct"/>
            <w:vAlign w:val="center"/>
          </w:tcPr>
          <w:p w14:paraId="11AE7243"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8" w:type="pct"/>
            <w:vAlign w:val="center"/>
          </w:tcPr>
          <w:p w14:paraId="6C622B7C"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04" w:type="pct"/>
            <w:vAlign w:val="center"/>
          </w:tcPr>
          <w:p w14:paraId="0D2B2844" w14:textId="77777777" w:rsidR="008F4122" w:rsidRPr="00BA6BF4" w:rsidRDefault="008F4122" w:rsidP="00573A00">
            <w:pPr>
              <w:autoSpaceDE w:val="0"/>
              <w:autoSpaceDN w:val="0"/>
              <w:adjustRightInd w:val="0"/>
              <w:rPr>
                <w:sz w:val="18"/>
                <w:szCs w:val="18"/>
              </w:rPr>
            </w:pPr>
            <w:r w:rsidRPr="00BA6BF4">
              <w:rPr>
                <w:rFonts w:hint="eastAsia"/>
                <w:sz w:val="18"/>
                <w:szCs w:val="18"/>
              </w:rPr>
              <w:t>2,250</w:t>
            </w:r>
          </w:p>
        </w:tc>
      </w:tr>
      <w:tr w:rsidR="008F4122" w:rsidRPr="00BA6BF4" w14:paraId="20F9F1A9" w14:textId="77777777" w:rsidTr="00573A00">
        <w:trPr>
          <w:trHeight w:val="284"/>
        </w:trPr>
        <w:tc>
          <w:tcPr>
            <w:tcW w:w="479" w:type="pct"/>
            <w:vAlign w:val="center"/>
          </w:tcPr>
          <w:p w14:paraId="6214847D" w14:textId="77777777" w:rsidR="008F4122" w:rsidRPr="00BA6BF4" w:rsidRDefault="008F4122" w:rsidP="00573A00">
            <w:pPr>
              <w:autoSpaceDE w:val="0"/>
              <w:autoSpaceDN w:val="0"/>
              <w:adjustRightInd w:val="0"/>
              <w:rPr>
                <w:sz w:val="18"/>
                <w:szCs w:val="18"/>
              </w:rPr>
            </w:pPr>
            <w:r w:rsidRPr="00BA6BF4">
              <w:rPr>
                <w:rFonts w:hint="eastAsia"/>
                <w:sz w:val="18"/>
                <w:szCs w:val="18"/>
              </w:rPr>
              <w:t>1991</w:t>
            </w:r>
          </w:p>
        </w:tc>
        <w:tc>
          <w:tcPr>
            <w:tcW w:w="778" w:type="pct"/>
            <w:vAlign w:val="center"/>
          </w:tcPr>
          <w:p w14:paraId="482B8A4C"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04" w:type="pct"/>
            <w:vAlign w:val="center"/>
          </w:tcPr>
          <w:p w14:paraId="49656C1C" w14:textId="77777777" w:rsidR="008F4122" w:rsidRPr="00BA6BF4" w:rsidRDefault="008F4122" w:rsidP="00573A00">
            <w:pPr>
              <w:autoSpaceDE w:val="0"/>
              <w:autoSpaceDN w:val="0"/>
              <w:adjustRightInd w:val="0"/>
              <w:rPr>
                <w:sz w:val="18"/>
                <w:szCs w:val="18"/>
              </w:rPr>
            </w:pPr>
            <w:r w:rsidRPr="00BA6BF4">
              <w:rPr>
                <w:rFonts w:hint="eastAsia"/>
                <w:sz w:val="18"/>
                <w:szCs w:val="18"/>
              </w:rPr>
              <w:t>278.88</w:t>
            </w:r>
          </w:p>
        </w:tc>
        <w:tc>
          <w:tcPr>
            <w:tcW w:w="778" w:type="pct"/>
            <w:vAlign w:val="center"/>
          </w:tcPr>
          <w:p w14:paraId="52F15A98"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79" w:type="pct"/>
            <w:vAlign w:val="center"/>
          </w:tcPr>
          <w:p w14:paraId="102D4CB1" w14:textId="77777777" w:rsidR="008F4122" w:rsidRPr="00BA6BF4" w:rsidRDefault="008F4122" w:rsidP="00573A00">
            <w:pPr>
              <w:autoSpaceDE w:val="0"/>
              <w:autoSpaceDN w:val="0"/>
              <w:adjustRightInd w:val="0"/>
              <w:rPr>
                <w:sz w:val="18"/>
                <w:szCs w:val="18"/>
              </w:rPr>
            </w:pPr>
            <w:r w:rsidRPr="00BA6BF4">
              <w:rPr>
                <w:rFonts w:hint="eastAsia"/>
                <w:sz w:val="18"/>
                <w:szCs w:val="18"/>
              </w:rPr>
              <w:t>150</w:t>
            </w:r>
          </w:p>
        </w:tc>
        <w:tc>
          <w:tcPr>
            <w:tcW w:w="778" w:type="pct"/>
            <w:vAlign w:val="center"/>
          </w:tcPr>
          <w:p w14:paraId="34E3E31D"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258CADF2"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bl>
    <w:p w14:paraId="2FB8A495" w14:textId="77777777" w:rsidR="008F4122" w:rsidRPr="00800D22" w:rsidRDefault="008F4122" w:rsidP="008F4122">
      <w:pPr>
        <w:autoSpaceDE w:val="0"/>
        <w:autoSpaceDN w:val="0"/>
        <w:adjustRightInd w:val="0"/>
        <w:spacing w:line="440" w:lineRule="exact"/>
        <w:ind w:firstLineChars="3600" w:firstLine="7560"/>
        <w:jc w:val="left"/>
        <w:rPr>
          <w:rFonts w:ascii="宋体" w:hAnsi="宋体"/>
          <w:szCs w:val="21"/>
        </w:rPr>
      </w:pPr>
      <w:r w:rsidRPr="00800D22">
        <w:rPr>
          <w:rFonts w:ascii="宋体" w:hAnsi="宋体" w:hint="eastAsia"/>
          <w:szCs w:val="21"/>
        </w:rPr>
        <w:t>（续表）</w:t>
      </w:r>
    </w:p>
    <w:tbl>
      <w:tblPr>
        <w:tblW w:w="5000" w:type="pct"/>
        <w:tblLook w:val="01E0" w:firstRow="1" w:lastRow="1" w:firstColumn="1" w:lastColumn="1" w:noHBand="0" w:noVBand="0"/>
      </w:tblPr>
      <w:tblGrid>
        <w:gridCol w:w="816"/>
        <w:gridCol w:w="1328"/>
        <w:gridCol w:w="1200"/>
        <w:gridCol w:w="1326"/>
        <w:gridCol w:w="1328"/>
        <w:gridCol w:w="1326"/>
        <w:gridCol w:w="1198"/>
      </w:tblGrid>
      <w:tr w:rsidR="008F4122" w:rsidRPr="00BA6BF4" w14:paraId="497AE697" w14:textId="77777777" w:rsidTr="00573A00">
        <w:trPr>
          <w:trHeight w:val="284"/>
        </w:trPr>
        <w:tc>
          <w:tcPr>
            <w:tcW w:w="479" w:type="pct"/>
            <w:tcBorders>
              <w:top w:val="single" w:sz="4" w:space="0" w:color="auto"/>
            </w:tcBorders>
            <w:vAlign w:val="center"/>
          </w:tcPr>
          <w:p w14:paraId="598EA6D8" w14:textId="77777777" w:rsidR="008F4122" w:rsidRPr="00BA6BF4" w:rsidRDefault="008F4122" w:rsidP="00573A00">
            <w:pPr>
              <w:autoSpaceDE w:val="0"/>
              <w:autoSpaceDN w:val="0"/>
              <w:adjustRightInd w:val="0"/>
              <w:rPr>
                <w:szCs w:val="21"/>
              </w:rPr>
            </w:pPr>
          </w:p>
        </w:tc>
        <w:tc>
          <w:tcPr>
            <w:tcW w:w="1483" w:type="pct"/>
            <w:gridSpan w:val="2"/>
            <w:tcBorders>
              <w:top w:val="single" w:sz="4" w:space="0" w:color="auto"/>
            </w:tcBorders>
            <w:vAlign w:val="center"/>
          </w:tcPr>
          <w:p w14:paraId="50A38795" w14:textId="77777777" w:rsidR="008F4122" w:rsidRPr="00BA6BF4" w:rsidRDefault="008F4122" w:rsidP="00573A00">
            <w:pPr>
              <w:autoSpaceDE w:val="0"/>
              <w:autoSpaceDN w:val="0"/>
              <w:adjustRightInd w:val="0"/>
              <w:rPr>
                <w:szCs w:val="21"/>
              </w:rPr>
            </w:pPr>
            <w:r w:rsidRPr="00BA6BF4">
              <w:rPr>
                <w:rFonts w:hint="eastAsia"/>
                <w:szCs w:val="21"/>
              </w:rPr>
              <w:t>股票交割</w:t>
            </w:r>
          </w:p>
        </w:tc>
        <w:tc>
          <w:tcPr>
            <w:tcW w:w="1557" w:type="pct"/>
            <w:gridSpan w:val="2"/>
            <w:tcBorders>
              <w:top w:val="single" w:sz="4" w:space="0" w:color="auto"/>
            </w:tcBorders>
            <w:vAlign w:val="center"/>
          </w:tcPr>
          <w:p w14:paraId="2C95342D" w14:textId="77777777" w:rsidR="008F4122" w:rsidRPr="00BA6BF4" w:rsidRDefault="008F4122" w:rsidP="00573A00">
            <w:pPr>
              <w:autoSpaceDE w:val="0"/>
              <w:autoSpaceDN w:val="0"/>
              <w:adjustRightInd w:val="0"/>
              <w:rPr>
                <w:szCs w:val="21"/>
              </w:rPr>
            </w:pPr>
            <w:r w:rsidRPr="00BA6BF4">
              <w:rPr>
                <w:rFonts w:hint="eastAsia"/>
                <w:szCs w:val="21"/>
              </w:rPr>
              <w:t>混合交割</w:t>
            </w:r>
          </w:p>
        </w:tc>
        <w:tc>
          <w:tcPr>
            <w:tcW w:w="1481" w:type="pct"/>
            <w:gridSpan w:val="2"/>
            <w:tcBorders>
              <w:top w:val="single" w:sz="4" w:space="0" w:color="auto"/>
            </w:tcBorders>
            <w:vAlign w:val="center"/>
          </w:tcPr>
          <w:p w14:paraId="72FF5C0A" w14:textId="77777777" w:rsidR="008F4122" w:rsidRPr="00BA6BF4" w:rsidRDefault="008F4122" w:rsidP="00573A00">
            <w:pPr>
              <w:autoSpaceDE w:val="0"/>
              <w:autoSpaceDN w:val="0"/>
              <w:adjustRightInd w:val="0"/>
              <w:rPr>
                <w:szCs w:val="21"/>
              </w:rPr>
            </w:pPr>
            <w:r w:rsidRPr="00BA6BF4">
              <w:rPr>
                <w:rFonts w:hint="eastAsia"/>
                <w:szCs w:val="21"/>
              </w:rPr>
              <w:t>现金交割</w:t>
            </w:r>
          </w:p>
        </w:tc>
      </w:tr>
      <w:tr w:rsidR="008F4122" w:rsidRPr="00BA6BF4" w14:paraId="64647D15" w14:textId="77777777" w:rsidTr="00573A00">
        <w:trPr>
          <w:trHeight w:val="284"/>
        </w:trPr>
        <w:tc>
          <w:tcPr>
            <w:tcW w:w="479" w:type="pct"/>
            <w:tcBorders>
              <w:bottom w:val="single" w:sz="4" w:space="0" w:color="auto"/>
            </w:tcBorders>
            <w:vAlign w:val="center"/>
          </w:tcPr>
          <w:p w14:paraId="0AED0B8C" w14:textId="77777777" w:rsidR="008F4122" w:rsidRPr="00BA6BF4" w:rsidRDefault="008F4122" w:rsidP="00573A00">
            <w:pPr>
              <w:autoSpaceDE w:val="0"/>
              <w:autoSpaceDN w:val="0"/>
              <w:adjustRightInd w:val="0"/>
              <w:rPr>
                <w:szCs w:val="21"/>
              </w:rPr>
            </w:pPr>
            <w:r w:rsidRPr="00BA6BF4">
              <w:rPr>
                <w:rFonts w:hint="eastAsia"/>
                <w:szCs w:val="21"/>
              </w:rPr>
              <w:t>时间</w:t>
            </w:r>
          </w:p>
        </w:tc>
        <w:tc>
          <w:tcPr>
            <w:tcW w:w="779" w:type="pct"/>
            <w:tcBorders>
              <w:bottom w:val="single" w:sz="4" w:space="0" w:color="auto"/>
            </w:tcBorders>
            <w:vAlign w:val="center"/>
          </w:tcPr>
          <w:p w14:paraId="42E0A16C" w14:textId="77777777" w:rsidR="008F4122" w:rsidRPr="00BA6BF4" w:rsidRDefault="008F4122" w:rsidP="00573A00">
            <w:pPr>
              <w:autoSpaceDE w:val="0"/>
              <w:autoSpaceDN w:val="0"/>
              <w:adjustRightInd w:val="0"/>
              <w:rPr>
                <w:szCs w:val="21"/>
              </w:rPr>
            </w:pPr>
            <w:r w:rsidRPr="00BA6BF4">
              <w:rPr>
                <w:rFonts w:hint="eastAsia"/>
                <w:szCs w:val="21"/>
              </w:rPr>
              <w:t>发行期数</w:t>
            </w:r>
          </w:p>
        </w:tc>
        <w:tc>
          <w:tcPr>
            <w:tcW w:w="704" w:type="pct"/>
            <w:tcBorders>
              <w:bottom w:val="single" w:sz="4" w:space="0" w:color="auto"/>
            </w:tcBorders>
            <w:vAlign w:val="center"/>
          </w:tcPr>
          <w:p w14:paraId="3E9D827A" w14:textId="77777777" w:rsidR="008F4122" w:rsidRPr="00BA6BF4" w:rsidRDefault="008F4122" w:rsidP="00573A00">
            <w:pPr>
              <w:autoSpaceDE w:val="0"/>
              <w:autoSpaceDN w:val="0"/>
              <w:adjustRightInd w:val="0"/>
              <w:rPr>
                <w:szCs w:val="21"/>
              </w:rPr>
            </w:pPr>
            <w:r w:rsidRPr="00BA6BF4">
              <w:rPr>
                <w:rFonts w:hint="eastAsia"/>
                <w:szCs w:val="21"/>
              </w:rPr>
              <w:t>发行额</w:t>
            </w:r>
          </w:p>
        </w:tc>
        <w:tc>
          <w:tcPr>
            <w:tcW w:w="778" w:type="pct"/>
            <w:tcBorders>
              <w:bottom w:val="single" w:sz="4" w:space="0" w:color="auto"/>
            </w:tcBorders>
            <w:vAlign w:val="center"/>
          </w:tcPr>
          <w:p w14:paraId="3BA35EC8" w14:textId="77777777" w:rsidR="008F4122" w:rsidRPr="00BA6BF4" w:rsidRDefault="008F4122" w:rsidP="00573A00">
            <w:pPr>
              <w:autoSpaceDE w:val="0"/>
              <w:autoSpaceDN w:val="0"/>
              <w:adjustRightInd w:val="0"/>
              <w:rPr>
                <w:szCs w:val="21"/>
              </w:rPr>
            </w:pPr>
            <w:r w:rsidRPr="00BA6BF4">
              <w:rPr>
                <w:rFonts w:hint="eastAsia"/>
                <w:szCs w:val="21"/>
              </w:rPr>
              <w:t>发行期数</w:t>
            </w:r>
          </w:p>
        </w:tc>
        <w:tc>
          <w:tcPr>
            <w:tcW w:w="779" w:type="pct"/>
            <w:tcBorders>
              <w:bottom w:val="single" w:sz="4" w:space="0" w:color="auto"/>
            </w:tcBorders>
            <w:vAlign w:val="center"/>
          </w:tcPr>
          <w:p w14:paraId="0577FE0B" w14:textId="77777777" w:rsidR="008F4122" w:rsidRPr="00BA6BF4" w:rsidRDefault="008F4122" w:rsidP="00573A00">
            <w:pPr>
              <w:autoSpaceDE w:val="0"/>
              <w:autoSpaceDN w:val="0"/>
              <w:adjustRightInd w:val="0"/>
              <w:rPr>
                <w:szCs w:val="21"/>
              </w:rPr>
            </w:pPr>
            <w:r w:rsidRPr="00BA6BF4">
              <w:rPr>
                <w:rFonts w:hint="eastAsia"/>
                <w:szCs w:val="21"/>
              </w:rPr>
              <w:t>发行额</w:t>
            </w:r>
          </w:p>
        </w:tc>
        <w:tc>
          <w:tcPr>
            <w:tcW w:w="778" w:type="pct"/>
            <w:tcBorders>
              <w:bottom w:val="single" w:sz="4" w:space="0" w:color="auto"/>
            </w:tcBorders>
            <w:vAlign w:val="center"/>
          </w:tcPr>
          <w:p w14:paraId="6759A83D" w14:textId="77777777" w:rsidR="008F4122" w:rsidRPr="00BA6BF4" w:rsidRDefault="008F4122" w:rsidP="00573A00">
            <w:pPr>
              <w:autoSpaceDE w:val="0"/>
              <w:autoSpaceDN w:val="0"/>
              <w:adjustRightInd w:val="0"/>
              <w:rPr>
                <w:szCs w:val="21"/>
              </w:rPr>
            </w:pPr>
            <w:r w:rsidRPr="00BA6BF4">
              <w:rPr>
                <w:rFonts w:hint="eastAsia"/>
                <w:szCs w:val="21"/>
              </w:rPr>
              <w:t>发行期数</w:t>
            </w:r>
          </w:p>
        </w:tc>
        <w:tc>
          <w:tcPr>
            <w:tcW w:w="703" w:type="pct"/>
            <w:tcBorders>
              <w:bottom w:val="single" w:sz="4" w:space="0" w:color="auto"/>
            </w:tcBorders>
            <w:vAlign w:val="center"/>
          </w:tcPr>
          <w:p w14:paraId="7598077F" w14:textId="77777777" w:rsidR="008F4122" w:rsidRPr="00BA6BF4" w:rsidRDefault="008F4122" w:rsidP="00573A00">
            <w:pPr>
              <w:autoSpaceDE w:val="0"/>
              <w:autoSpaceDN w:val="0"/>
              <w:adjustRightInd w:val="0"/>
              <w:rPr>
                <w:szCs w:val="21"/>
              </w:rPr>
            </w:pPr>
            <w:r w:rsidRPr="00BA6BF4">
              <w:rPr>
                <w:rFonts w:hint="eastAsia"/>
                <w:szCs w:val="21"/>
              </w:rPr>
              <w:t>发行额</w:t>
            </w:r>
          </w:p>
        </w:tc>
      </w:tr>
      <w:tr w:rsidR="008F4122" w:rsidRPr="00BA6BF4" w14:paraId="1999BC40" w14:textId="77777777" w:rsidTr="00573A00">
        <w:trPr>
          <w:trHeight w:val="284"/>
        </w:trPr>
        <w:tc>
          <w:tcPr>
            <w:tcW w:w="479" w:type="pct"/>
            <w:vAlign w:val="center"/>
          </w:tcPr>
          <w:p w14:paraId="7E1F88D5" w14:textId="77777777" w:rsidR="008F4122" w:rsidRPr="00BA6BF4" w:rsidRDefault="008F4122" w:rsidP="00573A00">
            <w:pPr>
              <w:autoSpaceDE w:val="0"/>
              <w:autoSpaceDN w:val="0"/>
              <w:adjustRightInd w:val="0"/>
              <w:rPr>
                <w:sz w:val="18"/>
                <w:szCs w:val="18"/>
              </w:rPr>
            </w:pPr>
            <w:r w:rsidRPr="00BA6BF4">
              <w:rPr>
                <w:rFonts w:hint="eastAsia"/>
                <w:sz w:val="18"/>
                <w:szCs w:val="18"/>
              </w:rPr>
              <w:t>1992</w:t>
            </w:r>
          </w:p>
        </w:tc>
        <w:tc>
          <w:tcPr>
            <w:tcW w:w="778" w:type="pct"/>
            <w:vAlign w:val="center"/>
          </w:tcPr>
          <w:p w14:paraId="1AD15D66" w14:textId="77777777" w:rsidR="008F4122" w:rsidRPr="00BA6BF4" w:rsidRDefault="008F4122" w:rsidP="00573A00">
            <w:pPr>
              <w:autoSpaceDE w:val="0"/>
              <w:autoSpaceDN w:val="0"/>
              <w:adjustRightInd w:val="0"/>
              <w:rPr>
                <w:sz w:val="18"/>
                <w:szCs w:val="18"/>
              </w:rPr>
            </w:pPr>
            <w:r w:rsidRPr="00BA6BF4">
              <w:rPr>
                <w:rFonts w:hint="eastAsia"/>
                <w:sz w:val="18"/>
                <w:szCs w:val="18"/>
              </w:rPr>
              <w:t>4</w:t>
            </w:r>
          </w:p>
        </w:tc>
        <w:tc>
          <w:tcPr>
            <w:tcW w:w="704" w:type="pct"/>
            <w:vAlign w:val="center"/>
          </w:tcPr>
          <w:p w14:paraId="6CF8DC02" w14:textId="77777777" w:rsidR="008F4122" w:rsidRPr="00BA6BF4" w:rsidRDefault="008F4122" w:rsidP="00573A00">
            <w:pPr>
              <w:autoSpaceDE w:val="0"/>
              <w:autoSpaceDN w:val="0"/>
              <w:adjustRightInd w:val="0"/>
              <w:rPr>
                <w:sz w:val="18"/>
                <w:szCs w:val="18"/>
              </w:rPr>
            </w:pPr>
            <w:r w:rsidRPr="00BA6BF4">
              <w:rPr>
                <w:rFonts w:hint="eastAsia"/>
                <w:sz w:val="18"/>
                <w:szCs w:val="18"/>
              </w:rPr>
              <w:t>1,645.03</w:t>
            </w:r>
          </w:p>
        </w:tc>
        <w:tc>
          <w:tcPr>
            <w:tcW w:w="778" w:type="pct"/>
            <w:vAlign w:val="center"/>
          </w:tcPr>
          <w:p w14:paraId="221D1D48"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79" w:type="pct"/>
            <w:vAlign w:val="center"/>
          </w:tcPr>
          <w:p w14:paraId="51F92401" w14:textId="77777777" w:rsidR="008F4122" w:rsidRPr="00BA6BF4" w:rsidRDefault="008F4122" w:rsidP="00573A00">
            <w:pPr>
              <w:autoSpaceDE w:val="0"/>
              <w:autoSpaceDN w:val="0"/>
              <w:adjustRightInd w:val="0"/>
              <w:rPr>
                <w:sz w:val="18"/>
                <w:szCs w:val="18"/>
              </w:rPr>
            </w:pPr>
            <w:r w:rsidRPr="00BA6BF4">
              <w:rPr>
                <w:rFonts w:hint="eastAsia"/>
                <w:sz w:val="18"/>
                <w:szCs w:val="18"/>
              </w:rPr>
              <w:t>83.7</w:t>
            </w:r>
          </w:p>
        </w:tc>
        <w:tc>
          <w:tcPr>
            <w:tcW w:w="778" w:type="pct"/>
            <w:vAlign w:val="center"/>
          </w:tcPr>
          <w:p w14:paraId="5DE713D3"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04F08137"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1F773323" w14:textId="77777777" w:rsidTr="00573A00">
        <w:trPr>
          <w:trHeight w:val="284"/>
        </w:trPr>
        <w:tc>
          <w:tcPr>
            <w:tcW w:w="479" w:type="pct"/>
            <w:vAlign w:val="center"/>
          </w:tcPr>
          <w:p w14:paraId="39D7AF9A" w14:textId="77777777" w:rsidR="008F4122" w:rsidRPr="00BA6BF4" w:rsidRDefault="008F4122" w:rsidP="00573A00">
            <w:pPr>
              <w:autoSpaceDE w:val="0"/>
              <w:autoSpaceDN w:val="0"/>
              <w:adjustRightInd w:val="0"/>
              <w:rPr>
                <w:sz w:val="18"/>
                <w:szCs w:val="18"/>
              </w:rPr>
            </w:pPr>
            <w:r w:rsidRPr="00BA6BF4">
              <w:rPr>
                <w:rFonts w:hint="eastAsia"/>
                <w:sz w:val="18"/>
                <w:szCs w:val="18"/>
              </w:rPr>
              <w:t>1993</w:t>
            </w:r>
          </w:p>
        </w:tc>
        <w:tc>
          <w:tcPr>
            <w:tcW w:w="779" w:type="pct"/>
            <w:vAlign w:val="center"/>
          </w:tcPr>
          <w:p w14:paraId="2278844F"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04" w:type="pct"/>
            <w:vAlign w:val="center"/>
          </w:tcPr>
          <w:p w14:paraId="04788A9E" w14:textId="77777777" w:rsidR="008F4122" w:rsidRPr="00BA6BF4" w:rsidRDefault="008F4122" w:rsidP="00573A00">
            <w:pPr>
              <w:autoSpaceDE w:val="0"/>
              <w:autoSpaceDN w:val="0"/>
              <w:adjustRightInd w:val="0"/>
              <w:rPr>
                <w:sz w:val="18"/>
                <w:szCs w:val="18"/>
              </w:rPr>
            </w:pPr>
            <w:r w:rsidRPr="00BA6BF4">
              <w:rPr>
                <w:rFonts w:hint="eastAsia"/>
                <w:sz w:val="18"/>
                <w:szCs w:val="18"/>
              </w:rPr>
              <w:t>785</w:t>
            </w:r>
          </w:p>
        </w:tc>
        <w:tc>
          <w:tcPr>
            <w:tcW w:w="778" w:type="pct"/>
            <w:vAlign w:val="center"/>
          </w:tcPr>
          <w:p w14:paraId="1F6A808E" w14:textId="77777777" w:rsidR="008F4122" w:rsidRPr="00BA6BF4" w:rsidRDefault="008F4122" w:rsidP="00573A00">
            <w:pPr>
              <w:autoSpaceDE w:val="0"/>
              <w:autoSpaceDN w:val="0"/>
              <w:adjustRightInd w:val="0"/>
              <w:rPr>
                <w:sz w:val="18"/>
                <w:szCs w:val="18"/>
              </w:rPr>
            </w:pPr>
            <w:r w:rsidRPr="00BA6BF4">
              <w:rPr>
                <w:rFonts w:hint="eastAsia"/>
                <w:sz w:val="18"/>
                <w:szCs w:val="18"/>
              </w:rPr>
              <w:t>3</w:t>
            </w:r>
          </w:p>
        </w:tc>
        <w:tc>
          <w:tcPr>
            <w:tcW w:w="779" w:type="pct"/>
            <w:vAlign w:val="center"/>
          </w:tcPr>
          <w:p w14:paraId="53D2810E" w14:textId="77777777" w:rsidR="008F4122" w:rsidRPr="00BA6BF4" w:rsidRDefault="008F4122" w:rsidP="00573A00">
            <w:pPr>
              <w:autoSpaceDE w:val="0"/>
              <w:autoSpaceDN w:val="0"/>
              <w:adjustRightInd w:val="0"/>
              <w:rPr>
                <w:sz w:val="18"/>
                <w:szCs w:val="18"/>
              </w:rPr>
            </w:pPr>
            <w:r w:rsidRPr="00BA6BF4">
              <w:rPr>
                <w:rFonts w:hint="eastAsia"/>
                <w:sz w:val="18"/>
                <w:szCs w:val="18"/>
              </w:rPr>
              <w:t>1,359.20</w:t>
            </w:r>
          </w:p>
        </w:tc>
        <w:tc>
          <w:tcPr>
            <w:tcW w:w="778" w:type="pct"/>
            <w:vAlign w:val="center"/>
          </w:tcPr>
          <w:p w14:paraId="4DADDC23"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3" w:type="pct"/>
            <w:vAlign w:val="center"/>
          </w:tcPr>
          <w:p w14:paraId="21E313B1"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0AB53620" w14:textId="77777777" w:rsidTr="00573A00">
        <w:trPr>
          <w:trHeight w:val="284"/>
        </w:trPr>
        <w:tc>
          <w:tcPr>
            <w:tcW w:w="479" w:type="pct"/>
            <w:vAlign w:val="center"/>
          </w:tcPr>
          <w:p w14:paraId="3AF18448" w14:textId="77777777" w:rsidR="008F4122" w:rsidRPr="00BA6BF4" w:rsidRDefault="008F4122" w:rsidP="00573A00">
            <w:pPr>
              <w:autoSpaceDE w:val="0"/>
              <w:autoSpaceDN w:val="0"/>
              <w:adjustRightInd w:val="0"/>
              <w:rPr>
                <w:sz w:val="18"/>
                <w:szCs w:val="18"/>
              </w:rPr>
            </w:pPr>
            <w:r w:rsidRPr="00BA6BF4">
              <w:rPr>
                <w:rFonts w:hint="eastAsia"/>
                <w:sz w:val="18"/>
                <w:szCs w:val="18"/>
              </w:rPr>
              <w:t>1994</w:t>
            </w:r>
          </w:p>
        </w:tc>
        <w:tc>
          <w:tcPr>
            <w:tcW w:w="779" w:type="pct"/>
            <w:vAlign w:val="center"/>
          </w:tcPr>
          <w:p w14:paraId="5E6C8B55"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04" w:type="pct"/>
            <w:vAlign w:val="center"/>
          </w:tcPr>
          <w:p w14:paraId="052A192B" w14:textId="77777777" w:rsidR="008F4122" w:rsidRPr="00BA6BF4" w:rsidRDefault="008F4122" w:rsidP="00573A00">
            <w:pPr>
              <w:autoSpaceDE w:val="0"/>
              <w:autoSpaceDN w:val="0"/>
              <w:adjustRightInd w:val="0"/>
              <w:rPr>
                <w:sz w:val="18"/>
                <w:szCs w:val="18"/>
              </w:rPr>
            </w:pPr>
            <w:r w:rsidRPr="00BA6BF4">
              <w:rPr>
                <w:rFonts w:hint="eastAsia"/>
                <w:sz w:val="18"/>
                <w:szCs w:val="18"/>
              </w:rPr>
              <w:t>278.62</w:t>
            </w:r>
          </w:p>
        </w:tc>
        <w:tc>
          <w:tcPr>
            <w:tcW w:w="778" w:type="pct"/>
            <w:vAlign w:val="center"/>
          </w:tcPr>
          <w:p w14:paraId="3B143F91"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79" w:type="pct"/>
            <w:vAlign w:val="center"/>
          </w:tcPr>
          <w:p w14:paraId="12D77951" w14:textId="77777777" w:rsidR="008F4122" w:rsidRPr="00BA6BF4" w:rsidRDefault="008F4122" w:rsidP="00573A00">
            <w:pPr>
              <w:autoSpaceDE w:val="0"/>
              <w:autoSpaceDN w:val="0"/>
              <w:adjustRightInd w:val="0"/>
              <w:rPr>
                <w:sz w:val="18"/>
                <w:szCs w:val="18"/>
              </w:rPr>
            </w:pPr>
            <w:r w:rsidRPr="00BA6BF4">
              <w:rPr>
                <w:rFonts w:hint="eastAsia"/>
                <w:sz w:val="18"/>
                <w:szCs w:val="18"/>
              </w:rPr>
              <w:t>1,101.85</w:t>
            </w:r>
          </w:p>
        </w:tc>
        <w:tc>
          <w:tcPr>
            <w:tcW w:w="778" w:type="pct"/>
            <w:vAlign w:val="center"/>
          </w:tcPr>
          <w:p w14:paraId="6F55D185"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3" w:type="pct"/>
            <w:vAlign w:val="center"/>
          </w:tcPr>
          <w:p w14:paraId="4A53C4E4"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32745917" w14:textId="77777777" w:rsidTr="00573A00">
        <w:trPr>
          <w:trHeight w:val="284"/>
        </w:trPr>
        <w:tc>
          <w:tcPr>
            <w:tcW w:w="479" w:type="pct"/>
            <w:vAlign w:val="center"/>
          </w:tcPr>
          <w:p w14:paraId="64EA0E30" w14:textId="77777777" w:rsidR="008F4122" w:rsidRPr="00BA6BF4" w:rsidRDefault="008F4122" w:rsidP="00573A00">
            <w:pPr>
              <w:autoSpaceDE w:val="0"/>
              <w:autoSpaceDN w:val="0"/>
              <w:adjustRightInd w:val="0"/>
              <w:rPr>
                <w:sz w:val="18"/>
                <w:szCs w:val="18"/>
              </w:rPr>
            </w:pPr>
            <w:r w:rsidRPr="00BA6BF4">
              <w:rPr>
                <w:rFonts w:hint="eastAsia"/>
                <w:sz w:val="18"/>
                <w:szCs w:val="18"/>
              </w:rPr>
              <w:t>1995</w:t>
            </w:r>
          </w:p>
        </w:tc>
        <w:tc>
          <w:tcPr>
            <w:tcW w:w="779" w:type="pct"/>
            <w:vAlign w:val="center"/>
          </w:tcPr>
          <w:p w14:paraId="022F39DB"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04" w:type="pct"/>
            <w:vAlign w:val="center"/>
          </w:tcPr>
          <w:p w14:paraId="68CB480B" w14:textId="77777777" w:rsidR="008F4122" w:rsidRPr="00BA6BF4" w:rsidRDefault="008F4122" w:rsidP="00573A00">
            <w:pPr>
              <w:autoSpaceDE w:val="0"/>
              <w:autoSpaceDN w:val="0"/>
              <w:adjustRightInd w:val="0"/>
              <w:rPr>
                <w:sz w:val="18"/>
                <w:szCs w:val="18"/>
              </w:rPr>
            </w:pPr>
            <w:r w:rsidRPr="00BA6BF4">
              <w:rPr>
                <w:rFonts w:hint="eastAsia"/>
                <w:sz w:val="18"/>
                <w:szCs w:val="18"/>
              </w:rPr>
              <w:t>10</w:t>
            </w:r>
          </w:p>
        </w:tc>
        <w:tc>
          <w:tcPr>
            <w:tcW w:w="778" w:type="pct"/>
            <w:vAlign w:val="center"/>
          </w:tcPr>
          <w:p w14:paraId="5997C4C2" w14:textId="77777777" w:rsidR="008F4122" w:rsidRPr="00BA6BF4" w:rsidRDefault="008F4122" w:rsidP="00573A00">
            <w:pPr>
              <w:autoSpaceDE w:val="0"/>
              <w:autoSpaceDN w:val="0"/>
              <w:adjustRightInd w:val="0"/>
              <w:rPr>
                <w:sz w:val="18"/>
                <w:szCs w:val="18"/>
              </w:rPr>
            </w:pPr>
            <w:r w:rsidRPr="00BA6BF4">
              <w:rPr>
                <w:rFonts w:hint="eastAsia"/>
                <w:sz w:val="18"/>
                <w:szCs w:val="18"/>
              </w:rPr>
              <w:t>11</w:t>
            </w:r>
          </w:p>
        </w:tc>
        <w:tc>
          <w:tcPr>
            <w:tcW w:w="779" w:type="pct"/>
            <w:vAlign w:val="center"/>
          </w:tcPr>
          <w:p w14:paraId="2E643380" w14:textId="77777777" w:rsidR="008F4122" w:rsidRPr="00BA6BF4" w:rsidRDefault="008F4122" w:rsidP="00573A00">
            <w:pPr>
              <w:autoSpaceDE w:val="0"/>
              <w:autoSpaceDN w:val="0"/>
              <w:adjustRightInd w:val="0"/>
              <w:rPr>
                <w:sz w:val="18"/>
                <w:szCs w:val="18"/>
              </w:rPr>
            </w:pPr>
            <w:r w:rsidRPr="00BA6BF4">
              <w:rPr>
                <w:rFonts w:hint="eastAsia"/>
                <w:sz w:val="18"/>
                <w:szCs w:val="18"/>
              </w:rPr>
              <w:t>2,389.40</w:t>
            </w:r>
          </w:p>
        </w:tc>
        <w:tc>
          <w:tcPr>
            <w:tcW w:w="778" w:type="pct"/>
            <w:vAlign w:val="center"/>
          </w:tcPr>
          <w:p w14:paraId="551873FD"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3" w:type="pct"/>
            <w:vAlign w:val="center"/>
          </w:tcPr>
          <w:p w14:paraId="26269D7C"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7C3D8304" w14:textId="77777777" w:rsidTr="00573A00">
        <w:trPr>
          <w:trHeight w:val="284"/>
        </w:trPr>
        <w:tc>
          <w:tcPr>
            <w:tcW w:w="479" w:type="pct"/>
            <w:vAlign w:val="center"/>
          </w:tcPr>
          <w:p w14:paraId="348AA64A" w14:textId="77777777" w:rsidR="008F4122" w:rsidRPr="00BA6BF4" w:rsidRDefault="008F4122" w:rsidP="00573A00">
            <w:pPr>
              <w:autoSpaceDE w:val="0"/>
              <w:autoSpaceDN w:val="0"/>
              <w:adjustRightInd w:val="0"/>
              <w:rPr>
                <w:sz w:val="18"/>
                <w:szCs w:val="18"/>
              </w:rPr>
            </w:pPr>
            <w:r w:rsidRPr="00BA6BF4">
              <w:rPr>
                <w:rFonts w:hint="eastAsia"/>
                <w:sz w:val="18"/>
                <w:szCs w:val="18"/>
              </w:rPr>
              <w:t>1996</w:t>
            </w:r>
          </w:p>
        </w:tc>
        <w:tc>
          <w:tcPr>
            <w:tcW w:w="779" w:type="pct"/>
            <w:vAlign w:val="center"/>
          </w:tcPr>
          <w:p w14:paraId="461A440B"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04" w:type="pct"/>
            <w:vAlign w:val="center"/>
          </w:tcPr>
          <w:p w14:paraId="78B127B2" w14:textId="77777777" w:rsidR="008F4122" w:rsidRPr="00BA6BF4" w:rsidRDefault="008F4122" w:rsidP="00573A00">
            <w:pPr>
              <w:autoSpaceDE w:val="0"/>
              <w:autoSpaceDN w:val="0"/>
              <w:adjustRightInd w:val="0"/>
              <w:rPr>
                <w:sz w:val="18"/>
                <w:szCs w:val="18"/>
              </w:rPr>
            </w:pPr>
            <w:r w:rsidRPr="00BA6BF4">
              <w:rPr>
                <w:rFonts w:hint="eastAsia"/>
                <w:sz w:val="18"/>
                <w:szCs w:val="18"/>
              </w:rPr>
              <w:t>454.11</w:t>
            </w:r>
          </w:p>
        </w:tc>
        <w:tc>
          <w:tcPr>
            <w:tcW w:w="778" w:type="pct"/>
            <w:vAlign w:val="center"/>
          </w:tcPr>
          <w:p w14:paraId="3F4CBF5D" w14:textId="77777777" w:rsidR="008F4122" w:rsidRPr="00BA6BF4" w:rsidRDefault="008F4122" w:rsidP="00573A00">
            <w:pPr>
              <w:autoSpaceDE w:val="0"/>
              <w:autoSpaceDN w:val="0"/>
              <w:adjustRightInd w:val="0"/>
              <w:rPr>
                <w:sz w:val="18"/>
                <w:szCs w:val="18"/>
              </w:rPr>
            </w:pPr>
            <w:r w:rsidRPr="00BA6BF4">
              <w:rPr>
                <w:rFonts w:hint="eastAsia"/>
                <w:sz w:val="18"/>
                <w:szCs w:val="18"/>
              </w:rPr>
              <w:t>8</w:t>
            </w:r>
          </w:p>
        </w:tc>
        <w:tc>
          <w:tcPr>
            <w:tcW w:w="779" w:type="pct"/>
            <w:vAlign w:val="center"/>
          </w:tcPr>
          <w:p w14:paraId="7E563B9B" w14:textId="77777777" w:rsidR="008F4122" w:rsidRPr="00BA6BF4" w:rsidRDefault="008F4122" w:rsidP="00573A00">
            <w:pPr>
              <w:autoSpaceDE w:val="0"/>
              <w:autoSpaceDN w:val="0"/>
              <w:adjustRightInd w:val="0"/>
              <w:rPr>
                <w:sz w:val="18"/>
                <w:szCs w:val="18"/>
              </w:rPr>
            </w:pPr>
            <w:r w:rsidRPr="00BA6BF4">
              <w:rPr>
                <w:rFonts w:hint="eastAsia"/>
                <w:sz w:val="18"/>
                <w:szCs w:val="18"/>
              </w:rPr>
              <w:t>1,653.53</w:t>
            </w:r>
          </w:p>
        </w:tc>
        <w:tc>
          <w:tcPr>
            <w:tcW w:w="778" w:type="pct"/>
            <w:vAlign w:val="center"/>
          </w:tcPr>
          <w:p w14:paraId="4D39ADEE"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03" w:type="pct"/>
            <w:vAlign w:val="center"/>
          </w:tcPr>
          <w:p w14:paraId="38D270C8" w14:textId="77777777" w:rsidR="008F4122" w:rsidRPr="00BA6BF4" w:rsidRDefault="008F4122" w:rsidP="00573A00">
            <w:pPr>
              <w:autoSpaceDE w:val="0"/>
              <w:autoSpaceDN w:val="0"/>
              <w:adjustRightInd w:val="0"/>
              <w:rPr>
                <w:sz w:val="18"/>
                <w:szCs w:val="18"/>
              </w:rPr>
            </w:pPr>
            <w:r w:rsidRPr="00BA6BF4">
              <w:rPr>
                <w:rFonts w:hint="eastAsia"/>
                <w:sz w:val="18"/>
                <w:szCs w:val="18"/>
              </w:rPr>
              <w:t>51.2</w:t>
            </w:r>
          </w:p>
        </w:tc>
      </w:tr>
      <w:tr w:rsidR="008F4122" w:rsidRPr="00BA6BF4" w14:paraId="5EED16FA" w14:textId="77777777" w:rsidTr="00573A00">
        <w:trPr>
          <w:trHeight w:val="284"/>
        </w:trPr>
        <w:tc>
          <w:tcPr>
            <w:tcW w:w="479" w:type="pct"/>
            <w:vAlign w:val="center"/>
          </w:tcPr>
          <w:p w14:paraId="5ED832E7" w14:textId="77777777" w:rsidR="008F4122" w:rsidRPr="00BA6BF4" w:rsidRDefault="008F4122" w:rsidP="00573A00">
            <w:pPr>
              <w:autoSpaceDE w:val="0"/>
              <w:autoSpaceDN w:val="0"/>
              <w:adjustRightInd w:val="0"/>
              <w:rPr>
                <w:sz w:val="18"/>
                <w:szCs w:val="18"/>
              </w:rPr>
            </w:pPr>
            <w:r w:rsidRPr="00BA6BF4">
              <w:rPr>
                <w:rFonts w:hint="eastAsia"/>
                <w:sz w:val="18"/>
                <w:szCs w:val="18"/>
              </w:rPr>
              <w:t>1997</w:t>
            </w:r>
          </w:p>
        </w:tc>
        <w:tc>
          <w:tcPr>
            <w:tcW w:w="779" w:type="pct"/>
            <w:vAlign w:val="center"/>
          </w:tcPr>
          <w:p w14:paraId="2725AAE6"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6B1A115E"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8" w:type="pct"/>
            <w:vAlign w:val="center"/>
          </w:tcPr>
          <w:p w14:paraId="62193EDA" w14:textId="77777777" w:rsidR="008F4122" w:rsidRPr="00BA6BF4" w:rsidRDefault="008F4122" w:rsidP="00573A00">
            <w:pPr>
              <w:autoSpaceDE w:val="0"/>
              <w:autoSpaceDN w:val="0"/>
              <w:adjustRightInd w:val="0"/>
              <w:rPr>
                <w:sz w:val="18"/>
                <w:szCs w:val="18"/>
              </w:rPr>
            </w:pPr>
            <w:r w:rsidRPr="00BA6BF4">
              <w:rPr>
                <w:rFonts w:hint="eastAsia"/>
                <w:sz w:val="18"/>
                <w:szCs w:val="18"/>
              </w:rPr>
              <w:t>5</w:t>
            </w:r>
          </w:p>
        </w:tc>
        <w:tc>
          <w:tcPr>
            <w:tcW w:w="779" w:type="pct"/>
            <w:vAlign w:val="center"/>
          </w:tcPr>
          <w:p w14:paraId="7D8D2D33" w14:textId="77777777" w:rsidR="008F4122" w:rsidRPr="00BA6BF4" w:rsidRDefault="008F4122" w:rsidP="00573A00">
            <w:pPr>
              <w:autoSpaceDE w:val="0"/>
              <w:autoSpaceDN w:val="0"/>
              <w:adjustRightInd w:val="0"/>
              <w:rPr>
                <w:sz w:val="18"/>
                <w:szCs w:val="18"/>
              </w:rPr>
            </w:pPr>
            <w:r w:rsidRPr="00BA6BF4">
              <w:rPr>
                <w:rFonts w:hint="eastAsia"/>
                <w:sz w:val="18"/>
                <w:szCs w:val="18"/>
              </w:rPr>
              <w:t>5,251.60</w:t>
            </w:r>
          </w:p>
        </w:tc>
        <w:tc>
          <w:tcPr>
            <w:tcW w:w="778" w:type="pct"/>
            <w:vAlign w:val="center"/>
          </w:tcPr>
          <w:p w14:paraId="2C0BEEF8"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3" w:type="pct"/>
            <w:vAlign w:val="center"/>
          </w:tcPr>
          <w:p w14:paraId="60DB7A3B"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4743CFA5" w14:textId="77777777" w:rsidTr="00573A00">
        <w:trPr>
          <w:trHeight w:val="284"/>
        </w:trPr>
        <w:tc>
          <w:tcPr>
            <w:tcW w:w="479" w:type="pct"/>
            <w:vAlign w:val="center"/>
          </w:tcPr>
          <w:p w14:paraId="48976417" w14:textId="77777777" w:rsidR="008F4122" w:rsidRPr="00BA6BF4" w:rsidRDefault="008F4122" w:rsidP="00573A00">
            <w:pPr>
              <w:autoSpaceDE w:val="0"/>
              <w:autoSpaceDN w:val="0"/>
              <w:adjustRightInd w:val="0"/>
              <w:rPr>
                <w:sz w:val="18"/>
                <w:szCs w:val="18"/>
              </w:rPr>
            </w:pPr>
            <w:r w:rsidRPr="00BA6BF4">
              <w:rPr>
                <w:rFonts w:hint="eastAsia"/>
                <w:sz w:val="18"/>
                <w:szCs w:val="18"/>
              </w:rPr>
              <w:t>1998</w:t>
            </w:r>
          </w:p>
        </w:tc>
        <w:tc>
          <w:tcPr>
            <w:tcW w:w="779" w:type="pct"/>
            <w:vAlign w:val="center"/>
          </w:tcPr>
          <w:p w14:paraId="72E79614"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3975614C"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8" w:type="pct"/>
            <w:vAlign w:val="center"/>
          </w:tcPr>
          <w:p w14:paraId="672266F7" w14:textId="77777777" w:rsidR="008F4122" w:rsidRPr="00BA6BF4" w:rsidRDefault="008F4122" w:rsidP="00573A00">
            <w:pPr>
              <w:autoSpaceDE w:val="0"/>
              <w:autoSpaceDN w:val="0"/>
              <w:adjustRightInd w:val="0"/>
              <w:rPr>
                <w:sz w:val="18"/>
                <w:szCs w:val="18"/>
              </w:rPr>
            </w:pPr>
            <w:r w:rsidRPr="00BA6BF4">
              <w:rPr>
                <w:rFonts w:hint="eastAsia"/>
                <w:sz w:val="18"/>
                <w:szCs w:val="18"/>
              </w:rPr>
              <w:t>4</w:t>
            </w:r>
          </w:p>
        </w:tc>
        <w:tc>
          <w:tcPr>
            <w:tcW w:w="779" w:type="pct"/>
            <w:vAlign w:val="center"/>
          </w:tcPr>
          <w:p w14:paraId="2DD50113" w14:textId="77777777" w:rsidR="008F4122" w:rsidRPr="00BA6BF4" w:rsidRDefault="008F4122" w:rsidP="00573A00">
            <w:pPr>
              <w:autoSpaceDE w:val="0"/>
              <w:autoSpaceDN w:val="0"/>
              <w:adjustRightInd w:val="0"/>
              <w:rPr>
                <w:sz w:val="18"/>
                <w:szCs w:val="18"/>
              </w:rPr>
            </w:pPr>
            <w:r w:rsidRPr="00BA6BF4">
              <w:rPr>
                <w:rFonts w:hint="eastAsia"/>
                <w:sz w:val="18"/>
                <w:szCs w:val="18"/>
              </w:rPr>
              <w:t>4,914.52</w:t>
            </w:r>
          </w:p>
        </w:tc>
        <w:tc>
          <w:tcPr>
            <w:tcW w:w="778" w:type="pct"/>
            <w:vAlign w:val="center"/>
          </w:tcPr>
          <w:p w14:paraId="5F970C98"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3" w:type="pct"/>
            <w:vAlign w:val="center"/>
          </w:tcPr>
          <w:p w14:paraId="40CB0321"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2671ADC3" w14:textId="77777777" w:rsidTr="00573A00">
        <w:trPr>
          <w:trHeight w:val="284"/>
        </w:trPr>
        <w:tc>
          <w:tcPr>
            <w:tcW w:w="479" w:type="pct"/>
            <w:vAlign w:val="center"/>
          </w:tcPr>
          <w:p w14:paraId="0F81D1CC" w14:textId="77777777" w:rsidR="008F4122" w:rsidRPr="00BA6BF4" w:rsidRDefault="008F4122" w:rsidP="00573A00">
            <w:pPr>
              <w:autoSpaceDE w:val="0"/>
              <w:autoSpaceDN w:val="0"/>
              <w:adjustRightInd w:val="0"/>
              <w:rPr>
                <w:sz w:val="18"/>
                <w:szCs w:val="18"/>
              </w:rPr>
            </w:pPr>
            <w:r w:rsidRPr="00BA6BF4">
              <w:rPr>
                <w:rFonts w:hint="eastAsia"/>
                <w:sz w:val="18"/>
                <w:szCs w:val="18"/>
              </w:rPr>
              <w:t>1999</w:t>
            </w:r>
          </w:p>
        </w:tc>
        <w:tc>
          <w:tcPr>
            <w:tcW w:w="779" w:type="pct"/>
            <w:vAlign w:val="center"/>
          </w:tcPr>
          <w:p w14:paraId="025A4552"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04" w:type="pct"/>
            <w:vAlign w:val="center"/>
          </w:tcPr>
          <w:p w14:paraId="5C2215D5" w14:textId="77777777" w:rsidR="008F4122" w:rsidRPr="00BA6BF4" w:rsidRDefault="008F4122" w:rsidP="00573A00">
            <w:pPr>
              <w:autoSpaceDE w:val="0"/>
              <w:autoSpaceDN w:val="0"/>
              <w:adjustRightInd w:val="0"/>
              <w:rPr>
                <w:sz w:val="18"/>
                <w:szCs w:val="18"/>
              </w:rPr>
            </w:pPr>
            <w:r w:rsidRPr="00BA6BF4">
              <w:rPr>
                <w:rFonts w:hint="eastAsia"/>
                <w:sz w:val="18"/>
                <w:szCs w:val="18"/>
              </w:rPr>
              <w:t>224.4</w:t>
            </w:r>
          </w:p>
        </w:tc>
        <w:tc>
          <w:tcPr>
            <w:tcW w:w="778" w:type="pct"/>
            <w:vAlign w:val="center"/>
          </w:tcPr>
          <w:p w14:paraId="22AC6B51" w14:textId="77777777" w:rsidR="008F4122" w:rsidRPr="00BA6BF4" w:rsidRDefault="008F4122" w:rsidP="00573A00">
            <w:pPr>
              <w:autoSpaceDE w:val="0"/>
              <w:autoSpaceDN w:val="0"/>
              <w:adjustRightInd w:val="0"/>
              <w:rPr>
                <w:sz w:val="18"/>
                <w:szCs w:val="18"/>
              </w:rPr>
            </w:pPr>
            <w:r w:rsidRPr="00BA6BF4">
              <w:rPr>
                <w:rFonts w:hint="eastAsia"/>
                <w:sz w:val="18"/>
                <w:szCs w:val="18"/>
              </w:rPr>
              <w:t>4</w:t>
            </w:r>
          </w:p>
        </w:tc>
        <w:tc>
          <w:tcPr>
            <w:tcW w:w="779" w:type="pct"/>
            <w:vAlign w:val="center"/>
          </w:tcPr>
          <w:p w14:paraId="4B9DD239" w14:textId="77777777" w:rsidR="008F4122" w:rsidRPr="00BA6BF4" w:rsidRDefault="008F4122" w:rsidP="00573A00">
            <w:pPr>
              <w:autoSpaceDE w:val="0"/>
              <w:autoSpaceDN w:val="0"/>
              <w:adjustRightInd w:val="0"/>
              <w:rPr>
                <w:sz w:val="18"/>
                <w:szCs w:val="18"/>
              </w:rPr>
            </w:pPr>
            <w:r w:rsidRPr="00BA6BF4">
              <w:rPr>
                <w:rFonts w:hint="eastAsia"/>
                <w:sz w:val="18"/>
                <w:szCs w:val="18"/>
              </w:rPr>
              <w:t>2,335.50</w:t>
            </w:r>
          </w:p>
        </w:tc>
        <w:tc>
          <w:tcPr>
            <w:tcW w:w="778" w:type="pct"/>
            <w:vAlign w:val="center"/>
          </w:tcPr>
          <w:p w14:paraId="0096BFB5" w14:textId="77777777" w:rsidR="008F4122" w:rsidRPr="00BA6BF4" w:rsidRDefault="008F4122" w:rsidP="00573A00">
            <w:pPr>
              <w:autoSpaceDE w:val="0"/>
              <w:autoSpaceDN w:val="0"/>
              <w:adjustRightInd w:val="0"/>
              <w:rPr>
                <w:sz w:val="18"/>
                <w:szCs w:val="18"/>
              </w:rPr>
            </w:pPr>
            <w:r w:rsidRPr="00BA6BF4">
              <w:rPr>
                <w:rFonts w:hint="eastAsia"/>
                <w:sz w:val="18"/>
                <w:szCs w:val="18"/>
              </w:rPr>
              <w:t>6</w:t>
            </w:r>
          </w:p>
        </w:tc>
        <w:tc>
          <w:tcPr>
            <w:tcW w:w="703" w:type="pct"/>
            <w:vAlign w:val="center"/>
          </w:tcPr>
          <w:p w14:paraId="324544EB" w14:textId="77777777" w:rsidR="008F4122" w:rsidRPr="00BA6BF4" w:rsidRDefault="008F4122" w:rsidP="00573A00">
            <w:pPr>
              <w:autoSpaceDE w:val="0"/>
              <w:autoSpaceDN w:val="0"/>
              <w:adjustRightInd w:val="0"/>
              <w:rPr>
                <w:sz w:val="18"/>
                <w:szCs w:val="18"/>
              </w:rPr>
            </w:pPr>
            <w:r w:rsidRPr="00BA6BF4">
              <w:rPr>
                <w:rFonts w:hint="eastAsia"/>
                <w:sz w:val="18"/>
                <w:szCs w:val="18"/>
              </w:rPr>
              <w:t>5,651.94</w:t>
            </w:r>
          </w:p>
        </w:tc>
      </w:tr>
      <w:tr w:rsidR="008F4122" w:rsidRPr="00BA6BF4" w14:paraId="504D758E" w14:textId="77777777" w:rsidTr="00573A00">
        <w:trPr>
          <w:trHeight w:val="284"/>
        </w:trPr>
        <w:tc>
          <w:tcPr>
            <w:tcW w:w="479" w:type="pct"/>
            <w:vAlign w:val="center"/>
          </w:tcPr>
          <w:p w14:paraId="7223CE44" w14:textId="77777777" w:rsidR="008F4122" w:rsidRPr="00BA6BF4" w:rsidRDefault="008F4122" w:rsidP="00573A00">
            <w:pPr>
              <w:autoSpaceDE w:val="0"/>
              <w:autoSpaceDN w:val="0"/>
              <w:adjustRightInd w:val="0"/>
              <w:rPr>
                <w:sz w:val="18"/>
                <w:szCs w:val="18"/>
              </w:rPr>
            </w:pPr>
            <w:r w:rsidRPr="00BA6BF4">
              <w:rPr>
                <w:rFonts w:hint="eastAsia"/>
                <w:sz w:val="18"/>
                <w:szCs w:val="18"/>
              </w:rPr>
              <w:t>2000</w:t>
            </w:r>
          </w:p>
        </w:tc>
        <w:tc>
          <w:tcPr>
            <w:tcW w:w="779" w:type="pct"/>
            <w:vAlign w:val="center"/>
          </w:tcPr>
          <w:p w14:paraId="62AD06A4"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4" w:type="pct"/>
            <w:vAlign w:val="center"/>
          </w:tcPr>
          <w:p w14:paraId="22E4B472"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78" w:type="pct"/>
            <w:vAlign w:val="center"/>
          </w:tcPr>
          <w:p w14:paraId="3AEB3E59" w14:textId="77777777" w:rsidR="008F4122" w:rsidRPr="00BA6BF4" w:rsidRDefault="008F4122" w:rsidP="00573A00">
            <w:pPr>
              <w:autoSpaceDE w:val="0"/>
              <w:autoSpaceDN w:val="0"/>
              <w:adjustRightInd w:val="0"/>
              <w:rPr>
                <w:sz w:val="18"/>
                <w:szCs w:val="18"/>
              </w:rPr>
            </w:pPr>
            <w:r w:rsidRPr="00BA6BF4">
              <w:rPr>
                <w:rFonts w:hint="eastAsia"/>
                <w:sz w:val="18"/>
                <w:szCs w:val="18"/>
              </w:rPr>
              <w:t>3</w:t>
            </w:r>
          </w:p>
        </w:tc>
        <w:tc>
          <w:tcPr>
            <w:tcW w:w="779" w:type="pct"/>
            <w:vAlign w:val="center"/>
          </w:tcPr>
          <w:p w14:paraId="6DC3BA5D" w14:textId="77777777" w:rsidR="008F4122" w:rsidRPr="00BA6BF4" w:rsidRDefault="008F4122" w:rsidP="00573A00">
            <w:pPr>
              <w:autoSpaceDE w:val="0"/>
              <w:autoSpaceDN w:val="0"/>
              <w:adjustRightInd w:val="0"/>
              <w:rPr>
                <w:sz w:val="18"/>
                <w:szCs w:val="18"/>
              </w:rPr>
            </w:pPr>
            <w:r w:rsidRPr="00BA6BF4">
              <w:rPr>
                <w:rFonts w:hint="eastAsia"/>
                <w:sz w:val="18"/>
                <w:szCs w:val="18"/>
              </w:rPr>
              <w:t>2,728.60</w:t>
            </w:r>
          </w:p>
        </w:tc>
        <w:tc>
          <w:tcPr>
            <w:tcW w:w="778" w:type="pct"/>
            <w:vAlign w:val="center"/>
          </w:tcPr>
          <w:p w14:paraId="08D1806B"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c>
          <w:tcPr>
            <w:tcW w:w="703" w:type="pct"/>
            <w:vAlign w:val="center"/>
          </w:tcPr>
          <w:p w14:paraId="68383B72" w14:textId="77777777" w:rsidR="008F4122" w:rsidRPr="00BA6BF4" w:rsidRDefault="008F4122" w:rsidP="00573A00">
            <w:pPr>
              <w:autoSpaceDE w:val="0"/>
              <w:autoSpaceDN w:val="0"/>
              <w:adjustRightInd w:val="0"/>
              <w:rPr>
                <w:sz w:val="18"/>
                <w:szCs w:val="18"/>
              </w:rPr>
            </w:pPr>
            <w:r w:rsidRPr="00BA6BF4">
              <w:rPr>
                <w:rFonts w:hint="eastAsia"/>
                <w:sz w:val="18"/>
                <w:szCs w:val="18"/>
              </w:rPr>
              <w:t>0</w:t>
            </w:r>
          </w:p>
        </w:tc>
      </w:tr>
      <w:tr w:rsidR="008F4122" w:rsidRPr="00BA6BF4" w14:paraId="72AE0E6D" w14:textId="77777777" w:rsidTr="00573A00">
        <w:trPr>
          <w:trHeight w:val="284"/>
        </w:trPr>
        <w:tc>
          <w:tcPr>
            <w:tcW w:w="479" w:type="pct"/>
            <w:vAlign w:val="center"/>
          </w:tcPr>
          <w:p w14:paraId="46A3AD11" w14:textId="77777777" w:rsidR="008F4122" w:rsidRPr="00BA6BF4" w:rsidRDefault="008F4122" w:rsidP="00573A00">
            <w:pPr>
              <w:autoSpaceDE w:val="0"/>
              <w:autoSpaceDN w:val="0"/>
              <w:adjustRightInd w:val="0"/>
              <w:rPr>
                <w:sz w:val="18"/>
                <w:szCs w:val="18"/>
              </w:rPr>
            </w:pPr>
            <w:r w:rsidRPr="00BA6BF4">
              <w:rPr>
                <w:rFonts w:hint="eastAsia"/>
                <w:sz w:val="18"/>
                <w:szCs w:val="18"/>
              </w:rPr>
              <w:t>2001</w:t>
            </w:r>
          </w:p>
        </w:tc>
        <w:tc>
          <w:tcPr>
            <w:tcW w:w="779" w:type="pct"/>
            <w:vAlign w:val="center"/>
          </w:tcPr>
          <w:p w14:paraId="10332EE9"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04" w:type="pct"/>
            <w:vAlign w:val="center"/>
          </w:tcPr>
          <w:p w14:paraId="169B49EF" w14:textId="77777777" w:rsidR="008F4122" w:rsidRPr="00BA6BF4" w:rsidRDefault="008F4122" w:rsidP="00573A00">
            <w:pPr>
              <w:autoSpaceDE w:val="0"/>
              <w:autoSpaceDN w:val="0"/>
              <w:adjustRightInd w:val="0"/>
              <w:rPr>
                <w:sz w:val="18"/>
                <w:szCs w:val="18"/>
              </w:rPr>
            </w:pPr>
            <w:r w:rsidRPr="00BA6BF4">
              <w:rPr>
                <w:rFonts w:hint="eastAsia"/>
                <w:sz w:val="18"/>
                <w:szCs w:val="18"/>
              </w:rPr>
              <w:t>970.4</w:t>
            </w:r>
          </w:p>
        </w:tc>
        <w:tc>
          <w:tcPr>
            <w:tcW w:w="778" w:type="pct"/>
            <w:vAlign w:val="center"/>
          </w:tcPr>
          <w:p w14:paraId="5E700C85" w14:textId="77777777" w:rsidR="008F4122" w:rsidRPr="00BA6BF4" w:rsidRDefault="008F4122" w:rsidP="00573A00">
            <w:pPr>
              <w:autoSpaceDE w:val="0"/>
              <w:autoSpaceDN w:val="0"/>
              <w:adjustRightInd w:val="0"/>
              <w:rPr>
                <w:sz w:val="18"/>
                <w:szCs w:val="18"/>
              </w:rPr>
            </w:pPr>
            <w:r w:rsidRPr="00BA6BF4">
              <w:rPr>
                <w:rFonts w:hint="eastAsia"/>
                <w:sz w:val="18"/>
                <w:szCs w:val="18"/>
              </w:rPr>
              <w:t>2</w:t>
            </w:r>
          </w:p>
        </w:tc>
        <w:tc>
          <w:tcPr>
            <w:tcW w:w="779" w:type="pct"/>
            <w:vAlign w:val="center"/>
          </w:tcPr>
          <w:p w14:paraId="0B9D3B16" w14:textId="77777777" w:rsidR="008F4122" w:rsidRPr="00BA6BF4" w:rsidRDefault="008F4122" w:rsidP="00573A00">
            <w:pPr>
              <w:autoSpaceDE w:val="0"/>
              <w:autoSpaceDN w:val="0"/>
              <w:adjustRightInd w:val="0"/>
              <w:rPr>
                <w:sz w:val="18"/>
                <w:szCs w:val="18"/>
              </w:rPr>
            </w:pPr>
            <w:r w:rsidRPr="00BA6BF4">
              <w:rPr>
                <w:rFonts w:hint="eastAsia"/>
                <w:sz w:val="18"/>
                <w:szCs w:val="18"/>
              </w:rPr>
              <w:t>1,417.70</w:t>
            </w:r>
          </w:p>
        </w:tc>
        <w:tc>
          <w:tcPr>
            <w:tcW w:w="778" w:type="pct"/>
            <w:vAlign w:val="center"/>
          </w:tcPr>
          <w:p w14:paraId="29F07CA2"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03" w:type="pct"/>
            <w:vAlign w:val="center"/>
          </w:tcPr>
          <w:p w14:paraId="09EA0AD4" w14:textId="77777777" w:rsidR="008F4122" w:rsidRPr="00BA6BF4" w:rsidRDefault="008F4122" w:rsidP="00573A00">
            <w:pPr>
              <w:autoSpaceDE w:val="0"/>
              <w:autoSpaceDN w:val="0"/>
              <w:adjustRightInd w:val="0"/>
              <w:rPr>
                <w:sz w:val="18"/>
                <w:szCs w:val="18"/>
              </w:rPr>
            </w:pPr>
            <w:r w:rsidRPr="00BA6BF4">
              <w:rPr>
                <w:rFonts w:hint="eastAsia"/>
                <w:sz w:val="18"/>
                <w:szCs w:val="18"/>
              </w:rPr>
              <w:t>402.5</w:t>
            </w:r>
          </w:p>
        </w:tc>
      </w:tr>
      <w:tr w:rsidR="008F4122" w:rsidRPr="00BA6BF4" w14:paraId="70E6CC26" w14:textId="77777777" w:rsidTr="00573A00">
        <w:trPr>
          <w:trHeight w:val="284"/>
        </w:trPr>
        <w:tc>
          <w:tcPr>
            <w:tcW w:w="479" w:type="pct"/>
            <w:tcBorders>
              <w:bottom w:val="single" w:sz="4" w:space="0" w:color="auto"/>
            </w:tcBorders>
            <w:vAlign w:val="center"/>
          </w:tcPr>
          <w:p w14:paraId="1A6C5A45" w14:textId="77777777" w:rsidR="008F4122" w:rsidRPr="00BA6BF4" w:rsidRDefault="008F4122" w:rsidP="00573A00">
            <w:pPr>
              <w:autoSpaceDE w:val="0"/>
              <w:autoSpaceDN w:val="0"/>
              <w:adjustRightInd w:val="0"/>
              <w:rPr>
                <w:sz w:val="18"/>
                <w:szCs w:val="18"/>
              </w:rPr>
            </w:pPr>
            <w:r w:rsidRPr="00BA6BF4">
              <w:rPr>
                <w:rFonts w:hint="eastAsia"/>
                <w:sz w:val="18"/>
                <w:szCs w:val="18"/>
              </w:rPr>
              <w:t>合计</w:t>
            </w:r>
          </w:p>
        </w:tc>
        <w:tc>
          <w:tcPr>
            <w:tcW w:w="779" w:type="pct"/>
            <w:tcBorders>
              <w:bottom w:val="single" w:sz="4" w:space="0" w:color="auto"/>
            </w:tcBorders>
            <w:vAlign w:val="center"/>
          </w:tcPr>
          <w:p w14:paraId="49CFC77B" w14:textId="77777777" w:rsidR="008F4122" w:rsidRPr="00BA6BF4" w:rsidRDefault="008F4122" w:rsidP="00573A00">
            <w:pPr>
              <w:autoSpaceDE w:val="0"/>
              <w:autoSpaceDN w:val="0"/>
              <w:adjustRightInd w:val="0"/>
              <w:rPr>
                <w:sz w:val="18"/>
                <w:szCs w:val="18"/>
              </w:rPr>
            </w:pPr>
            <w:r w:rsidRPr="00BA6BF4">
              <w:rPr>
                <w:rFonts w:hint="eastAsia"/>
                <w:sz w:val="18"/>
                <w:szCs w:val="18"/>
              </w:rPr>
              <w:t>42</w:t>
            </w:r>
          </w:p>
        </w:tc>
        <w:tc>
          <w:tcPr>
            <w:tcW w:w="704" w:type="pct"/>
            <w:tcBorders>
              <w:bottom w:val="single" w:sz="4" w:space="0" w:color="auto"/>
            </w:tcBorders>
            <w:vAlign w:val="center"/>
          </w:tcPr>
          <w:p w14:paraId="43249F49" w14:textId="77777777" w:rsidR="008F4122" w:rsidRPr="00BA6BF4" w:rsidRDefault="008F4122" w:rsidP="00573A00">
            <w:pPr>
              <w:autoSpaceDE w:val="0"/>
              <w:autoSpaceDN w:val="0"/>
              <w:adjustRightInd w:val="0"/>
              <w:rPr>
                <w:sz w:val="18"/>
                <w:szCs w:val="18"/>
              </w:rPr>
            </w:pPr>
            <w:r w:rsidRPr="00BA6BF4">
              <w:rPr>
                <w:rFonts w:hint="eastAsia"/>
                <w:sz w:val="18"/>
                <w:szCs w:val="18"/>
              </w:rPr>
              <w:t>9,184.54</w:t>
            </w:r>
          </w:p>
        </w:tc>
        <w:tc>
          <w:tcPr>
            <w:tcW w:w="778" w:type="pct"/>
            <w:tcBorders>
              <w:bottom w:val="single" w:sz="4" w:space="0" w:color="auto"/>
            </w:tcBorders>
            <w:vAlign w:val="center"/>
          </w:tcPr>
          <w:p w14:paraId="6EFF990B" w14:textId="77777777" w:rsidR="008F4122" w:rsidRPr="00BA6BF4" w:rsidRDefault="008F4122" w:rsidP="00573A00">
            <w:pPr>
              <w:autoSpaceDE w:val="0"/>
              <w:autoSpaceDN w:val="0"/>
              <w:adjustRightInd w:val="0"/>
              <w:rPr>
                <w:sz w:val="18"/>
                <w:szCs w:val="18"/>
              </w:rPr>
            </w:pPr>
            <w:r w:rsidRPr="00BA6BF4">
              <w:rPr>
                <w:rFonts w:hint="eastAsia"/>
                <w:sz w:val="18"/>
                <w:szCs w:val="18"/>
              </w:rPr>
              <w:t>53</w:t>
            </w:r>
          </w:p>
        </w:tc>
        <w:tc>
          <w:tcPr>
            <w:tcW w:w="779" w:type="pct"/>
            <w:tcBorders>
              <w:bottom w:val="single" w:sz="4" w:space="0" w:color="auto"/>
            </w:tcBorders>
            <w:vAlign w:val="center"/>
          </w:tcPr>
          <w:p w14:paraId="5E9F3FEB" w14:textId="77777777" w:rsidR="008F4122" w:rsidRPr="00BA6BF4" w:rsidRDefault="008F4122" w:rsidP="00573A00">
            <w:pPr>
              <w:autoSpaceDE w:val="0"/>
              <w:autoSpaceDN w:val="0"/>
              <w:adjustRightInd w:val="0"/>
              <w:rPr>
                <w:sz w:val="18"/>
                <w:szCs w:val="18"/>
              </w:rPr>
            </w:pPr>
            <w:r w:rsidRPr="00BA6BF4">
              <w:rPr>
                <w:rFonts w:hint="eastAsia"/>
                <w:sz w:val="18"/>
                <w:szCs w:val="18"/>
              </w:rPr>
              <w:t>25,627.19</w:t>
            </w:r>
          </w:p>
        </w:tc>
        <w:tc>
          <w:tcPr>
            <w:tcW w:w="778" w:type="pct"/>
            <w:tcBorders>
              <w:bottom w:val="single" w:sz="4" w:space="0" w:color="auto"/>
            </w:tcBorders>
            <w:vAlign w:val="center"/>
          </w:tcPr>
          <w:p w14:paraId="1E63FD34" w14:textId="77777777" w:rsidR="008F4122" w:rsidRPr="00BA6BF4" w:rsidRDefault="008F4122" w:rsidP="00573A00">
            <w:pPr>
              <w:autoSpaceDE w:val="0"/>
              <w:autoSpaceDN w:val="0"/>
              <w:adjustRightInd w:val="0"/>
              <w:rPr>
                <w:sz w:val="18"/>
                <w:szCs w:val="18"/>
              </w:rPr>
            </w:pPr>
            <w:r w:rsidRPr="00BA6BF4">
              <w:rPr>
                <w:rFonts w:hint="eastAsia"/>
                <w:sz w:val="18"/>
                <w:szCs w:val="18"/>
              </w:rPr>
              <w:t>9</w:t>
            </w:r>
          </w:p>
        </w:tc>
        <w:tc>
          <w:tcPr>
            <w:tcW w:w="703" w:type="pct"/>
            <w:tcBorders>
              <w:bottom w:val="single" w:sz="4" w:space="0" w:color="auto"/>
            </w:tcBorders>
            <w:vAlign w:val="center"/>
          </w:tcPr>
          <w:p w14:paraId="7CF57DC4" w14:textId="77777777" w:rsidR="008F4122" w:rsidRPr="00BA6BF4" w:rsidRDefault="008F4122" w:rsidP="00573A00">
            <w:pPr>
              <w:autoSpaceDE w:val="0"/>
              <w:autoSpaceDN w:val="0"/>
              <w:adjustRightInd w:val="0"/>
              <w:rPr>
                <w:sz w:val="18"/>
                <w:szCs w:val="18"/>
              </w:rPr>
            </w:pPr>
            <w:r w:rsidRPr="00BA6BF4">
              <w:rPr>
                <w:rFonts w:hint="eastAsia"/>
                <w:sz w:val="18"/>
                <w:szCs w:val="18"/>
              </w:rPr>
              <w:t>8,355.64</w:t>
            </w:r>
          </w:p>
        </w:tc>
      </w:tr>
    </w:tbl>
    <w:p w14:paraId="6132C90F" w14:textId="77777777" w:rsidR="008F4122" w:rsidRPr="00800D22" w:rsidRDefault="008F4122" w:rsidP="008F4122">
      <w:pPr>
        <w:autoSpaceDE w:val="0"/>
        <w:autoSpaceDN w:val="0"/>
        <w:adjustRightInd w:val="0"/>
        <w:spacing w:beforeLines="100" w:before="312" w:line="430" w:lineRule="exact"/>
        <w:ind w:firstLineChars="200" w:firstLine="420"/>
        <w:jc w:val="left"/>
        <w:rPr>
          <w:rFonts w:ascii="宋体" w:hAnsi="宋体"/>
          <w:szCs w:val="21"/>
        </w:rPr>
      </w:pPr>
      <w:r w:rsidRPr="00800D22">
        <w:rPr>
          <w:rFonts w:ascii="宋体" w:hAnsi="宋体" w:hint="eastAsia"/>
          <w:szCs w:val="21"/>
        </w:rPr>
        <w:t>亚洲作为新兴的资本市场，是金融创新工具运用的又一重要领域。在我国的香港和台湾地区，可交换债券的运用已相当普遍，市场规模也有逐年扩大之势。历史上曾有台湾远东纺织公司</w:t>
      </w:r>
      <w:r w:rsidRPr="00800D22">
        <w:rPr>
          <w:szCs w:val="21"/>
        </w:rPr>
        <w:t>1996</w:t>
      </w:r>
      <w:r w:rsidRPr="00800D22">
        <w:rPr>
          <w:rFonts w:ascii="宋体" w:hAnsi="宋体" w:hint="eastAsia"/>
          <w:szCs w:val="21"/>
        </w:rPr>
        <w:t>年发行的可交换债券，债权人在期满时可以选择将债券转换为远东百货或裕民航运公司的股票；上实集团</w:t>
      </w:r>
      <w:r w:rsidRPr="00800D22">
        <w:rPr>
          <w:szCs w:val="21"/>
        </w:rPr>
        <w:t>1997</w:t>
      </w:r>
      <w:r w:rsidRPr="00800D22">
        <w:rPr>
          <w:rFonts w:ascii="宋体" w:hAnsi="宋体" w:hint="eastAsia"/>
          <w:szCs w:val="21"/>
        </w:rPr>
        <w:t>年与</w:t>
      </w:r>
      <w:r w:rsidRPr="00800D22">
        <w:rPr>
          <w:szCs w:val="21"/>
        </w:rPr>
        <w:t>1998</w:t>
      </w:r>
      <w:r w:rsidRPr="00800D22">
        <w:rPr>
          <w:rFonts w:ascii="宋体" w:hAnsi="宋体" w:hint="eastAsia"/>
          <w:szCs w:val="21"/>
        </w:rPr>
        <w:t>年连续两年发行以上海实业公司股票为换股对象的可交换债券；中远集团</w:t>
      </w:r>
      <w:r w:rsidRPr="00800D22">
        <w:rPr>
          <w:szCs w:val="21"/>
        </w:rPr>
        <w:t>1998</w:t>
      </w:r>
      <w:r w:rsidRPr="00800D22">
        <w:rPr>
          <w:rFonts w:ascii="宋体" w:hAnsi="宋体" w:hint="eastAsia"/>
          <w:szCs w:val="21"/>
        </w:rPr>
        <w:t>年发行以中远太平洋公司股票为换股对象的可交换债券；和记黄埔</w:t>
      </w:r>
      <w:r w:rsidRPr="00800D22">
        <w:rPr>
          <w:szCs w:val="21"/>
        </w:rPr>
        <w:t>2000</w:t>
      </w:r>
      <w:r w:rsidRPr="00800D22">
        <w:rPr>
          <w:rFonts w:ascii="宋体" w:hAnsi="宋体" w:hint="eastAsia"/>
          <w:szCs w:val="21"/>
        </w:rPr>
        <w:t>年发行可交换债券以减持</w:t>
      </w:r>
      <w:r w:rsidRPr="00800D22">
        <w:rPr>
          <w:szCs w:val="21"/>
        </w:rPr>
        <w:t>Vodafone</w:t>
      </w:r>
      <w:r w:rsidRPr="00800D22">
        <w:rPr>
          <w:rFonts w:ascii="宋体" w:hAnsi="宋体" w:hint="eastAsia"/>
          <w:szCs w:val="21"/>
        </w:rPr>
        <w:t>股票。近期的如</w:t>
      </w:r>
      <w:smartTag w:uri="urn:schemas-microsoft-com:office:smarttags" w:element="chsdate">
        <w:smartTagPr>
          <w:attr w:name="Year" w:val="2007"/>
          <w:attr w:name="Month" w:val="4"/>
          <w:attr w:name="Day" w:val="16"/>
          <w:attr w:name="IsLunarDate" w:val="False"/>
          <w:attr w:name="IsROCDate" w:val="False"/>
        </w:smartTagPr>
        <w:r w:rsidRPr="00800D22">
          <w:rPr>
            <w:szCs w:val="21"/>
          </w:rPr>
          <w:t>2007</w:t>
        </w:r>
        <w:r w:rsidRPr="00800D22">
          <w:rPr>
            <w:rFonts w:ascii="宋体" w:hAnsi="宋体" w:hint="eastAsia"/>
            <w:szCs w:val="21"/>
          </w:rPr>
          <w:t>年</w:t>
        </w:r>
        <w:r w:rsidRPr="00800D22">
          <w:rPr>
            <w:szCs w:val="21"/>
          </w:rPr>
          <w:t>4</w:t>
        </w:r>
        <w:r w:rsidRPr="00800D22">
          <w:rPr>
            <w:rFonts w:ascii="宋体" w:hAnsi="宋体"/>
            <w:szCs w:val="21"/>
          </w:rPr>
          <w:t>月</w:t>
        </w:r>
        <w:r w:rsidRPr="00800D22">
          <w:rPr>
            <w:szCs w:val="21"/>
          </w:rPr>
          <w:t>16</w:t>
        </w:r>
        <w:r w:rsidRPr="00800D22">
          <w:rPr>
            <w:rFonts w:ascii="宋体" w:hAnsi="宋体"/>
            <w:szCs w:val="21"/>
          </w:rPr>
          <w:t>日</w:t>
        </w:r>
      </w:smartTag>
      <w:r w:rsidRPr="00800D22">
        <w:rPr>
          <w:rFonts w:ascii="宋体" w:hAnsi="宋体"/>
          <w:szCs w:val="21"/>
        </w:rPr>
        <w:t>，中金公司作为中国海外集团（中建总公司的全资香港子公司，以下简称“中海外集团”）的</w:t>
      </w:r>
      <w:proofErr w:type="gramStart"/>
      <w:r w:rsidRPr="00800D22">
        <w:rPr>
          <w:rFonts w:ascii="宋体" w:hAnsi="宋体"/>
          <w:szCs w:val="21"/>
        </w:rPr>
        <w:t>联席主</w:t>
      </w:r>
      <w:proofErr w:type="gramEnd"/>
      <w:r w:rsidRPr="00800D22">
        <w:rPr>
          <w:rFonts w:ascii="宋体" w:hAnsi="宋体"/>
          <w:szCs w:val="21"/>
        </w:rPr>
        <w:t>承销商与联席簿记管理人，成功完成了</w:t>
      </w:r>
      <w:r w:rsidRPr="00800D22">
        <w:rPr>
          <w:szCs w:val="21"/>
        </w:rPr>
        <w:t>5</w:t>
      </w:r>
      <w:r w:rsidRPr="00800D22">
        <w:rPr>
          <w:rFonts w:ascii="宋体" w:hAnsi="宋体"/>
          <w:szCs w:val="21"/>
        </w:rPr>
        <w:t>亿美元可转股债券的发行。该交易取得了理想的定价，市场反映也不错。债券为</w:t>
      </w:r>
      <w:r w:rsidRPr="00800D22">
        <w:rPr>
          <w:szCs w:val="21"/>
        </w:rPr>
        <w:t>7</w:t>
      </w:r>
      <w:r w:rsidRPr="00800D22">
        <w:rPr>
          <w:rFonts w:ascii="宋体" w:hAnsi="宋体"/>
          <w:szCs w:val="21"/>
        </w:rPr>
        <w:t>年期，零票息，到期收益率为</w:t>
      </w:r>
      <w:r w:rsidRPr="00800D22">
        <w:rPr>
          <w:szCs w:val="21"/>
        </w:rPr>
        <w:t>3.8%</w:t>
      </w:r>
      <w:r w:rsidRPr="00800D22">
        <w:rPr>
          <w:rFonts w:ascii="宋体" w:hAnsi="宋体" w:hint="eastAsia"/>
          <w:szCs w:val="21"/>
        </w:rPr>
        <w:t>（</w:t>
      </w:r>
      <w:r w:rsidRPr="00800D22">
        <w:rPr>
          <w:rFonts w:ascii="宋体" w:hAnsi="宋体"/>
          <w:szCs w:val="21"/>
        </w:rPr>
        <w:t>处于利率询价区间的低端</w:t>
      </w:r>
      <w:r w:rsidRPr="00800D22">
        <w:rPr>
          <w:rFonts w:ascii="宋体" w:hAnsi="宋体" w:hint="eastAsia"/>
          <w:szCs w:val="21"/>
        </w:rPr>
        <w:t>）</w:t>
      </w:r>
      <w:r w:rsidRPr="00800D22">
        <w:rPr>
          <w:rFonts w:ascii="宋体" w:hAnsi="宋体"/>
          <w:szCs w:val="21"/>
        </w:rPr>
        <w:t>。可转股债券的换股对象为中海</w:t>
      </w:r>
      <w:r w:rsidRPr="00800D22">
        <w:rPr>
          <w:rFonts w:ascii="宋体" w:hAnsi="宋体" w:hint="eastAsia"/>
          <w:szCs w:val="21"/>
        </w:rPr>
        <w:t>外</w:t>
      </w:r>
      <w:r w:rsidRPr="00800D22">
        <w:rPr>
          <w:rFonts w:ascii="宋体" w:hAnsi="宋体"/>
          <w:szCs w:val="21"/>
        </w:rPr>
        <w:t>集团控股的中国海外发展股份公司</w:t>
      </w:r>
      <w:r w:rsidRPr="00800D22">
        <w:rPr>
          <w:rFonts w:ascii="宋体" w:hAnsi="宋体" w:hint="eastAsia"/>
          <w:szCs w:val="21"/>
        </w:rPr>
        <w:t>（</w:t>
      </w:r>
      <w:r w:rsidRPr="00800D22">
        <w:rPr>
          <w:szCs w:val="21"/>
        </w:rPr>
        <w:t>688.HK</w:t>
      </w:r>
      <w:r w:rsidRPr="00800D22">
        <w:rPr>
          <w:rFonts w:ascii="宋体" w:hAnsi="宋体"/>
          <w:szCs w:val="21"/>
        </w:rPr>
        <w:t>，“中海地产”</w:t>
      </w:r>
      <w:r w:rsidRPr="00800D22">
        <w:rPr>
          <w:rFonts w:ascii="宋体" w:hAnsi="宋体" w:hint="eastAsia"/>
          <w:szCs w:val="21"/>
        </w:rPr>
        <w:t>）</w:t>
      </w:r>
      <w:r w:rsidRPr="00800D22">
        <w:rPr>
          <w:rFonts w:ascii="宋体" w:hAnsi="宋体"/>
          <w:szCs w:val="21"/>
        </w:rPr>
        <w:t>的股票，最终确定的转股溢价高达</w:t>
      </w:r>
      <w:r w:rsidRPr="00800D22">
        <w:rPr>
          <w:szCs w:val="21"/>
        </w:rPr>
        <w:t>50%</w:t>
      </w:r>
      <w:r w:rsidRPr="00800D22">
        <w:rPr>
          <w:rFonts w:ascii="宋体" w:hAnsi="宋体" w:hint="eastAsia"/>
          <w:szCs w:val="21"/>
        </w:rPr>
        <w:t>（</w:t>
      </w:r>
      <w:r w:rsidRPr="00800D22">
        <w:rPr>
          <w:rFonts w:ascii="宋体" w:hAnsi="宋体"/>
          <w:szCs w:val="21"/>
        </w:rPr>
        <w:t>处于溢价率询价区间的高端</w:t>
      </w:r>
      <w:r w:rsidRPr="00800D22">
        <w:rPr>
          <w:rFonts w:ascii="宋体" w:hAnsi="宋体" w:hint="eastAsia"/>
          <w:szCs w:val="21"/>
        </w:rPr>
        <w:t>）</w:t>
      </w:r>
      <w:r w:rsidRPr="00800D22">
        <w:rPr>
          <w:rFonts w:ascii="宋体" w:hAnsi="宋体"/>
          <w:szCs w:val="21"/>
        </w:rPr>
        <w:t>。相比一般情况下</w:t>
      </w:r>
      <w:r w:rsidRPr="00800D22">
        <w:rPr>
          <w:szCs w:val="21"/>
        </w:rPr>
        <w:t>30%</w:t>
      </w:r>
      <w:r w:rsidRPr="00800D22">
        <w:rPr>
          <w:rFonts w:ascii="宋体" w:hAnsi="宋体"/>
          <w:szCs w:val="21"/>
        </w:rPr>
        <w:t>左右的转股溢价水平，此溢价率为近年来香港资本市场最高的定价。</w:t>
      </w:r>
      <w:r w:rsidRPr="00800D22">
        <w:rPr>
          <w:rFonts w:ascii="宋体" w:hAnsi="宋体" w:hint="eastAsia"/>
          <w:szCs w:val="21"/>
        </w:rPr>
        <w:t>台湾亚洲水泥于</w:t>
      </w:r>
      <w:smartTag w:uri="urn:schemas-microsoft-com:office:smarttags" w:element="chsdate">
        <w:smartTagPr>
          <w:attr w:name="Year" w:val="2007"/>
          <w:attr w:name="Month" w:val="12"/>
          <w:attr w:name="Day" w:val="17"/>
          <w:attr w:name="IsLunarDate" w:val="False"/>
          <w:attr w:name="IsROCDate" w:val="False"/>
        </w:smartTagPr>
        <w:r w:rsidRPr="00800D22">
          <w:rPr>
            <w:szCs w:val="21"/>
          </w:rPr>
          <w:t>2007</w:t>
        </w:r>
        <w:r w:rsidRPr="00800D22">
          <w:rPr>
            <w:rFonts w:ascii="宋体" w:hAnsi="宋体" w:hint="eastAsia"/>
            <w:szCs w:val="21"/>
          </w:rPr>
          <w:t>年</w:t>
        </w:r>
        <w:r w:rsidRPr="00800D22">
          <w:rPr>
            <w:szCs w:val="21"/>
          </w:rPr>
          <w:t>12</w:t>
        </w:r>
        <w:r w:rsidRPr="00800D22">
          <w:rPr>
            <w:rFonts w:ascii="宋体" w:hAnsi="宋体" w:hint="eastAsia"/>
            <w:szCs w:val="21"/>
          </w:rPr>
          <w:t>月</w:t>
        </w:r>
        <w:r w:rsidRPr="00800D22">
          <w:rPr>
            <w:szCs w:val="21"/>
          </w:rPr>
          <w:t>17</w:t>
        </w:r>
        <w:r w:rsidRPr="00800D22">
          <w:rPr>
            <w:rFonts w:ascii="宋体" w:hAnsi="宋体" w:hint="eastAsia"/>
            <w:szCs w:val="21"/>
          </w:rPr>
          <w:t>日</w:t>
        </w:r>
      </w:smartTag>
      <w:r w:rsidRPr="00800D22">
        <w:rPr>
          <w:rFonts w:ascii="宋体" w:hAnsi="宋体" w:hint="eastAsia"/>
          <w:szCs w:val="21"/>
        </w:rPr>
        <w:t>批准发行</w:t>
      </w:r>
      <w:r w:rsidRPr="00800D22">
        <w:rPr>
          <w:szCs w:val="21"/>
        </w:rPr>
        <w:t>2.5</w:t>
      </w:r>
      <w:r w:rsidRPr="00800D22">
        <w:rPr>
          <w:rFonts w:ascii="宋体" w:hAnsi="宋体" w:hint="eastAsia"/>
          <w:szCs w:val="21"/>
        </w:rPr>
        <w:t>亿美元的</w:t>
      </w:r>
      <w:r w:rsidRPr="00800D22">
        <w:rPr>
          <w:szCs w:val="21"/>
        </w:rPr>
        <w:t>5</w:t>
      </w:r>
      <w:r w:rsidRPr="00800D22">
        <w:rPr>
          <w:rFonts w:ascii="宋体" w:hAnsi="宋体" w:hint="eastAsia"/>
          <w:szCs w:val="21"/>
        </w:rPr>
        <w:t>年期无担保可交换债券，票面利率为零，债券发行所得资金将用于购买原材料及投资于台湾本地。上述债券在规定期间内将被兑换为远东纺织股份有限公司（</w:t>
      </w:r>
      <w:r w:rsidRPr="00800D22">
        <w:rPr>
          <w:szCs w:val="21"/>
        </w:rPr>
        <w:t>1402.TW</w:t>
      </w:r>
      <w:r w:rsidRPr="00800D22">
        <w:rPr>
          <w:rFonts w:ascii="宋体" w:hAnsi="宋体" w:hint="eastAsia"/>
          <w:szCs w:val="21"/>
        </w:rPr>
        <w:t>）或裕民航运股份有限公司（</w:t>
      </w:r>
      <w:r w:rsidRPr="00800D22">
        <w:rPr>
          <w:szCs w:val="21"/>
        </w:rPr>
        <w:t>2606.TW</w:t>
      </w:r>
      <w:r w:rsidRPr="00800D22">
        <w:rPr>
          <w:rFonts w:ascii="宋体" w:hAnsi="宋体" w:hint="eastAsia"/>
          <w:szCs w:val="21"/>
        </w:rPr>
        <w:t>）的现有股份。</w:t>
      </w:r>
    </w:p>
    <w:p w14:paraId="74583D02" w14:textId="3470F921" w:rsidR="008F4122" w:rsidRPr="00800D22" w:rsidRDefault="008F4122" w:rsidP="008F4122">
      <w:pPr>
        <w:pStyle w:val="ae"/>
        <w:spacing w:beforeLines="100" w:before="312"/>
        <w:jc w:val="center"/>
        <w:rPr>
          <w:rFonts w:ascii="Times New Roman" w:eastAsia="新宋体" w:hAnsi="新宋体" w:cs="Times New Roman"/>
          <w:sz w:val="21"/>
          <w:szCs w:val="21"/>
        </w:rPr>
      </w:pPr>
      <w:bookmarkStart w:id="2" w:name="_Toc256506934"/>
      <w:r w:rsidRPr="00800D22">
        <w:rPr>
          <w:rFonts w:ascii="Times New Roman" w:eastAsia="新宋体" w:hAnsi="新宋体" w:cs="Times New Roman" w:hint="eastAsia"/>
          <w:sz w:val="21"/>
          <w:szCs w:val="21"/>
        </w:rPr>
        <w:t>表</w:t>
      </w:r>
      <w:r w:rsidR="00B510E7">
        <w:rPr>
          <w:rFonts w:ascii="Times New Roman" w:eastAsia="新宋体" w:hAnsi="新宋体" w:cs="Times New Roman" w:hint="eastAsia"/>
          <w:sz w:val="21"/>
          <w:szCs w:val="21"/>
        </w:rPr>
        <w:t>3</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香港红筹股公司发行可交换债券情况</w:t>
      </w:r>
      <w:bookmarkEnd w:id="2"/>
    </w:p>
    <w:p w14:paraId="78295987" w14:textId="77777777" w:rsidR="008F4122" w:rsidRPr="00800D22" w:rsidRDefault="008F4122" w:rsidP="008F4122">
      <w:pPr>
        <w:jc w:val="center"/>
      </w:pPr>
      <w:r w:rsidRPr="00800D22">
        <w:rPr>
          <w:szCs w:val="21"/>
        </w:rPr>
        <w:t xml:space="preserve">Attached table </w:t>
      </w:r>
      <w:r w:rsidRPr="00800D22">
        <w:rPr>
          <w:rFonts w:hint="eastAsia"/>
          <w:szCs w:val="21"/>
        </w:rPr>
        <w:t xml:space="preserve">7  </w:t>
      </w:r>
      <w:r w:rsidRPr="00800D22">
        <w:rPr>
          <w:szCs w:val="21"/>
        </w:rPr>
        <w:t>Exchangeable bonds issued by Hong Kong red chip companies</w:t>
      </w:r>
    </w:p>
    <w:tbl>
      <w:tblPr>
        <w:tblW w:w="5000" w:type="pct"/>
        <w:tblLook w:val="01E0" w:firstRow="1" w:lastRow="1" w:firstColumn="1" w:lastColumn="1" w:noHBand="0" w:noVBand="0"/>
      </w:tblPr>
      <w:tblGrid>
        <w:gridCol w:w="1081"/>
        <w:gridCol w:w="1111"/>
        <w:gridCol w:w="1416"/>
        <w:gridCol w:w="1258"/>
        <w:gridCol w:w="1258"/>
        <w:gridCol w:w="1314"/>
        <w:gridCol w:w="1084"/>
      </w:tblGrid>
      <w:tr w:rsidR="008F4122" w:rsidRPr="00BA6BF4" w14:paraId="36EC29C1" w14:textId="77777777" w:rsidTr="00573A00">
        <w:tc>
          <w:tcPr>
            <w:tcW w:w="634" w:type="pct"/>
            <w:tcBorders>
              <w:top w:val="single" w:sz="4" w:space="0" w:color="auto"/>
              <w:bottom w:val="single" w:sz="4" w:space="0" w:color="auto"/>
            </w:tcBorders>
            <w:vAlign w:val="center"/>
          </w:tcPr>
          <w:p w14:paraId="655C8E25" w14:textId="77777777" w:rsidR="008F4122" w:rsidRPr="00BA6BF4" w:rsidRDefault="008F4122" w:rsidP="00573A00">
            <w:pPr>
              <w:autoSpaceDE w:val="0"/>
              <w:autoSpaceDN w:val="0"/>
              <w:adjustRightInd w:val="0"/>
              <w:rPr>
                <w:szCs w:val="21"/>
              </w:rPr>
            </w:pPr>
            <w:r w:rsidRPr="00BA6BF4">
              <w:rPr>
                <w:rFonts w:hint="eastAsia"/>
                <w:szCs w:val="21"/>
              </w:rPr>
              <w:t>发行主体</w:t>
            </w:r>
          </w:p>
        </w:tc>
        <w:tc>
          <w:tcPr>
            <w:tcW w:w="652" w:type="pct"/>
            <w:tcBorders>
              <w:top w:val="single" w:sz="4" w:space="0" w:color="auto"/>
              <w:bottom w:val="single" w:sz="4" w:space="0" w:color="auto"/>
            </w:tcBorders>
            <w:vAlign w:val="center"/>
          </w:tcPr>
          <w:p w14:paraId="2AC61642" w14:textId="77777777" w:rsidR="008F4122" w:rsidRPr="00BA6BF4" w:rsidRDefault="008F4122" w:rsidP="00573A00">
            <w:pPr>
              <w:autoSpaceDE w:val="0"/>
              <w:autoSpaceDN w:val="0"/>
              <w:adjustRightInd w:val="0"/>
              <w:rPr>
                <w:szCs w:val="21"/>
              </w:rPr>
            </w:pPr>
            <w:r w:rsidRPr="00BA6BF4">
              <w:rPr>
                <w:rFonts w:hint="eastAsia"/>
                <w:szCs w:val="21"/>
              </w:rPr>
              <w:t>发行日期</w:t>
            </w:r>
          </w:p>
        </w:tc>
        <w:tc>
          <w:tcPr>
            <w:tcW w:w="831" w:type="pct"/>
            <w:tcBorders>
              <w:top w:val="single" w:sz="4" w:space="0" w:color="auto"/>
              <w:bottom w:val="single" w:sz="4" w:space="0" w:color="auto"/>
            </w:tcBorders>
            <w:vAlign w:val="center"/>
          </w:tcPr>
          <w:p w14:paraId="0C509C46" w14:textId="77777777" w:rsidR="008F4122" w:rsidRPr="00BA6BF4" w:rsidRDefault="008F4122" w:rsidP="00573A00">
            <w:pPr>
              <w:autoSpaceDE w:val="0"/>
              <w:autoSpaceDN w:val="0"/>
              <w:adjustRightInd w:val="0"/>
              <w:rPr>
                <w:szCs w:val="21"/>
              </w:rPr>
            </w:pPr>
            <w:r w:rsidRPr="00BA6BF4">
              <w:rPr>
                <w:rFonts w:hint="eastAsia"/>
                <w:szCs w:val="21"/>
              </w:rPr>
              <w:t>换股对象</w:t>
            </w:r>
          </w:p>
        </w:tc>
        <w:tc>
          <w:tcPr>
            <w:tcW w:w="738" w:type="pct"/>
            <w:tcBorders>
              <w:top w:val="single" w:sz="4" w:space="0" w:color="auto"/>
              <w:bottom w:val="single" w:sz="4" w:space="0" w:color="auto"/>
            </w:tcBorders>
            <w:vAlign w:val="center"/>
          </w:tcPr>
          <w:p w14:paraId="0B87E90C" w14:textId="77777777" w:rsidR="008F4122" w:rsidRPr="00BA6BF4" w:rsidRDefault="008F4122" w:rsidP="00573A00">
            <w:pPr>
              <w:autoSpaceDE w:val="0"/>
              <w:autoSpaceDN w:val="0"/>
              <w:adjustRightInd w:val="0"/>
              <w:rPr>
                <w:szCs w:val="21"/>
              </w:rPr>
            </w:pPr>
            <w:r w:rsidRPr="00BA6BF4">
              <w:rPr>
                <w:rFonts w:hint="eastAsia"/>
                <w:szCs w:val="21"/>
              </w:rPr>
              <w:t>存续期限</w:t>
            </w:r>
          </w:p>
        </w:tc>
        <w:tc>
          <w:tcPr>
            <w:tcW w:w="738" w:type="pct"/>
            <w:tcBorders>
              <w:top w:val="single" w:sz="4" w:space="0" w:color="auto"/>
              <w:bottom w:val="single" w:sz="4" w:space="0" w:color="auto"/>
            </w:tcBorders>
            <w:vAlign w:val="center"/>
          </w:tcPr>
          <w:p w14:paraId="78042D00" w14:textId="77777777" w:rsidR="008F4122" w:rsidRPr="00BA6BF4" w:rsidRDefault="008F4122" w:rsidP="00573A00">
            <w:pPr>
              <w:autoSpaceDE w:val="0"/>
              <w:autoSpaceDN w:val="0"/>
              <w:adjustRightInd w:val="0"/>
              <w:rPr>
                <w:szCs w:val="21"/>
              </w:rPr>
            </w:pPr>
            <w:r w:rsidRPr="00BA6BF4">
              <w:rPr>
                <w:rFonts w:hint="eastAsia"/>
                <w:szCs w:val="21"/>
              </w:rPr>
              <w:t>票面利率</w:t>
            </w:r>
          </w:p>
        </w:tc>
        <w:tc>
          <w:tcPr>
            <w:tcW w:w="771" w:type="pct"/>
            <w:tcBorders>
              <w:top w:val="single" w:sz="4" w:space="0" w:color="auto"/>
              <w:bottom w:val="single" w:sz="4" w:space="0" w:color="auto"/>
            </w:tcBorders>
            <w:vAlign w:val="center"/>
          </w:tcPr>
          <w:p w14:paraId="533F4951" w14:textId="77777777" w:rsidR="008F4122" w:rsidRPr="00BA6BF4" w:rsidRDefault="008F4122" w:rsidP="00573A00">
            <w:pPr>
              <w:autoSpaceDE w:val="0"/>
              <w:autoSpaceDN w:val="0"/>
              <w:adjustRightInd w:val="0"/>
              <w:rPr>
                <w:szCs w:val="21"/>
              </w:rPr>
            </w:pPr>
            <w:r w:rsidRPr="00BA6BF4">
              <w:rPr>
                <w:rFonts w:hint="eastAsia"/>
                <w:szCs w:val="21"/>
              </w:rPr>
              <w:t>发行额</w:t>
            </w:r>
          </w:p>
        </w:tc>
        <w:tc>
          <w:tcPr>
            <w:tcW w:w="636" w:type="pct"/>
            <w:tcBorders>
              <w:top w:val="single" w:sz="4" w:space="0" w:color="auto"/>
              <w:bottom w:val="single" w:sz="4" w:space="0" w:color="auto"/>
            </w:tcBorders>
            <w:vAlign w:val="center"/>
          </w:tcPr>
          <w:p w14:paraId="3DEC8D0E" w14:textId="77777777" w:rsidR="008F4122" w:rsidRPr="00BA6BF4" w:rsidRDefault="008F4122" w:rsidP="00573A00">
            <w:pPr>
              <w:autoSpaceDE w:val="0"/>
              <w:autoSpaceDN w:val="0"/>
              <w:adjustRightInd w:val="0"/>
              <w:rPr>
                <w:szCs w:val="21"/>
              </w:rPr>
            </w:pPr>
            <w:r w:rsidRPr="00BA6BF4">
              <w:rPr>
                <w:rFonts w:hint="eastAsia"/>
                <w:szCs w:val="21"/>
              </w:rPr>
              <w:t>转换溢价</w:t>
            </w:r>
          </w:p>
        </w:tc>
      </w:tr>
      <w:tr w:rsidR="008F4122" w:rsidRPr="00BA6BF4" w14:paraId="73815456" w14:textId="77777777" w:rsidTr="00573A00">
        <w:tc>
          <w:tcPr>
            <w:tcW w:w="634" w:type="pct"/>
            <w:tcBorders>
              <w:top w:val="single" w:sz="4" w:space="0" w:color="auto"/>
            </w:tcBorders>
            <w:vAlign w:val="center"/>
          </w:tcPr>
          <w:p w14:paraId="1D0A9886" w14:textId="77777777" w:rsidR="008F4122" w:rsidRPr="00BA6BF4" w:rsidRDefault="008F4122" w:rsidP="00573A00">
            <w:pPr>
              <w:autoSpaceDE w:val="0"/>
              <w:autoSpaceDN w:val="0"/>
              <w:adjustRightInd w:val="0"/>
              <w:rPr>
                <w:sz w:val="18"/>
                <w:szCs w:val="18"/>
              </w:rPr>
            </w:pPr>
            <w:r w:rsidRPr="00BA6BF4">
              <w:rPr>
                <w:rFonts w:hint="eastAsia"/>
                <w:sz w:val="18"/>
                <w:szCs w:val="18"/>
              </w:rPr>
              <w:t>上实集团</w:t>
            </w:r>
          </w:p>
        </w:tc>
        <w:tc>
          <w:tcPr>
            <w:tcW w:w="652" w:type="pct"/>
            <w:tcBorders>
              <w:top w:val="single" w:sz="4" w:space="0" w:color="auto"/>
            </w:tcBorders>
            <w:vAlign w:val="center"/>
          </w:tcPr>
          <w:p w14:paraId="3A8A0421"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1997"/>
                <w:attr w:name="Month" w:val="6"/>
                <w:attr w:name="Day" w:val="12"/>
                <w:attr w:name="IsLunarDate" w:val="False"/>
                <w:attr w:name="IsROCDate" w:val="False"/>
              </w:smartTagPr>
              <w:r w:rsidRPr="00BA6BF4">
                <w:rPr>
                  <w:rFonts w:hint="eastAsia"/>
                  <w:sz w:val="18"/>
                  <w:szCs w:val="18"/>
                </w:rPr>
                <w:t>1997-6-12</w:t>
              </w:r>
            </w:smartTag>
          </w:p>
        </w:tc>
        <w:tc>
          <w:tcPr>
            <w:tcW w:w="831" w:type="pct"/>
            <w:tcBorders>
              <w:top w:val="single" w:sz="4" w:space="0" w:color="auto"/>
            </w:tcBorders>
            <w:vAlign w:val="center"/>
          </w:tcPr>
          <w:p w14:paraId="5BCD2959" w14:textId="77777777" w:rsidR="008F4122" w:rsidRPr="00BA6BF4" w:rsidRDefault="008F4122" w:rsidP="00573A00">
            <w:pPr>
              <w:autoSpaceDE w:val="0"/>
              <w:autoSpaceDN w:val="0"/>
              <w:adjustRightInd w:val="0"/>
              <w:rPr>
                <w:sz w:val="18"/>
                <w:szCs w:val="18"/>
              </w:rPr>
            </w:pPr>
            <w:r w:rsidRPr="00BA6BF4">
              <w:rPr>
                <w:rFonts w:hint="eastAsia"/>
                <w:sz w:val="18"/>
                <w:szCs w:val="18"/>
              </w:rPr>
              <w:t>上海实业</w:t>
            </w:r>
          </w:p>
        </w:tc>
        <w:tc>
          <w:tcPr>
            <w:tcW w:w="738" w:type="pct"/>
            <w:tcBorders>
              <w:top w:val="single" w:sz="4" w:space="0" w:color="auto"/>
            </w:tcBorders>
            <w:vAlign w:val="center"/>
          </w:tcPr>
          <w:p w14:paraId="68B8207C" w14:textId="77777777" w:rsidR="008F4122" w:rsidRPr="00BA6BF4" w:rsidRDefault="008F4122" w:rsidP="00573A00">
            <w:pPr>
              <w:autoSpaceDE w:val="0"/>
              <w:autoSpaceDN w:val="0"/>
              <w:adjustRightInd w:val="0"/>
              <w:rPr>
                <w:sz w:val="18"/>
                <w:szCs w:val="18"/>
              </w:rPr>
            </w:pPr>
            <w:r w:rsidRPr="00BA6BF4">
              <w:rPr>
                <w:rFonts w:hint="eastAsia"/>
                <w:sz w:val="18"/>
                <w:szCs w:val="18"/>
              </w:rPr>
              <w:t>5</w:t>
            </w:r>
            <w:r w:rsidRPr="00BA6BF4">
              <w:rPr>
                <w:rFonts w:hint="eastAsia"/>
                <w:sz w:val="18"/>
                <w:szCs w:val="18"/>
              </w:rPr>
              <w:t>年</w:t>
            </w:r>
          </w:p>
        </w:tc>
        <w:tc>
          <w:tcPr>
            <w:tcW w:w="738" w:type="pct"/>
            <w:tcBorders>
              <w:top w:val="single" w:sz="4" w:space="0" w:color="auto"/>
            </w:tcBorders>
            <w:vAlign w:val="center"/>
          </w:tcPr>
          <w:p w14:paraId="7AC31720"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71" w:type="pct"/>
            <w:tcBorders>
              <w:top w:val="single" w:sz="4" w:space="0" w:color="auto"/>
            </w:tcBorders>
            <w:vAlign w:val="center"/>
          </w:tcPr>
          <w:p w14:paraId="295B1DEA" w14:textId="77777777" w:rsidR="008F4122" w:rsidRPr="00BA6BF4" w:rsidRDefault="008F4122" w:rsidP="00573A00">
            <w:pPr>
              <w:autoSpaceDE w:val="0"/>
              <w:autoSpaceDN w:val="0"/>
              <w:adjustRightInd w:val="0"/>
              <w:rPr>
                <w:sz w:val="18"/>
                <w:szCs w:val="18"/>
              </w:rPr>
            </w:pPr>
            <w:r w:rsidRPr="00BA6BF4">
              <w:rPr>
                <w:rFonts w:hint="eastAsia"/>
                <w:sz w:val="18"/>
                <w:szCs w:val="18"/>
              </w:rPr>
              <w:t>3</w:t>
            </w:r>
            <w:r w:rsidRPr="00BA6BF4">
              <w:rPr>
                <w:rFonts w:hint="eastAsia"/>
                <w:sz w:val="18"/>
                <w:szCs w:val="18"/>
              </w:rPr>
              <w:t>亿美元</w:t>
            </w:r>
          </w:p>
        </w:tc>
        <w:tc>
          <w:tcPr>
            <w:tcW w:w="636" w:type="pct"/>
            <w:tcBorders>
              <w:top w:val="single" w:sz="4" w:space="0" w:color="auto"/>
            </w:tcBorders>
            <w:vAlign w:val="center"/>
          </w:tcPr>
          <w:p w14:paraId="27975414" w14:textId="77777777" w:rsidR="008F4122" w:rsidRPr="00BA6BF4" w:rsidRDefault="008F4122" w:rsidP="00573A00">
            <w:pPr>
              <w:autoSpaceDE w:val="0"/>
              <w:autoSpaceDN w:val="0"/>
              <w:adjustRightInd w:val="0"/>
              <w:rPr>
                <w:sz w:val="18"/>
                <w:szCs w:val="18"/>
              </w:rPr>
            </w:pPr>
            <w:r w:rsidRPr="00BA6BF4">
              <w:rPr>
                <w:rFonts w:hint="eastAsia"/>
                <w:sz w:val="18"/>
                <w:szCs w:val="18"/>
              </w:rPr>
              <w:t>24.41%</w:t>
            </w:r>
          </w:p>
        </w:tc>
      </w:tr>
      <w:tr w:rsidR="008F4122" w:rsidRPr="00BA6BF4" w14:paraId="34F7D437" w14:textId="77777777" w:rsidTr="00573A00">
        <w:tc>
          <w:tcPr>
            <w:tcW w:w="634" w:type="pct"/>
            <w:vAlign w:val="center"/>
          </w:tcPr>
          <w:p w14:paraId="438D559D" w14:textId="77777777" w:rsidR="008F4122" w:rsidRPr="00BA6BF4" w:rsidRDefault="008F4122" w:rsidP="00573A00">
            <w:pPr>
              <w:autoSpaceDE w:val="0"/>
              <w:autoSpaceDN w:val="0"/>
              <w:adjustRightInd w:val="0"/>
              <w:rPr>
                <w:sz w:val="18"/>
                <w:szCs w:val="18"/>
              </w:rPr>
            </w:pPr>
            <w:r w:rsidRPr="00BA6BF4">
              <w:rPr>
                <w:rFonts w:hint="eastAsia"/>
                <w:sz w:val="18"/>
                <w:szCs w:val="18"/>
              </w:rPr>
              <w:t>上实集团</w:t>
            </w:r>
          </w:p>
        </w:tc>
        <w:tc>
          <w:tcPr>
            <w:tcW w:w="652" w:type="pct"/>
            <w:vAlign w:val="center"/>
          </w:tcPr>
          <w:p w14:paraId="201A30F1"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1998"/>
                <w:attr w:name="Month" w:val="2"/>
                <w:attr w:name="Day" w:val="17"/>
                <w:attr w:name="IsLunarDate" w:val="False"/>
                <w:attr w:name="IsROCDate" w:val="False"/>
              </w:smartTagPr>
              <w:r w:rsidRPr="00BA6BF4">
                <w:rPr>
                  <w:rFonts w:hint="eastAsia"/>
                  <w:sz w:val="18"/>
                  <w:szCs w:val="18"/>
                </w:rPr>
                <w:t>1998-2-17</w:t>
              </w:r>
            </w:smartTag>
          </w:p>
        </w:tc>
        <w:tc>
          <w:tcPr>
            <w:tcW w:w="831" w:type="pct"/>
            <w:vAlign w:val="center"/>
          </w:tcPr>
          <w:p w14:paraId="27D45D47" w14:textId="77777777" w:rsidR="008F4122" w:rsidRPr="00BA6BF4" w:rsidRDefault="008F4122" w:rsidP="00573A00">
            <w:pPr>
              <w:autoSpaceDE w:val="0"/>
              <w:autoSpaceDN w:val="0"/>
              <w:adjustRightInd w:val="0"/>
              <w:rPr>
                <w:sz w:val="18"/>
                <w:szCs w:val="18"/>
              </w:rPr>
            </w:pPr>
            <w:r w:rsidRPr="00BA6BF4">
              <w:rPr>
                <w:rFonts w:hint="eastAsia"/>
                <w:sz w:val="18"/>
                <w:szCs w:val="18"/>
              </w:rPr>
              <w:t>上海实业</w:t>
            </w:r>
          </w:p>
        </w:tc>
        <w:tc>
          <w:tcPr>
            <w:tcW w:w="738" w:type="pct"/>
            <w:vAlign w:val="center"/>
          </w:tcPr>
          <w:p w14:paraId="190B2A76" w14:textId="77777777" w:rsidR="008F4122" w:rsidRPr="00BA6BF4" w:rsidRDefault="008F4122" w:rsidP="00573A00">
            <w:pPr>
              <w:autoSpaceDE w:val="0"/>
              <w:autoSpaceDN w:val="0"/>
              <w:adjustRightInd w:val="0"/>
              <w:rPr>
                <w:sz w:val="18"/>
                <w:szCs w:val="18"/>
              </w:rPr>
            </w:pPr>
            <w:r w:rsidRPr="00BA6BF4">
              <w:rPr>
                <w:rFonts w:hint="eastAsia"/>
                <w:sz w:val="18"/>
                <w:szCs w:val="18"/>
              </w:rPr>
              <w:t>5</w:t>
            </w:r>
            <w:r w:rsidRPr="00BA6BF4">
              <w:rPr>
                <w:rFonts w:hint="eastAsia"/>
                <w:sz w:val="18"/>
                <w:szCs w:val="18"/>
              </w:rPr>
              <w:t>年</w:t>
            </w:r>
          </w:p>
        </w:tc>
        <w:tc>
          <w:tcPr>
            <w:tcW w:w="738" w:type="pct"/>
            <w:vAlign w:val="center"/>
          </w:tcPr>
          <w:p w14:paraId="5C68B726"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71" w:type="pct"/>
            <w:vAlign w:val="center"/>
          </w:tcPr>
          <w:p w14:paraId="3847152E" w14:textId="77777777" w:rsidR="008F4122" w:rsidRPr="00BA6BF4" w:rsidRDefault="008F4122" w:rsidP="00573A00">
            <w:pPr>
              <w:autoSpaceDE w:val="0"/>
              <w:autoSpaceDN w:val="0"/>
              <w:adjustRightInd w:val="0"/>
              <w:rPr>
                <w:sz w:val="18"/>
                <w:szCs w:val="18"/>
              </w:rPr>
            </w:pPr>
            <w:r w:rsidRPr="00BA6BF4">
              <w:rPr>
                <w:rFonts w:hint="eastAsia"/>
                <w:sz w:val="18"/>
                <w:szCs w:val="18"/>
              </w:rPr>
              <w:t>1.25</w:t>
            </w:r>
            <w:r w:rsidRPr="00BA6BF4">
              <w:rPr>
                <w:rFonts w:hint="eastAsia"/>
                <w:sz w:val="18"/>
                <w:szCs w:val="18"/>
              </w:rPr>
              <w:t>亿美元</w:t>
            </w:r>
          </w:p>
        </w:tc>
        <w:tc>
          <w:tcPr>
            <w:tcW w:w="636" w:type="pct"/>
            <w:vAlign w:val="center"/>
          </w:tcPr>
          <w:p w14:paraId="1A046087" w14:textId="77777777" w:rsidR="008F4122" w:rsidRPr="00BA6BF4" w:rsidRDefault="008F4122" w:rsidP="00573A00">
            <w:pPr>
              <w:autoSpaceDE w:val="0"/>
              <w:autoSpaceDN w:val="0"/>
              <w:adjustRightInd w:val="0"/>
              <w:rPr>
                <w:sz w:val="18"/>
                <w:szCs w:val="18"/>
              </w:rPr>
            </w:pPr>
            <w:r w:rsidRPr="00BA6BF4">
              <w:rPr>
                <w:rFonts w:hint="eastAsia"/>
                <w:sz w:val="18"/>
                <w:szCs w:val="18"/>
              </w:rPr>
              <w:t>20%</w:t>
            </w:r>
          </w:p>
        </w:tc>
      </w:tr>
      <w:tr w:rsidR="008F4122" w:rsidRPr="00BA6BF4" w14:paraId="76F516B4" w14:textId="77777777" w:rsidTr="00573A00">
        <w:tc>
          <w:tcPr>
            <w:tcW w:w="634" w:type="pct"/>
            <w:vAlign w:val="center"/>
          </w:tcPr>
          <w:p w14:paraId="22950C29" w14:textId="77777777" w:rsidR="008F4122" w:rsidRPr="00BA6BF4" w:rsidRDefault="008F4122" w:rsidP="00573A00">
            <w:pPr>
              <w:autoSpaceDE w:val="0"/>
              <w:autoSpaceDN w:val="0"/>
              <w:adjustRightInd w:val="0"/>
              <w:rPr>
                <w:sz w:val="18"/>
                <w:szCs w:val="18"/>
              </w:rPr>
            </w:pPr>
            <w:r w:rsidRPr="00BA6BF4">
              <w:rPr>
                <w:rFonts w:hint="eastAsia"/>
                <w:sz w:val="18"/>
                <w:szCs w:val="18"/>
              </w:rPr>
              <w:t>中远集团</w:t>
            </w:r>
          </w:p>
        </w:tc>
        <w:tc>
          <w:tcPr>
            <w:tcW w:w="652" w:type="pct"/>
            <w:vAlign w:val="center"/>
          </w:tcPr>
          <w:p w14:paraId="4B0053FD"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1998"/>
                <w:attr w:name="Month" w:val="3"/>
                <w:attr w:name="Day" w:val="5"/>
                <w:attr w:name="IsLunarDate" w:val="False"/>
                <w:attr w:name="IsROCDate" w:val="False"/>
              </w:smartTagPr>
              <w:r w:rsidRPr="00BA6BF4">
                <w:rPr>
                  <w:rFonts w:hint="eastAsia"/>
                  <w:sz w:val="18"/>
                  <w:szCs w:val="18"/>
                </w:rPr>
                <w:t>1998-3-5</w:t>
              </w:r>
            </w:smartTag>
          </w:p>
        </w:tc>
        <w:tc>
          <w:tcPr>
            <w:tcW w:w="831" w:type="pct"/>
            <w:vAlign w:val="center"/>
          </w:tcPr>
          <w:p w14:paraId="66A2FB9B" w14:textId="77777777" w:rsidR="008F4122" w:rsidRPr="00BA6BF4" w:rsidRDefault="008F4122" w:rsidP="00573A00">
            <w:pPr>
              <w:autoSpaceDE w:val="0"/>
              <w:autoSpaceDN w:val="0"/>
              <w:adjustRightInd w:val="0"/>
              <w:rPr>
                <w:sz w:val="18"/>
                <w:szCs w:val="18"/>
              </w:rPr>
            </w:pPr>
            <w:r w:rsidRPr="00BA6BF4">
              <w:rPr>
                <w:rFonts w:hint="eastAsia"/>
                <w:sz w:val="18"/>
                <w:szCs w:val="18"/>
              </w:rPr>
              <w:t>中远太平洋</w:t>
            </w:r>
          </w:p>
        </w:tc>
        <w:tc>
          <w:tcPr>
            <w:tcW w:w="738" w:type="pct"/>
            <w:vAlign w:val="center"/>
          </w:tcPr>
          <w:p w14:paraId="159B5C54" w14:textId="77777777" w:rsidR="008F4122" w:rsidRPr="00BA6BF4" w:rsidRDefault="008F4122" w:rsidP="00573A00">
            <w:pPr>
              <w:autoSpaceDE w:val="0"/>
              <w:autoSpaceDN w:val="0"/>
              <w:adjustRightInd w:val="0"/>
              <w:rPr>
                <w:sz w:val="18"/>
                <w:szCs w:val="18"/>
              </w:rPr>
            </w:pPr>
            <w:r w:rsidRPr="00BA6BF4">
              <w:rPr>
                <w:rFonts w:hint="eastAsia"/>
                <w:sz w:val="18"/>
                <w:szCs w:val="18"/>
              </w:rPr>
              <w:t>5</w:t>
            </w:r>
            <w:r w:rsidRPr="00BA6BF4">
              <w:rPr>
                <w:rFonts w:hint="eastAsia"/>
                <w:sz w:val="18"/>
                <w:szCs w:val="18"/>
              </w:rPr>
              <w:t>年</w:t>
            </w:r>
          </w:p>
        </w:tc>
        <w:tc>
          <w:tcPr>
            <w:tcW w:w="738" w:type="pct"/>
            <w:vAlign w:val="center"/>
          </w:tcPr>
          <w:p w14:paraId="0431AF07"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71" w:type="pct"/>
            <w:vAlign w:val="center"/>
          </w:tcPr>
          <w:p w14:paraId="01144EFA" w14:textId="77777777" w:rsidR="008F4122" w:rsidRPr="00BA6BF4" w:rsidRDefault="008F4122" w:rsidP="00573A00">
            <w:pPr>
              <w:autoSpaceDE w:val="0"/>
              <w:autoSpaceDN w:val="0"/>
              <w:adjustRightInd w:val="0"/>
              <w:rPr>
                <w:sz w:val="18"/>
                <w:szCs w:val="18"/>
              </w:rPr>
            </w:pPr>
            <w:r w:rsidRPr="00BA6BF4">
              <w:rPr>
                <w:rFonts w:hint="eastAsia"/>
                <w:sz w:val="18"/>
                <w:szCs w:val="18"/>
              </w:rPr>
              <w:t>1.5</w:t>
            </w:r>
            <w:r w:rsidRPr="00BA6BF4">
              <w:rPr>
                <w:rFonts w:hint="eastAsia"/>
                <w:sz w:val="18"/>
                <w:szCs w:val="18"/>
              </w:rPr>
              <w:t>亿美元</w:t>
            </w:r>
          </w:p>
        </w:tc>
        <w:tc>
          <w:tcPr>
            <w:tcW w:w="636" w:type="pct"/>
            <w:vAlign w:val="center"/>
          </w:tcPr>
          <w:p w14:paraId="03267F7A" w14:textId="77777777" w:rsidR="008F4122" w:rsidRPr="00BA6BF4" w:rsidRDefault="008F4122" w:rsidP="00573A00">
            <w:pPr>
              <w:autoSpaceDE w:val="0"/>
              <w:autoSpaceDN w:val="0"/>
              <w:adjustRightInd w:val="0"/>
              <w:rPr>
                <w:sz w:val="18"/>
                <w:szCs w:val="18"/>
              </w:rPr>
            </w:pPr>
            <w:r w:rsidRPr="00BA6BF4">
              <w:rPr>
                <w:rFonts w:hint="eastAsia"/>
                <w:sz w:val="18"/>
                <w:szCs w:val="18"/>
              </w:rPr>
              <w:t>20%</w:t>
            </w:r>
          </w:p>
        </w:tc>
      </w:tr>
      <w:tr w:rsidR="008F4122" w:rsidRPr="00BA6BF4" w14:paraId="129010F0" w14:textId="77777777" w:rsidTr="00573A00">
        <w:tc>
          <w:tcPr>
            <w:tcW w:w="634" w:type="pct"/>
            <w:tcBorders>
              <w:bottom w:val="single" w:sz="4" w:space="0" w:color="auto"/>
            </w:tcBorders>
            <w:vAlign w:val="center"/>
          </w:tcPr>
          <w:p w14:paraId="3374E340" w14:textId="77777777" w:rsidR="008F4122" w:rsidRPr="00BA6BF4" w:rsidRDefault="008F4122" w:rsidP="00573A00">
            <w:pPr>
              <w:autoSpaceDE w:val="0"/>
              <w:autoSpaceDN w:val="0"/>
              <w:adjustRightInd w:val="0"/>
              <w:rPr>
                <w:sz w:val="18"/>
                <w:szCs w:val="18"/>
              </w:rPr>
            </w:pPr>
            <w:r w:rsidRPr="00BA6BF4">
              <w:rPr>
                <w:rFonts w:hint="eastAsia"/>
                <w:sz w:val="18"/>
                <w:szCs w:val="18"/>
              </w:rPr>
              <w:t>京泰集团</w:t>
            </w:r>
          </w:p>
        </w:tc>
        <w:tc>
          <w:tcPr>
            <w:tcW w:w="652" w:type="pct"/>
            <w:tcBorders>
              <w:bottom w:val="single" w:sz="4" w:space="0" w:color="auto"/>
            </w:tcBorders>
            <w:vAlign w:val="center"/>
          </w:tcPr>
          <w:p w14:paraId="263ED01D"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1998"/>
                <w:attr w:name="Month" w:val="3"/>
                <w:attr w:name="Day" w:val="10"/>
                <w:attr w:name="IsLunarDate" w:val="False"/>
                <w:attr w:name="IsROCDate" w:val="False"/>
              </w:smartTagPr>
              <w:r w:rsidRPr="00BA6BF4">
                <w:rPr>
                  <w:rFonts w:hint="eastAsia"/>
                  <w:sz w:val="18"/>
                  <w:szCs w:val="18"/>
                </w:rPr>
                <w:t>1998-3-10</w:t>
              </w:r>
            </w:smartTag>
          </w:p>
        </w:tc>
        <w:tc>
          <w:tcPr>
            <w:tcW w:w="831" w:type="pct"/>
            <w:tcBorders>
              <w:bottom w:val="single" w:sz="4" w:space="0" w:color="auto"/>
            </w:tcBorders>
            <w:vAlign w:val="center"/>
          </w:tcPr>
          <w:p w14:paraId="52C2B569" w14:textId="77777777" w:rsidR="008F4122" w:rsidRPr="00BA6BF4" w:rsidRDefault="008F4122" w:rsidP="00573A00">
            <w:pPr>
              <w:autoSpaceDE w:val="0"/>
              <w:autoSpaceDN w:val="0"/>
              <w:adjustRightInd w:val="0"/>
              <w:rPr>
                <w:sz w:val="18"/>
                <w:szCs w:val="18"/>
              </w:rPr>
            </w:pPr>
            <w:r w:rsidRPr="00BA6BF4">
              <w:rPr>
                <w:rFonts w:hint="eastAsia"/>
                <w:sz w:val="18"/>
                <w:szCs w:val="18"/>
              </w:rPr>
              <w:t>北京控股</w:t>
            </w:r>
          </w:p>
        </w:tc>
        <w:tc>
          <w:tcPr>
            <w:tcW w:w="738" w:type="pct"/>
            <w:tcBorders>
              <w:bottom w:val="single" w:sz="4" w:space="0" w:color="auto"/>
            </w:tcBorders>
            <w:vAlign w:val="center"/>
          </w:tcPr>
          <w:p w14:paraId="12B664EC" w14:textId="77777777" w:rsidR="008F4122" w:rsidRPr="00BA6BF4" w:rsidRDefault="008F4122" w:rsidP="00573A00">
            <w:pPr>
              <w:autoSpaceDE w:val="0"/>
              <w:autoSpaceDN w:val="0"/>
              <w:adjustRightInd w:val="0"/>
              <w:rPr>
                <w:sz w:val="18"/>
                <w:szCs w:val="18"/>
              </w:rPr>
            </w:pPr>
            <w:r w:rsidRPr="00BA6BF4">
              <w:rPr>
                <w:rFonts w:hint="eastAsia"/>
                <w:sz w:val="18"/>
                <w:szCs w:val="18"/>
              </w:rPr>
              <w:t>5</w:t>
            </w:r>
            <w:r w:rsidRPr="00BA6BF4">
              <w:rPr>
                <w:rFonts w:hint="eastAsia"/>
                <w:sz w:val="18"/>
                <w:szCs w:val="18"/>
              </w:rPr>
              <w:t>年</w:t>
            </w:r>
          </w:p>
        </w:tc>
        <w:tc>
          <w:tcPr>
            <w:tcW w:w="738" w:type="pct"/>
            <w:tcBorders>
              <w:bottom w:val="single" w:sz="4" w:space="0" w:color="auto"/>
            </w:tcBorders>
            <w:vAlign w:val="center"/>
          </w:tcPr>
          <w:p w14:paraId="7A4A7B29" w14:textId="77777777" w:rsidR="008F4122" w:rsidRPr="00BA6BF4" w:rsidRDefault="008F4122" w:rsidP="00573A00">
            <w:pPr>
              <w:autoSpaceDE w:val="0"/>
              <w:autoSpaceDN w:val="0"/>
              <w:adjustRightInd w:val="0"/>
              <w:rPr>
                <w:sz w:val="18"/>
                <w:szCs w:val="18"/>
              </w:rPr>
            </w:pPr>
            <w:r w:rsidRPr="00BA6BF4">
              <w:rPr>
                <w:rFonts w:hint="eastAsia"/>
                <w:sz w:val="18"/>
                <w:szCs w:val="18"/>
              </w:rPr>
              <w:t>1%</w:t>
            </w:r>
          </w:p>
        </w:tc>
        <w:tc>
          <w:tcPr>
            <w:tcW w:w="771" w:type="pct"/>
            <w:tcBorders>
              <w:bottom w:val="single" w:sz="4" w:space="0" w:color="auto"/>
            </w:tcBorders>
            <w:vAlign w:val="center"/>
          </w:tcPr>
          <w:p w14:paraId="1663D466" w14:textId="77777777" w:rsidR="008F4122" w:rsidRPr="00BA6BF4" w:rsidRDefault="008F4122" w:rsidP="00573A00">
            <w:pPr>
              <w:autoSpaceDE w:val="0"/>
              <w:autoSpaceDN w:val="0"/>
              <w:adjustRightInd w:val="0"/>
              <w:rPr>
                <w:sz w:val="18"/>
                <w:szCs w:val="18"/>
              </w:rPr>
            </w:pPr>
            <w:r w:rsidRPr="00BA6BF4">
              <w:rPr>
                <w:rFonts w:hint="eastAsia"/>
                <w:sz w:val="18"/>
                <w:szCs w:val="18"/>
              </w:rPr>
              <w:t>1.5</w:t>
            </w:r>
            <w:r w:rsidRPr="00BA6BF4">
              <w:rPr>
                <w:rFonts w:hint="eastAsia"/>
                <w:sz w:val="18"/>
                <w:szCs w:val="18"/>
              </w:rPr>
              <w:t>亿美元</w:t>
            </w:r>
          </w:p>
        </w:tc>
        <w:tc>
          <w:tcPr>
            <w:tcW w:w="636" w:type="pct"/>
            <w:tcBorders>
              <w:bottom w:val="single" w:sz="4" w:space="0" w:color="auto"/>
            </w:tcBorders>
            <w:vAlign w:val="center"/>
          </w:tcPr>
          <w:p w14:paraId="0ED81451" w14:textId="77777777" w:rsidR="008F4122" w:rsidRPr="00BA6BF4" w:rsidRDefault="008F4122" w:rsidP="00573A00">
            <w:pPr>
              <w:autoSpaceDE w:val="0"/>
              <w:autoSpaceDN w:val="0"/>
              <w:adjustRightInd w:val="0"/>
              <w:rPr>
                <w:sz w:val="18"/>
                <w:szCs w:val="18"/>
              </w:rPr>
            </w:pPr>
            <w:r w:rsidRPr="00BA6BF4">
              <w:rPr>
                <w:rFonts w:hint="eastAsia"/>
                <w:sz w:val="18"/>
                <w:szCs w:val="18"/>
              </w:rPr>
              <w:t>22.53%</w:t>
            </w:r>
          </w:p>
        </w:tc>
      </w:tr>
    </w:tbl>
    <w:p w14:paraId="3BE692CA" w14:textId="77777777" w:rsidR="008F4122" w:rsidRPr="00800D22" w:rsidRDefault="008F4122" w:rsidP="008F4122">
      <w:pPr>
        <w:autoSpaceDE w:val="0"/>
        <w:autoSpaceDN w:val="0"/>
        <w:adjustRightInd w:val="0"/>
        <w:spacing w:beforeLines="100" w:before="312" w:line="440" w:lineRule="exact"/>
        <w:ind w:firstLineChars="200" w:firstLine="420"/>
        <w:jc w:val="left"/>
        <w:rPr>
          <w:rFonts w:ascii="宋体" w:hAnsi="宋体"/>
          <w:szCs w:val="21"/>
        </w:rPr>
      </w:pPr>
      <w:r w:rsidRPr="00800D22">
        <w:rPr>
          <w:rFonts w:ascii="宋体" w:hAnsi="宋体" w:hint="eastAsia"/>
          <w:szCs w:val="21"/>
        </w:rPr>
        <w:t>在日本，可交换债券主要是由欧洲一些著名的金融机构发行，在日本国内的证券公司出售，而标的股票公司通常也是市场公认信誉好的，如索尼、东芝、东京电力、</w:t>
      </w:r>
      <w:r w:rsidRPr="00800D22">
        <w:rPr>
          <w:szCs w:val="21"/>
        </w:rPr>
        <w:t>NTT</w:t>
      </w:r>
      <w:r w:rsidRPr="00800D22">
        <w:rPr>
          <w:rFonts w:ascii="宋体" w:hAnsi="宋体" w:hint="eastAsia"/>
          <w:szCs w:val="21"/>
        </w:rPr>
        <w:t>等大公司。</w:t>
      </w:r>
      <w:r w:rsidRPr="00800D22">
        <w:rPr>
          <w:szCs w:val="21"/>
        </w:rPr>
        <w:t>1998</w:t>
      </w:r>
      <w:r w:rsidRPr="00800D22">
        <w:rPr>
          <w:rFonts w:ascii="宋体" w:hAnsi="宋体" w:hint="eastAsia"/>
          <w:szCs w:val="21"/>
        </w:rPr>
        <w:t>年日本《证券交易法》修正以后，可交换债券开始在市场上大幅出售并受到投资者的广泛关注。日本的可交换债券在设计上与其他大多数地区有所不同：一般来说，可交换债券赋予了债券持有人换股的选择权，即债券持有人有权根据自己的判断来决定是否进行换股。由于赋予了债券持有人标的股票的看涨期权，可交换债券的利率通常比普通公司债</w:t>
      </w:r>
      <w:proofErr w:type="gramStart"/>
      <w:r w:rsidRPr="00800D22">
        <w:rPr>
          <w:rFonts w:ascii="宋体" w:hAnsi="宋体" w:hint="eastAsia"/>
          <w:szCs w:val="21"/>
        </w:rPr>
        <w:t>券</w:t>
      </w:r>
      <w:proofErr w:type="gramEnd"/>
      <w:r w:rsidRPr="00800D22">
        <w:rPr>
          <w:rFonts w:ascii="宋体" w:hAnsi="宋体" w:hint="eastAsia"/>
          <w:szCs w:val="21"/>
        </w:rPr>
        <w:t>的利率要低。而日本的可交换债券则规定在股票价格高于预先制定的换股价格的情况下按照债券票面偿付；而在股价低于换股价格的情况下强制性地转换成股票。作为对债券持有人在不利的情况下交换成公司股票的风险补偿，可交换债券的投资者可以获得比普通公司债</w:t>
      </w:r>
      <w:proofErr w:type="gramStart"/>
      <w:r w:rsidRPr="00800D22">
        <w:rPr>
          <w:rFonts w:ascii="宋体" w:hAnsi="宋体" w:hint="eastAsia"/>
          <w:szCs w:val="21"/>
        </w:rPr>
        <w:t>券</w:t>
      </w:r>
      <w:proofErr w:type="gramEnd"/>
      <w:r w:rsidRPr="00800D22">
        <w:rPr>
          <w:rFonts w:ascii="宋体" w:hAnsi="宋体" w:hint="eastAsia"/>
          <w:szCs w:val="21"/>
        </w:rPr>
        <w:t>更高的票面利率。</w:t>
      </w:r>
    </w:p>
    <w:p w14:paraId="179A33CA" w14:textId="77777777" w:rsidR="008F4122" w:rsidRPr="00800D22" w:rsidRDefault="008F4122" w:rsidP="008F4122">
      <w:pPr>
        <w:autoSpaceDE w:val="0"/>
        <w:autoSpaceDN w:val="0"/>
        <w:adjustRightInd w:val="0"/>
        <w:spacing w:line="440" w:lineRule="exact"/>
        <w:ind w:firstLineChars="200" w:firstLine="420"/>
        <w:jc w:val="left"/>
        <w:rPr>
          <w:rFonts w:ascii="宋体" w:hAnsi="宋体"/>
          <w:szCs w:val="21"/>
        </w:rPr>
      </w:pPr>
      <w:r w:rsidRPr="00800D22">
        <w:rPr>
          <w:rFonts w:ascii="宋体" w:hAnsi="宋体" w:hint="eastAsia"/>
          <w:szCs w:val="21"/>
        </w:rPr>
        <w:t>目前在日本市场上发行的可交换债券的类型主要有五种：（</w:t>
      </w:r>
      <w:r w:rsidRPr="00800D22">
        <w:rPr>
          <w:szCs w:val="21"/>
        </w:rPr>
        <w:t>1</w:t>
      </w:r>
      <w:r w:rsidRPr="00800D22">
        <w:rPr>
          <w:rFonts w:ascii="宋体" w:hAnsi="宋体" w:hint="eastAsia"/>
          <w:szCs w:val="21"/>
        </w:rPr>
        <w:t>）普通型，评价日（决定偿付方式的日期）仅为一日，是可交换债券中最普通的类型；（</w:t>
      </w:r>
      <w:r w:rsidRPr="00800D22">
        <w:rPr>
          <w:szCs w:val="21"/>
        </w:rPr>
        <w:t>2</w:t>
      </w:r>
      <w:r w:rsidRPr="00800D22">
        <w:rPr>
          <w:rFonts w:ascii="宋体" w:hAnsi="宋体" w:hint="eastAsia"/>
          <w:szCs w:val="21"/>
        </w:rPr>
        <w:t>）随时偿付型，事先定好的时期内（例如每6个月）都有评价日。在评价日，如果达到事先定好的标准，则可以在到期之前按照票面100%金额要求用现金偿付；（</w:t>
      </w:r>
      <w:r w:rsidRPr="00800D22">
        <w:rPr>
          <w:szCs w:val="21"/>
        </w:rPr>
        <w:t>3</w:t>
      </w:r>
      <w:r w:rsidRPr="00800D22">
        <w:rPr>
          <w:rFonts w:ascii="宋体" w:hAnsi="宋体" w:hint="eastAsia"/>
          <w:szCs w:val="21"/>
        </w:rPr>
        <w:t>）</w:t>
      </w:r>
      <w:r w:rsidRPr="00800D22">
        <w:rPr>
          <w:szCs w:val="21"/>
        </w:rPr>
        <w:t>knock in</w:t>
      </w:r>
      <w:r w:rsidRPr="00800D22">
        <w:rPr>
          <w:rFonts w:ascii="宋体" w:hAnsi="宋体" w:hint="eastAsia"/>
          <w:szCs w:val="21"/>
        </w:rPr>
        <w:t>条款型，在规定期间，只有在标的股票价格达到事先制定的价格的情况下，才可以将债券交换为股票；（</w:t>
      </w:r>
      <w:r w:rsidRPr="00800D22">
        <w:rPr>
          <w:szCs w:val="21"/>
        </w:rPr>
        <w:t>4</w:t>
      </w:r>
      <w:r w:rsidRPr="00800D22">
        <w:rPr>
          <w:rFonts w:ascii="宋体" w:hAnsi="宋体" w:hint="eastAsia"/>
          <w:szCs w:val="21"/>
        </w:rPr>
        <w:t>）一篮子股票型，作为交换对象的股票不止一种的可交换债券。一般来说，会将</w:t>
      </w:r>
      <w:proofErr w:type="gramStart"/>
      <w:r w:rsidRPr="00800D22">
        <w:rPr>
          <w:rFonts w:ascii="宋体" w:hAnsi="宋体" w:hint="eastAsia"/>
          <w:szCs w:val="21"/>
        </w:rPr>
        <w:t>评价日</w:t>
      </w:r>
      <w:proofErr w:type="gramEnd"/>
      <w:r w:rsidRPr="00800D22">
        <w:rPr>
          <w:rFonts w:ascii="宋体" w:hAnsi="宋体" w:hint="eastAsia"/>
          <w:szCs w:val="21"/>
        </w:rPr>
        <w:t>当日股价上升率最低的其中一种股票作为交换的标的股票；（</w:t>
      </w:r>
      <w:r w:rsidRPr="00800D22">
        <w:rPr>
          <w:szCs w:val="21"/>
        </w:rPr>
        <w:t>5</w:t>
      </w:r>
      <w:r w:rsidRPr="00800D22">
        <w:rPr>
          <w:rFonts w:ascii="宋体" w:hAnsi="宋体" w:hint="eastAsia"/>
          <w:szCs w:val="21"/>
        </w:rPr>
        <w:t>）特别红利型，作为交换对象的标的股票价格如果上升至事先规定的价格以上，可以在票面利率的基础上再加上特别的红利。</w:t>
      </w:r>
    </w:p>
    <w:p w14:paraId="11C18F26" w14:textId="77777777" w:rsidR="008F4122" w:rsidRPr="00800D22" w:rsidRDefault="008F4122" w:rsidP="008F4122">
      <w:pPr>
        <w:autoSpaceDE w:val="0"/>
        <w:autoSpaceDN w:val="0"/>
        <w:adjustRightInd w:val="0"/>
        <w:spacing w:line="440" w:lineRule="exact"/>
        <w:ind w:firstLineChars="200" w:firstLine="420"/>
        <w:jc w:val="left"/>
        <w:rPr>
          <w:rFonts w:ascii="宋体" w:hAnsi="宋体"/>
          <w:szCs w:val="21"/>
        </w:rPr>
      </w:pPr>
      <w:r w:rsidRPr="00800D22">
        <w:rPr>
          <w:rFonts w:ascii="宋体" w:hAnsi="宋体" w:hint="eastAsia"/>
          <w:szCs w:val="21"/>
        </w:rPr>
        <w:t>可以从票面利率的变动进一步了解可交换债券在日本的发行历史。与较低的银行存款利率和国债年利率相比，高票面利率是日本可交换债券的一个显著特征，也是吸引投资者的重要因素。约</w:t>
      </w:r>
      <w:r w:rsidRPr="00800D22">
        <w:rPr>
          <w:szCs w:val="21"/>
        </w:rPr>
        <w:t>1999</w:t>
      </w:r>
      <w:r w:rsidRPr="00800D22">
        <w:rPr>
          <w:rFonts w:ascii="宋体" w:hAnsi="宋体" w:hint="eastAsia"/>
          <w:szCs w:val="21"/>
        </w:rPr>
        <w:t>年上半年起初时，日本的可交换债券年利率大多设定在</w:t>
      </w:r>
      <w:r w:rsidRPr="00800D22">
        <w:rPr>
          <w:szCs w:val="21"/>
        </w:rPr>
        <w:t>5%</w:t>
      </w:r>
      <w:r w:rsidRPr="00800D22">
        <w:rPr>
          <w:rFonts w:ascii="宋体" w:hAnsi="宋体" w:hint="eastAsia"/>
          <w:szCs w:val="21"/>
        </w:rPr>
        <w:t>左右，但随着市场推崇，可交换债券的人气不断高涨，到了</w:t>
      </w:r>
      <w:r w:rsidRPr="00800D22">
        <w:rPr>
          <w:szCs w:val="21"/>
        </w:rPr>
        <w:t>2000</w:t>
      </w:r>
      <w:r w:rsidRPr="00800D22">
        <w:rPr>
          <w:rFonts w:ascii="宋体" w:hAnsi="宋体" w:hint="eastAsia"/>
          <w:szCs w:val="21"/>
        </w:rPr>
        <w:t>年上半年，设定</w:t>
      </w:r>
      <w:r w:rsidRPr="00800D22">
        <w:rPr>
          <w:szCs w:val="21"/>
        </w:rPr>
        <w:t>10%</w:t>
      </w:r>
      <w:r w:rsidRPr="00800D22">
        <w:rPr>
          <w:rFonts w:ascii="宋体" w:hAnsi="宋体" w:hint="eastAsia"/>
          <w:szCs w:val="21"/>
        </w:rPr>
        <w:t>的年利率成为主流。而且，此时不仅仅是普通的可交换债券，标的股票价格超过一定幅度</w:t>
      </w:r>
      <w:proofErr w:type="gramStart"/>
      <w:r w:rsidRPr="00800D22">
        <w:rPr>
          <w:rFonts w:ascii="宋体" w:hAnsi="宋体" w:hint="eastAsia"/>
          <w:szCs w:val="21"/>
        </w:rPr>
        <w:t>后利率</w:t>
      </w:r>
      <w:proofErr w:type="gramEnd"/>
      <w:r w:rsidRPr="00800D22">
        <w:rPr>
          <w:rFonts w:ascii="宋体" w:hAnsi="宋体" w:hint="eastAsia"/>
          <w:szCs w:val="21"/>
        </w:rPr>
        <w:t>进一步上升的“特别红利型”可交换债券也越来越多，计算后有的利率甚至达到</w:t>
      </w:r>
      <w:r w:rsidRPr="00800D22">
        <w:rPr>
          <w:szCs w:val="21"/>
        </w:rPr>
        <w:t>25%</w:t>
      </w:r>
      <w:r w:rsidRPr="00800D22">
        <w:rPr>
          <w:rFonts w:ascii="宋体" w:hAnsi="宋体" w:hint="eastAsia"/>
          <w:szCs w:val="21"/>
        </w:rPr>
        <w:t>。高利率与高风险是并存的，特别是在</w:t>
      </w:r>
      <w:r w:rsidRPr="00800D22">
        <w:rPr>
          <w:szCs w:val="21"/>
        </w:rPr>
        <w:t>IT</w:t>
      </w:r>
      <w:r w:rsidRPr="00800D22">
        <w:rPr>
          <w:rFonts w:ascii="宋体" w:hAnsi="宋体" w:hint="eastAsia"/>
          <w:szCs w:val="21"/>
        </w:rPr>
        <w:t>经济泡沫破灭以后，全球股市大跌，日本股市也未能幸免，投资者手中的可交换债券大多只能转换成价格较低的股票，遭受了重大损失。目前，大多数可交换债券发行人把利率设定在</w:t>
      </w:r>
      <w:r w:rsidRPr="00800D22">
        <w:rPr>
          <w:szCs w:val="21"/>
        </w:rPr>
        <w:t>3%-10%</w:t>
      </w:r>
      <w:r w:rsidRPr="00800D22">
        <w:rPr>
          <w:rFonts w:ascii="宋体" w:hAnsi="宋体" w:hint="eastAsia"/>
          <w:szCs w:val="21"/>
        </w:rPr>
        <w:t>左右。</w:t>
      </w:r>
    </w:p>
    <w:p w14:paraId="499D5236" w14:textId="77777777" w:rsidR="008F4122" w:rsidRPr="00800D22" w:rsidRDefault="008F4122" w:rsidP="008F4122">
      <w:pPr>
        <w:autoSpaceDE w:val="0"/>
        <w:autoSpaceDN w:val="0"/>
        <w:adjustRightInd w:val="0"/>
        <w:spacing w:line="440" w:lineRule="exact"/>
        <w:ind w:firstLineChars="200" w:firstLine="420"/>
        <w:jc w:val="left"/>
        <w:rPr>
          <w:rFonts w:ascii="宋体" w:hAnsi="宋体"/>
          <w:szCs w:val="21"/>
        </w:rPr>
      </w:pPr>
    </w:p>
    <w:p w14:paraId="3367BE4E" w14:textId="77777777" w:rsidR="008F4122" w:rsidRPr="00800D22" w:rsidRDefault="008F4122" w:rsidP="008F4122">
      <w:pPr>
        <w:autoSpaceDE w:val="0"/>
        <w:autoSpaceDN w:val="0"/>
        <w:adjustRightInd w:val="0"/>
        <w:spacing w:line="440" w:lineRule="exact"/>
        <w:ind w:firstLineChars="200" w:firstLine="420"/>
        <w:jc w:val="left"/>
        <w:rPr>
          <w:rFonts w:ascii="宋体" w:hAnsi="宋体"/>
          <w:szCs w:val="21"/>
        </w:rPr>
      </w:pPr>
    </w:p>
    <w:p w14:paraId="2DFC8443" w14:textId="77777777" w:rsidR="008F4122" w:rsidRPr="00800D22" w:rsidRDefault="008F4122" w:rsidP="008F4122">
      <w:pPr>
        <w:autoSpaceDE w:val="0"/>
        <w:autoSpaceDN w:val="0"/>
        <w:adjustRightInd w:val="0"/>
        <w:spacing w:line="440" w:lineRule="exact"/>
        <w:ind w:firstLineChars="200" w:firstLine="420"/>
        <w:jc w:val="left"/>
        <w:rPr>
          <w:rFonts w:ascii="宋体" w:hAnsi="宋体"/>
          <w:szCs w:val="21"/>
        </w:rPr>
      </w:pPr>
    </w:p>
    <w:p w14:paraId="4B6AD495" w14:textId="77777777" w:rsidR="008F4122" w:rsidRPr="00800D22" w:rsidRDefault="008F4122" w:rsidP="008F4122">
      <w:pPr>
        <w:autoSpaceDE w:val="0"/>
        <w:autoSpaceDN w:val="0"/>
        <w:adjustRightInd w:val="0"/>
        <w:spacing w:line="440" w:lineRule="exact"/>
        <w:ind w:firstLineChars="200" w:firstLine="480"/>
        <w:jc w:val="left"/>
        <w:rPr>
          <w:rFonts w:ascii="宋体" w:hAnsi="宋体"/>
          <w:sz w:val="24"/>
        </w:rPr>
      </w:pPr>
    </w:p>
    <w:p w14:paraId="5C6A3497" w14:textId="54030691" w:rsidR="008F4122" w:rsidRPr="00800D22" w:rsidRDefault="008F4122" w:rsidP="008F4122">
      <w:pPr>
        <w:pStyle w:val="ae"/>
        <w:spacing w:beforeLines="100" w:before="312"/>
        <w:jc w:val="center"/>
        <w:rPr>
          <w:rFonts w:ascii="Times New Roman" w:eastAsia="新宋体" w:hAnsi="新宋体" w:cs="Times New Roman"/>
          <w:sz w:val="21"/>
          <w:szCs w:val="21"/>
        </w:rPr>
      </w:pPr>
      <w:bookmarkStart w:id="3" w:name="_Toc256506935"/>
      <w:r w:rsidRPr="00800D22">
        <w:rPr>
          <w:rFonts w:ascii="Times New Roman" w:eastAsia="新宋体" w:hAnsi="新宋体" w:cs="Times New Roman" w:hint="eastAsia"/>
          <w:sz w:val="21"/>
          <w:szCs w:val="21"/>
        </w:rPr>
        <w:t>表</w:t>
      </w:r>
      <w:r w:rsidR="00B510E7">
        <w:rPr>
          <w:rFonts w:ascii="Times New Roman" w:eastAsia="新宋体" w:hAnsi="新宋体" w:cs="Times New Roman" w:hint="eastAsia"/>
          <w:sz w:val="21"/>
          <w:szCs w:val="21"/>
        </w:rPr>
        <w:t>4</w:t>
      </w:r>
      <w:r w:rsidRPr="00800D22">
        <w:rPr>
          <w:rFonts w:ascii="Times New Roman" w:eastAsia="新宋体" w:hAnsi="新宋体" w:cs="Times New Roman" w:hint="eastAsia"/>
          <w:sz w:val="21"/>
          <w:szCs w:val="21"/>
        </w:rPr>
        <w:t xml:space="preserve">  2001</w:t>
      </w:r>
      <w:r w:rsidRPr="00800D22">
        <w:rPr>
          <w:rFonts w:ascii="Times New Roman" w:eastAsia="新宋体" w:hAnsi="新宋体" w:cs="Times New Roman" w:hint="eastAsia"/>
          <w:sz w:val="21"/>
          <w:szCs w:val="21"/>
        </w:rPr>
        <w:t>年日本可交换债券发行实例</w:t>
      </w:r>
      <w:bookmarkEnd w:id="3"/>
    </w:p>
    <w:p w14:paraId="7170643D" w14:textId="756E7E8D" w:rsidR="008F4122" w:rsidRPr="00800D22" w:rsidRDefault="00B510E7" w:rsidP="008F4122">
      <w:pPr>
        <w:jc w:val="center"/>
      </w:pPr>
      <w:r w:rsidRPr="00800D22">
        <w:rPr>
          <w:szCs w:val="21"/>
        </w:rPr>
        <w:t>T</w:t>
      </w:r>
      <w:r w:rsidR="008F4122" w:rsidRPr="00800D22">
        <w:rPr>
          <w:szCs w:val="21"/>
        </w:rPr>
        <w:t>able</w:t>
      </w:r>
      <w:r>
        <w:rPr>
          <w:rFonts w:hint="eastAsia"/>
          <w:szCs w:val="21"/>
        </w:rPr>
        <w:t xml:space="preserve"> 4</w:t>
      </w:r>
      <w:r w:rsidR="008F4122" w:rsidRPr="00800D22">
        <w:rPr>
          <w:rFonts w:hint="eastAsia"/>
          <w:szCs w:val="21"/>
        </w:rPr>
        <w:t xml:space="preserve">  </w:t>
      </w:r>
      <w:r w:rsidR="008F4122" w:rsidRPr="00800D22">
        <w:rPr>
          <w:szCs w:val="21"/>
        </w:rPr>
        <w:t>Issue example</w:t>
      </w:r>
      <w:r w:rsidR="008F4122" w:rsidRPr="00800D22">
        <w:rPr>
          <w:rFonts w:hint="eastAsia"/>
          <w:szCs w:val="21"/>
        </w:rPr>
        <w:t xml:space="preserve"> </w:t>
      </w:r>
      <w:r w:rsidR="008F4122" w:rsidRPr="00800D22">
        <w:rPr>
          <w:szCs w:val="21"/>
        </w:rPr>
        <w:t>of Japanese exchangeable bonds in</w:t>
      </w:r>
      <w:r w:rsidR="008F4122" w:rsidRPr="00800D22">
        <w:rPr>
          <w:rFonts w:hint="eastAsia"/>
          <w:szCs w:val="21"/>
        </w:rPr>
        <w:t xml:space="preserve"> </w:t>
      </w:r>
      <w:r w:rsidR="008F4122" w:rsidRPr="00800D22">
        <w:rPr>
          <w:szCs w:val="21"/>
        </w:rPr>
        <w:t>2001</w:t>
      </w:r>
    </w:p>
    <w:tbl>
      <w:tblPr>
        <w:tblW w:w="5000" w:type="pct"/>
        <w:tblLook w:val="01E0" w:firstRow="1" w:lastRow="1" w:firstColumn="1" w:lastColumn="1" w:noHBand="0" w:noVBand="0"/>
      </w:tblPr>
      <w:tblGrid>
        <w:gridCol w:w="1368"/>
        <w:gridCol w:w="1253"/>
        <w:gridCol w:w="1289"/>
        <w:gridCol w:w="910"/>
        <w:gridCol w:w="1145"/>
        <w:gridCol w:w="1214"/>
        <w:gridCol w:w="1343"/>
      </w:tblGrid>
      <w:tr w:rsidR="008F4122" w:rsidRPr="00BA6BF4" w14:paraId="62BF3250" w14:textId="77777777" w:rsidTr="00573A00">
        <w:tc>
          <w:tcPr>
            <w:tcW w:w="803" w:type="pct"/>
            <w:tcBorders>
              <w:top w:val="single" w:sz="4" w:space="0" w:color="auto"/>
              <w:bottom w:val="single" w:sz="4" w:space="0" w:color="auto"/>
            </w:tcBorders>
            <w:vAlign w:val="center"/>
          </w:tcPr>
          <w:p w14:paraId="7FC25AC3" w14:textId="77777777" w:rsidR="008F4122" w:rsidRPr="00BA6BF4" w:rsidRDefault="008F4122" w:rsidP="00573A00">
            <w:pPr>
              <w:autoSpaceDE w:val="0"/>
              <w:autoSpaceDN w:val="0"/>
              <w:adjustRightInd w:val="0"/>
              <w:rPr>
                <w:rFonts w:ascii="宋体" w:hAnsi="宋体"/>
                <w:szCs w:val="21"/>
              </w:rPr>
            </w:pPr>
            <w:r w:rsidRPr="00BA6BF4">
              <w:rPr>
                <w:rFonts w:ascii="宋体" w:hAnsi="宋体" w:hint="eastAsia"/>
                <w:szCs w:val="21"/>
              </w:rPr>
              <w:t>发行人</w:t>
            </w:r>
          </w:p>
        </w:tc>
        <w:tc>
          <w:tcPr>
            <w:tcW w:w="735" w:type="pct"/>
            <w:tcBorders>
              <w:top w:val="single" w:sz="4" w:space="0" w:color="auto"/>
              <w:bottom w:val="single" w:sz="4" w:space="0" w:color="auto"/>
            </w:tcBorders>
            <w:vAlign w:val="center"/>
          </w:tcPr>
          <w:p w14:paraId="5E20EC8A" w14:textId="77777777" w:rsidR="008F4122" w:rsidRPr="00BA6BF4" w:rsidRDefault="008F4122" w:rsidP="00573A00">
            <w:pPr>
              <w:autoSpaceDE w:val="0"/>
              <w:autoSpaceDN w:val="0"/>
              <w:adjustRightInd w:val="0"/>
              <w:rPr>
                <w:rFonts w:ascii="宋体" w:hAnsi="宋体"/>
                <w:szCs w:val="21"/>
              </w:rPr>
            </w:pPr>
            <w:r w:rsidRPr="00BA6BF4">
              <w:rPr>
                <w:rFonts w:ascii="宋体" w:hAnsi="宋体" w:hint="eastAsia"/>
                <w:szCs w:val="21"/>
              </w:rPr>
              <w:t>标的股票公司</w:t>
            </w:r>
          </w:p>
        </w:tc>
        <w:tc>
          <w:tcPr>
            <w:tcW w:w="756" w:type="pct"/>
            <w:tcBorders>
              <w:top w:val="single" w:sz="4" w:space="0" w:color="auto"/>
              <w:bottom w:val="single" w:sz="4" w:space="0" w:color="auto"/>
            </w:tcBorders>
            <w:vAlign w:val="center"/>
          </w:tcPr>
          <w:p w14:paraId="301F5428" w14:textId="77777777" w:rsidR="008F4122" w:rsidRPr="00BA6BF4" w:rsidRDefault="008F4122" w:rsidP="00573A00">
            <w:pPr>
              <w:autoSpaceDE w:val="0"/>
              <w:autoSpaceDN w:val="0"/>
              <w:adjustRightInd w:val="0"/>
              <w:rPr>
                <w:rFonts w:ascii="宋体" w:hAnsi="宋体"/>
                <w:szCs w:val="21"/>
              </w:rPr>
            </w:pPr>
            <w:r w:rsidRPr="00BA6BF4">
              <w:rPr>
                <w:rFonts w:ascii="宋体" w:hAnsi="宋体" w:hint="eastAsia"/>
                <w:szCs w:val="21"/>
              </w:rPr>
              <w:t>票面金额（亿日元）</w:t>
            </w:r>
          </w:p>
        </w:tc>
        <w:tc>
          <w:tcPr>
            <w:tcW w:w="534" w:type="pct"/>
            <w:tcBorders>
              <w:top w:val="single" w:sz="4" w:space="0" w:color="auto"/>
              <w:bottom w:val="single" w:sz="4" w:space="0" w:color="auto"/>
            </w:tcBorders>
            <w:vAlign w:val="center"/>
          </w:tcPr>
          <w:p w14:paraId="3CEC5D32" w14:textId="77777777" w:rsidR="008F4122" w:rsidRPr="00BA6BF4" w:rsidRDefault="008F4122" w:rsidP="00573A00">
            <w:pPr>
              <w:autoSpaceDE w:val="0"/>
              <w:autoSpaceDN w:val="0"/>
              <w:adjustRightInd w:val="0"/>
              <w:rPr>
                <w:rFonts w:ascii="宋体" w:hAnsi="宋体"/>
                <w:szCs w:val="21"/>
              </w:rPr>
            </w:pPr>
            <w:r w:rsidRPr="00BA6BF4">
              <w:rPr>
                <w:rFonts w:ascii="宋体" w:hAnsi="宋体" w:hint="eastAsia"/>
                <w:szCs w:val="21"/>
              </w:rPr>
              <w:t>有效期</w:t>
            </w:r>
          </w:p>
        </w:tc>
        <w:tc>
          <w:tcPr>
            <w:tcW w:w="672" w:type="pct"/>
            <w:tcBorders>
              <w:top w:val="single" w:sz="4" w:space="0" w:color="auto"/>
              <w:bottom w:val="single" w:sz="4" w:space="0" w:color="auto"/>
            </w:tcBorders>
            <w:vAlign w:val="center"/>
          </w:tcPr>
          <w:p w14:paraId="52C018C3" w14:textId="77777777" w:rsidR="008F4122" w:rsidRPr="00BA6BF4" w:rsidRDefault="008F4122" w:rsidP="00573A00">
            <w:pPr>
              <w:autoSpaceDE w:val="0"/>
              <w:autoSpaceDN w:val="0"/>
              <w:adjustRightInd w:val="0"/>
              <w:rPr>
                <w:rFonts w:ascii="宋体" w:hAnsi="宋体"/>
                <w:szCs w:val="21"/>
              </w:rPr>
            </w:pPr>
            <w:r w:rsidRPr="00BA6BF4">
              <w:rPr>
                <w:rFonts w:ascii="宋体" w:hAnsi="宋体" w:hint="eastAsia"/>
                <w:szCs w:val="21"/>
              </w:rPr>
              <w:t>票面利率</w:t>
            </w:r>
          </w:p>
        </w:tc>
        <w:tc>
          <w:tcPr>
            <w:tcW w:w="712" w:type="pct"/>
            <w:tcBorders>
              <w:top w:val="single" w:sz="4" w:space="0" w:color="auto"/>
              <w:bottom w:val="single" w:sz="4" w:space="0" w:color="auto"/>
            </w:tcBorders>
            <w:vAlign w:val="center"/>
          </w:tcPr>
          <w:p w14:paraId="2E82C343" w14:textId="77777777" w:rsidR="008F4122" w:rsidRPr="00BA6BF4" w:rsidRDefault="008F4122" w:rsidP="00573A00">
            <w:pPr>
              <w:autoSpaceDE w:val="0"/>
              <w:autoSpaceDN w:val="0"/>
              <w:adjustRightInd w:val="0"/>
              <w:rPr>
                <w:rFonts w:ascii="宋体" w:hAnsi="宋体"/>
                <w:szCs w:val="21"/>
              </w:rPr>
            </w:pPr>
            <w:r w:rsidRPr="00BA6BF4">
              <w:rPr>
                <w:rFonts w:ascii="宋体" w:hAnsi="宋体" w:hint="eastAsia"/>
                <w:szCs w:val="21"/>
              </w:rPr>
              <w:t>交换价格（日元）</w:t>
            </w:r>
          </w:p>
        </w:tc>
        <w:tc>
          <w:tcPr>
            <w:tcW w:w="788" w:type="pct"/>
            <w:tcBorders>
              <w:top w:val="single" w:sz="4" w:space="0" w:color="auto"/>
              <w:bottom w:val="single" w:sz="4" w:space="0" w:color="auto"/>
            </w:tcBorders>
            <w:vAlign w:val="center"/>
          </w:tcPr>
          <w:p w14:paraId="6989B3AF" w14:textId="77777777" w:rsidR="008F4122" w:rsidRPr="00BA6BF4" w:rsidRDefault="008F4122" w:rsidP="00573A00">
            <w:pPr>
              <w:autoSpaceDE w:val="0"/>
              <w:autoSpaceDN w:val="0"/>
              <w:adjustRightInd w:val="0"/>
              <w:rPr>
                <w:rFonts w:ascii="宋体" w:hAnsi="宋体"/>
                <w:szCs w:val="21"/>
              </w:rPr>
            </w:pPr>
            <w:r w:rsidRPr="00BA6BF4">
              <w:rPr>
                <w:rFonts w:ascii="宋体" w:hAnsi="宋体" w:hint="eastAsia"/>
                <w:szCs w:val="21"/>
              </w:rPr>
              <w:t>发行日</w:t>
            </w:r>
          </w:p>
        </w:tc>
      </w:tr>
      <w:tr w:rsidR="008F4122" w:rsidRPr="00BA6BF4" w14:paraId="27202A99" w14:textId="77777777" w:rsidTr="00573A00">
        <w:tc>
          <w:tcPr>
            <w:tcW w:w="803" w:type="pct"/>
            <w:tcBorders>
              <w:top w:val="single" w:sz="4" w:space="0" w:color="auto"/>
            </w:tcBorders>
            <w:vAlign w:val="center"/>
          </w:tcPr>
          <w:p w14:paraId="5BFA1CEC"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德国农林金融公库</w:t>
            </w:r>
          </w:p>
        </w:tc>
        <w:tc>
          <w:tcPr>
            <w:tcW w:w="735" w:type="pct"/>
            <w:tcBorders>
              <w:top w:val="single" w:sz="4" w:space="0" w:color="auto"/>
            </w:tcBorders>
            <w:vAlign w:val="center"/>
          </w:tcPr>
          <w:p w14:paraId="25347F39"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日本电视局</w:t>
            </w:r>
          </w:p>
        </w:tc>
        <w:tc>
          <w:tcPr>
            <w:tcW w:w="756" w:type="pct"/>
            <w:tcBorders>
              <w:top w:val="single" w:sz="4" w:space="0" w:color="auto"/>
            </w:tcBorders>
            <w:vAlign w:val="center"/>
          </w:tcPr>
          <w:p w14:paraId="6A01805A" w14:textId="77777777" w:rsidR="008F4122" w:rsidRPr="00BA6BF4" w:rsidRDefault="008F4122" w:rsidP="00573A00">
            <w:pPr>
              <w:autoSpaceDE w:val="0"/>
              <w:autoSpaceDN w:val="0"/>
              <w:adjustRightInd w:val="0"/>
              <w:rPr>
                <w:sz w:val="18"/>
                <w:szCs w:val="18"/>
              </w:rPr>
            </w:pPr>
            <w:r w:rsidRPr="00BA6BF4">
              <w:rPr>
                <w:sz w:val="18"/>
                <w:szCs w:val="18"/>
              </w:rPr>
              <w:t>31.5</w:t>
            </w:r>
          </w:p>
        </w:tc>
        <w:tc>
          <w:tcPr>
            <w:tcW w:w="534" w:type="pct"/>
            <w:tcBorders>
              <w:top w:val="single" w:sz="4" w:space="0" w:color="auto"/>
            </w:tcBorders>
            <w:vAlign w:val="center"/>
          </w:tcPr>
          <w:p w14:paraId="56A5E3F2"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3</w:t>
            </w:r>
            <w:r w:rsidRPr="00BA6BF4">
              <w:rPr>
                <w:rFonts w:ascii="宋体" w:hAnsi="宋体" w:hint="eastAsia"/>
                <w:sz w:val="18"/>
                <w:szCs w:val="18"/>
              </w:rPr>
              <w:t>个月</w:t>
            </w:r>
          </w:p>
        </w:tc>
        <w:tc>
          <w:tcPr>
            <w:tcW w:w="672" w:type="pct"/>
            <w:tcBorders>
              <w:top w:val="single" w:sz="4" w:space="0" w:color="auto"/>
            </w:tcBorders>
            <w:vAlign w:val="center"/>
          </w:tcPr>
          <w:p w14:paraId="3526A04B" w14:textId="77777777" w:rsidR="008F4122" w:rsidRPr="00BA6BF4" w:rsidRDefault="008F4122" w:rsidP="00573A00">
            <w:pPr>
              <w:autoSpaceDE w:val="0"/>
              <w:autoSpaceDN w:val="0"/>
              <w:adjustRightInd w:val="0"/>
              <w:rPr>
                <w:sz w:val="18"/>
                <w:szCs w:val="18"/>
              </w:rPr>
            </w:pPr>
            <w:r w:rsidRPr="00BA6BF4">
              <w:rPr>
                <w:sz w:val="18"/>
                <w:szCs w:val="18"/>
              </w:rPr>
              <w:t>10.00%</w:t>
            </w:r>
          </w:p>
        </w:tc>
        <w:tc>
          <w:tcPr>
            <w:tcW w:w="712" w:type="pct"/>
            <w:tcBorders>
              <w:top w:val="single" w:sz="4" w:space="0" w:color="auto"/>
            </w:tcBorders>
            <w:vAlign w:val="center"/>
          </w:tcPr>
          <w:p w14:paraId="25E02DDF" w14:textId="77777777" w:rsidR="008F4122" w:rsidRPr="00BA6BF4" w:rsidRDefault="008F4122" w:rsidP="00573A00">
            <w:pPr>
              <w:autoSpaceDE w:val="0"/>
              <w:autoSpaceDN w:val="0"/>
              <w:adjustRightInd w:val="0"/>
              <w:rPr>
                <w:sz w:val="18"/>
                <w:szCs w:val="18"/>
              </w:rPr>
            </w:pPr>
            <w:r w:rsidRPr="00BA6BF4">
              <w:rPr>
                <w:sz w:val="18"/>
                <w:szCs w:val="18"/>
              </w:rPr>
              <w:t>58,200</w:t>
            </w:r>
          </w:p>
        </w:tc>
        <w:tc>
          <w:tcPr>
            <w:tcW w:w="788" w:type="pct"/>
            <w:tcBorders>
              <w:top w:val="single" w:sz="4" w:space="0" w:color="auto"/>
            </w:tcBorders>
            <w:vAlign w:val="center"/>
          </w:tcPr>
          <w:p w14:paraId="244C8893"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9"/>
                <w:attr w:name="Day" w:val="29"/>
                <w:attr w:name="IsLunarDate" w:val="False"/>
                <w:attr w:name="IsROCDate" w:val="False"/>
              </w:smartTagPr>
              <w:r w:rsidRPr="00BA6BF4">
                <w:rPr>
                  <w:sz w:val="18"/>
                  <w:szCs w:val="18"/>
                </w:rPr>
                <w:t>2000-9-29</w:t>
              </w:r>
            </w:smartTag>
          </w:p>
        </w:tc>
      </w:tr>
      <w:tr w:rsidR="008F4122" w:rsidRPr="00BA6BF4" w14:paraId="5348011B" w14:textId="77777777" w:rsidTr="00573A00">
        <w:tc>
          <w:tcPr>
            <w:tcW w:w="803" w:type="pct"/>
            <w:vAlign w:val="center"/>
          </w:tcPr>
          <w:p w14:paraId="180EF618" w14:textId="77777777" w:rsidR="008F4122" w:rsidRPr="00BA6BF4" w:rsidRDefault="008F4122" w:rsidP="00573A00">
            <w:pPr>
              <w:autoSpaceDE w:val="0"/>
              <w:autoSpaceDN w:val="0"/>
              <w:adjustRightInd w:val="0"/>
              <w:rPr>
                <w:sz w:val="18"/>
                <w:szCs w:val="18"/>
              </w:rPr>
            </w:pPr>
            <w:r w:rsidRPr="00BA6BF4">
              <w:rPr>
                <w:sz w:val="18"/>
                <w:szCs w:val="18"/>
              </w:rPr>
              <w:t>UBS AG</w:t>
            </w:r>
          </w:p>
        </w:tc>
        <w:tc>
          <w:tcPr>
            <w:tcW w:w="735" w:type="pct"/>
            <w:vAlign w:val="center"/>
          </w:tcPr>
          <w:p w14:paraId="1103A747"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索尼</w:t>
            </w:r>
          </w:p>
        </w:tc>
        <w:tc>
          <w:tcPr>
            <w:tcW w:w="756" w:type="pct"/>
            <w:vAlign w:val="center"/>
          </w:tcPr>
          <w:p w14:paraId="5434F6E1" w14:textId="77777777" w:rsidR="008F4122" w:rsidRPr="00BA6BF4" w:rsidRDefault="008F4122" w:rsidP="00573A00">
            <w:pPr>
              <w:autoSpaceDE w:val="0"/>
              <w:autoSpaceDN w:val="0"/>
              <w:adjustRightInd w:val="0"/>
              <w:rPr>
                <w:sz w:val="18"/>
                <w:szCs w:val="18"/>
              </w:rPr>
            </w:pPr>
            <w:r w:rsidRPr="00BA6BF4">
              <w:rPr>
                <w:sz w:val="18"/>
                <w:szCs w:val="18"/>
              </w:rPr>
              <w:t>40.0</w:t>
            </w:r>
          </w:p>
        </w:tc>
        <w:tc>
          <w:tcPr>
            <w:tcW w:w="534" w:type="pct"/>
            <w:vAlign w:val="center"/>
          </w:tcPr>
          <w:p w14:paraId="0EEFF666"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3</w:t>
            </w:r>
            <w:r w:rsidRPr="00BA6BF4">
              <w:rPr>
                <w:rFonts w:ascii="宋体" w:hAnsi="宋体" w:hint="eastAsia"/>
                <w:sz w:val="18"/>
                <w:szCs w:val="18"/>
              </w:rPr>
              <w:t>个月</w:t>
            </w:r>
          </w:p>
        </w:tc>
        <w:tc>
          <w:tcPr>
            <w:tcW w:w="672" w:type="pct"/>
            <w:vAlign w:val="center"/>
          </w:tcPr>
          <w:p w14:paraId="26CC66AC" w14:textId="77777777" w:rsidR="008F4122" w:rsidRPr="00BA6BF4" w:rsidRDefault="008F4122" w:rsidP="00573A00">
            <w:pPr>
              <w:autoSpaceDE w:val="0"/>
              <w:autoSpaceDN w:val="0"/>
              <w:adjustRightInd w:val="0"/>
              <w:rPr>
                <w:sz w:val="18"/>
                <w:szCs w:val="18"/>
              </w:rPr>
            </w:pPr>
            <w:r w:rsidRPr="00BA6BF4">
              <w:rPr>
                <w:sz w:val="18"/>
                <w:szCs w:val="18"/>
              </w:rPr>
              <w:t>7.00%</w:t>
            </w:r>
          </w:p>
        </w:tc>
        <w:tc>
          <w:tcPr>
            <w:tcW w:w="712" w:type="pct"/>
            <w:vAlign w:val="center"/>
          </w:tcPr>
          <w:p w14:paraId="0A8B9022" w14:textId="77777777" w:rsidR="008F4122" w:rsidRPr="00BA6BF4" w:rsidRDefault="008F4122" w:rsidP="00573A00">
            <w:pPr>
              <w:autoSpaceDE w:val="0"/>
              <w:autoSpaceDN w:val="0"/>
              <w:adjustRightInd w:val="0"/>
              <w:rPr>
                <w:sz w:val="18"/>
                <w:szCs w:val="18"/>
              </w:rPr>
            </w:pPr>
            <w:r w:rsidRPr="00BA6BF4">
              <w:rPr>
                <w:sz w:val="18"/>
                <w:szCs w:val="18"/>
              </w:rPr>
              <w:t>9,470</w:t>
            </w:r>
          </w:p>
        </w:tc>
        <w:tc>
          <w:tcPr>
            <w:tcW w:w="788" w:type="pct"/>
            <w:vAlign w:val="center"/>
          </w:tcPr>
          <w:p w14:paraId="27250BF2"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10"/>
                <w:attr w:name="Day" w:val="18"/>
                <w:attr w:name="IsLunarDate" w:val="False"/>
                <w:attr w:name="IsROCDate" w:val="False"/>
              </w:smartTagPr>
              <w:r w:rsidRPr="00BA6BF4">
                <w:rPr>
                  <w:sz w:val="18"/>
                  <w:szCs w:val="18"/>
                </w:rPr>
                <w:t>2000-10-18</w:t>
              </w:r>
            </w:smartTag>
          </w:p>
        </w:tc>
      </w:tr>
      <w:tr w:rsidR="008F4122" w:rsidRPr="00BA6BF4" w14:paraId="66D97667" w14:textId="77777777" w:rsidTr="00573A00">
        <w:tc>
          <w:tcPr>
            <w:tcW w:w="803" w:type="pct"/>
            <w:vAlign w:val="center"/>
          </w:tcPr>
          <w:p w14:paraId="0C5F3983"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瑞典出口信用银行</w:t>
            </w:r>
          </w:p>
        </w:tc>
        <w:tc>
          <w:tcPr>
            <w:tcW w:w="735" w:type="pct"/>
            <w:vAlign w:val="center"/>
          </w:tcPr>
          <w:p w14:paraId="3C2DFBC1"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东京电力</w:t>
            </w:r>
          </w:p>
        </w:tc>
        <w:tc>
          <w:tcPr>
            <w:tcW w:w="756" w:type="pct"/>
            <w:vAlign w:val="center"/>
          </w:tcPr>
          <w:p w14:paraId="4B1FF88C" w14:textId="77777777" w:rsidR="008F4122" w:rsidRPr="00BA6BF4" w:rsidRDefault="008F4122" w:rsidP="00573A00">
            <w:pPr>
              <w:autoSpaceDE w:val="0"/>
              <w:autoSpaceDN w:val="0"/>
              <w:adjustRightInd w:val="0"/>
              <w:rPr>
                <w:sz w:val="18"/>
                <w:szCs w:val="18"/>
              </w:rPr>
            </w:pPr>
            <w:r w:rsidRPr="00BA6BF4">
              <w:rPr>
                <w:sz w:val="18"/>
                <w:szCs w:val="18"/>
              </w:rPr>
              <w:t>5.4</w:t>
            </w:r>
          </w:p>
        </w:tc>
        <w:tc>
          <w:tcPr>
            <w:tcW w:w="534" w:type="pct"/>
            <w:vAlign w:val="center"/>
          </w:tcPr>
          <w:p w14:paraId="248F001B"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4</w:t>
            </w:r>
            <w:r w:rsidRPr="00BA6BF4">
              <w:rPr>
                <w:rFonts w:ascii="宋体" w:hAnsi="宋体" w:hint="eastAsia"/>
                <w:sz w:val="18"/>
                <w:szCs w:val="18"/>
              </w:rPr>
              <w:t>个月</w:t>
            </w:r>
          </w:p>
        </w:tc>
        <w:tc>
          <w:tcPr>
            <w:tcW w:w="672" w:type="pct"/>
            <w:vAlign w:val="center"/>
          </w:tcPr>
          <w:p w14:paraId="1D03DF35" w14:textId="77777777" w:rsidR="008F4122" w:rsidRPr="00BA6BF4" w:rsidRDefault="008F4122" w:rsidP="00573A00">
            <w:pPr>
              <w:autoSpaceDE w:val="0"/>
              <w:autoSpaceDN w:val="0"/>
              <w:adjustRightInd w:val="0"/>
              <w:rPr>
                <w:sz w:val="18"/>
                <w:szCs w:val="18"/>
              </w:rPr>
            </w:pPr>
            <w:r w:rsidRPr="00BA6BF4">
              <w:rPr>
                <w:sz w:val="18"/>
                <w:szCs w:val="18"/>
              </w:rPr>
              <w:t>3.30%</w:t>
            </w:r>
          </w:p>
        </w:tc>
        <w:tc>
          <w:tcPr>
            <w:tcW w:w="712" w:type="pct"/>
            <w:vAlign w:val="center"/>
          </w:tcPr>
          <w:p w14:paraId="3896AE19" w14:textId="77777777" w:rsidR="008F4122" w:rsidRPr="00BA6BF4" w:rsidRDefault="008F4122" w:rsidP="00573A00">
            <w:pPr>
              <w:autoSpaceDE w:val="0"/>
              <w:autoSpaceDN w:val="0"/>
              <w:adjustRightInd w:val="0"/>
              <w:rPr>
                <w:sz w:val="18"/>
                <w:szCs w:val="18"/>
              </w:rPr>
            </w:pPr>
            <w:r w:rsidRPr="00BA6BF4">
              <w:rPr>
                <w:sz w:val="18"/>
                <w:szCs w:val="18"/>
              </w:rPr>
              <w:t>2,240</w:t>
            </w:r>
          </w:p>
        </w:tc>
        <w:tc>
          <w:tcPr>
            <w:tcW w:w="788" w:type="pct"/>
            <w:vAlign w:val="center"/>
          </w:tcPr>
          <w:p w14:paraId="07A1D79E"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9"/>
                <w:attr w:name="Day" w:val="21"/>
                <w:attr w:name="IsLunarDate" w:val="False"/>
                <w:attr w:name="IsROCDate" w:val="False"/>
              </w:smartTagPr>
              <w:r w:rsidRPr="00BA6BF4">
                <w:rPr>
                  <w:sz w:val="18"/>
                  <w:szCs w:val="18"/>
                </w:rPr>
                <w:t>2000-9-21</w:t>
              </w:r>
            </w:smartTag>
          </w:p>
        </w:tc>
      </w:tr>
      <w:tr w:rsidR="008F4122" w:rsidRPr="00BA6BF4" w14:paraId="54551415" w14:textId="77777777" w:rsidTr="00573A00">
        <w:tc>
          <w:tcPr>
            <w:tcW w:w="803" w:type="pct"/>
            <w:vAlign w:val="center"/>
          </w:tcPr>
          <w:p w14:paraId="3FA03B7D"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瑞典出口信用银行</w:t>
            </w:r>
          </w:p>
        </w:tc>
        <w:tc>
          <w:tcPr>
            <w:tcW w:w="735" w:type="pct"/>
            <w:vAlign w:val="center"/>
          </w:tcPr>
          <w:p w14:paraId="0116FDBC"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日本电视局</w:t>
            </w:r>
          </w:p>
        </w:tc>
        <w:tc>
          <w:tcPr>
            <w:tcW w:w="756" w:type="pct"/>
            <w:vAlign w:val="center"/>
          </w:tcPr>
          <w:p w14:paraId="6A10C82C" w14:textId="77777777" w:rsidR="008F4122" w:rsidRPr="00BA6BF4" w:rsidRDefault="008F4122" w:rsidP="00573A00">
            <w:pPr>
              <w:autoSpaceDE w:val="0"/>
              <w:autoSpaceDN w:val="0"/>
              <w:adjustRightInd w:val="0"/>
              <w:rPr>
                <w:sz w:val="18"/>
                <w:szCs w:val="18"/>
              </w:rPr>
            </w:pPr>
            <w:r w:rsidRPr="00BA6BF4">
              <w:rPr>
                <w:sz w:val="18"/>
                <w:szCs w:val="18"/>
              </w:rPr>
              <w:t>30.1</w:t>
            </w:r>
          </w:p>
        </w:tc>
        <w:tc>
          <w:tcPr>
            <w:tcW w:w="534" w:type="pct"/>
            <w:vAlign w:val="center"/>
          </w:tcPr>
          <w:p w14:paraId="20DC26A4"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4</w:t>
            </w:r>
            <w:r w:rsidRPr="00BA6BF4">
              <w:rPr>
                <w:rFonts w:ascii="宋体" w:hAnsi="宋体" w:hint="eastAsia"/>
                <w:sz w:val="18"/>
                <w:szCs w:val="18"/>
              </w:rPr>
              <w:t>个月</w:t>
            </w:r>
          </w:p>
        </w:tc>
        <w:tc>
          <w:tcPr>
            <w:tcW w:w="672" w:type="pct"/>
            <w:vAlign w:val="center"/>
          </w:tcPr>
          <w:p w14:paraId="38C31AAD" w14:textId="77777777" w:rsidR="008F4122" w:rsidRPr="00BA6BF4" w:rsidRDefault="008F4122" w:rsidP="00573A00">
            <w:pPr>
              <w:autoSpaceDE w:val="0"/>
              <w:autoSpaceDN w:val="0"/>
              <w:adjustRightInd w:val="0"/>
              <w:rPr>
                <w:sz w:val="18"/>
                <w:szCs w:val="18"/>
              </w:rPr>
            </w:pPr>
            <w:r w:rsidRPr="00BA6BF4">
              <w:rPr>
                <w:sz w:val="18"/>
                <w:szCs w:val="18"/>
              </w:rPr>
              <w:t>8.50%</w:t>
            </w:r>
          </w:p>
        </w:tc>
        <w:tc>
          <w:tcPr>
            <w:tcW w:w="712" w:type="pct"/>
            <w:vAlign w:val="center"/>
          </w:tcPr>
          <w:p w14:paraId="2FE3220F" w14:textId="77777777" w:rsidR="008F4122" w:rsidRPr="00BA6BF4" w:rsidRDefault="008F4122" w:rsidP="00573A00">
            <w:pPr>
              <w:autoSpaceDE w:val="0"/>
              <w:autoSpaceDN w:val="0"/>
              <w:adjustRightInd w:val="0"/>
              <w:rPr>
                <w:sz w:val="18"/>
                <w:szCs w:val="18"/>
              </w:rPr>
            </w:pPr>
            <w:r w:rsidRPr="00BA6BF4">
              <w:rPr>
                <w:sz w:val="18"/>
                <w:szCs w:val="18"/>
              </w:rPr>
              <w:t>56,200</w:t>
            </w:r>
          </w:p>
        </w:tc>
        <w:tc>
          <w:tcPr>
            <w:tcW w:w="788" w:type="pct"/>
            <w:vAlign w:val="center"/>
          </w:tcPr>
          <w:p w14:paraId="379E70AB"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10"/>
                <w:attr w:name="Day" w:val="4"/>
                <w:attr w:name="IsLunarDate" w:val="False"/>
                <w:attr w:name="IsROCDate" w:val="False"/>
              </w:smartTagPr>
              <w:r w:rsidRPr="00BA6BF4">
                <w:rPr>
                  <w:sz w:val="18"/>
                  <w:szCs w:val="18"/>
                </w:rPr>
                <w:t>2000-10-4</w:t>
              </w:r>
            </w:smartTag>
          </w:p>
        </w:tc>
      </w:tr>
      <w:tr w:rsidR="008F4122" w:rsidRPr="00BA6BF4" w14:paraId="461E6EF3" w14:textId="77777777" w:rsidTr="00573A00">
        <w:tc>
          <w:tcPr>
            <w:tcW w:w="803" w:type="pct"/>
            <w:vAlign w:val="center"/>
          </w:tcPr>
          <w:p w14:paraId="5EF039CD" w14:textId="77777777" w:rsidR="008F4122" w:rsidRPr="00BA6BF4" w:rsidRDefault="008F4122" w:rsidP="00573A00">
            <w:pPr>
              <w:autoSpaceDE w:val="0"/>
              <w:autoSpaceDN w:val="0"/>
              <w:adjustRightInd w:val="0"/>
              <w:rPr>
                <w:sz w:val="18"/>
                <w:szCs w:val="18"/>
              </w:rPr>
            </w:pPr>
            <w:r w:rsidRPr="00BA6BF4">
              <w:rPr>
                <w:sz w:val="18"/>
                <w:szCs w:val="18"/>
              </w:rPr>
              <w:t>UBS AG</w:t>
            </w:r>
          </w:p>
        </w:tc>
        <w:tc>
          <w:tcPr>
            <w:tcW w:w="735" w:type="pct"/>
            <w:vAlign w:val="center"/>
          </w:tcPr>
          <w:p w14:paraId="40E654F3"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索尼</w:t>
            </w:r>
          </w:p>
        </w:tc>
        <w:tc>
          <w:tcPr>
            <w:tcW w:w="756" w:type="pct"/>
            <w:vAlign w:val="center"/>
          </w:tcPr>
          <w:p w14:paraId="5F55C232" w14:textId="77777777" w:rsidR="008F4122" w:rsidRPr="00BA6BF4" w:rsidRDefault="008F4122" w:rsidP="00573A00">
            <w:pPr>
              <w:autoSpaceDE w:val="0"/>
              <w:autoSpaceDN w:val="0"/>
              <w:adjustRightInd w:val="0"/>
              <w:rPr>
                <w:sz w:val="18"/>
                <w:szCs w:val="18"/>
              </w:rPr>
            </w:pPr>
            <w:r w:rsidRPr="00BA6BF4">
              <w:rPr>
                <w:sz w:val="18"/>
                <w:szCs w:val="18"/>
              </w:rPr>
              <w:t>52.9</w:t>
            </w:r>
          </w:p>
        </w:tc>
        <w:tc>
          <w:tcPr>
            <w:tcW w:w="534" w:type="pct"/>
            <w:vAlign w:val="center"/>
          </w:tcPr>
          <w:p w14:paraId="7807E2C9"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6</w:t>
            </w:r>
            <w:r w:rsidRPr="00BA6BF4">
              <w:rPr>
                <w:rFonts w:ascii="宋体" w:hAnsi="宋体" w:hint="eastAsia"/>
                <w:sz w:val="18"/>
                <w:szCs w:val="18"/>
              </w:rPr>
              <w:t>个月</w:t>
            </w:r>
          </w:p>
        </w:tc>
        <w:tc>
          <w:tcPr>
            <w:tcW w:w="672" w:type="pct"/>
            <w:vAlign w:val="center"/>
          </w:tcPr>
          <w:p w14:paraId="61942510" w14:textId="77777777" w:rsidR="008F4122" w:rsidRPr="00BA6BF4" w:rsidRDefault="008F4122" w:rsidP="00573A00">
            <w:pPr>
              <w:autoSpaceDE w:val="0"/>
              <w:autoSpaceDN w:val="0"/>
              <w:adjustRightInd w:val="0"/>
              <w:rPr>
                <w:sz w:val="18"/>
                <w:szCs w:val="18"/>
              </w:rPr>
            </w:pPr>
            <w:r w:rsidRPr="00BA6BF4">
              <w:rPr>
                <w:sz w:val="18"/>
                <w:szCs w:val="18"/>
              </w:rPr>
              <w:t>5.00%</w:t>
            </w:r>
          </w:p>
        </w:tc>
        <w:tc>
          <w:tcPr>
            <w:tcW w:w="712" w:type="pct"/>
            <w:vAlign w:val="center"/>
          </w:tcPr>
          <w:p w14:paraId="0B5ED452" w14:textId="77777777" w:rsidR="008F4122" w:rsidRPr="00BA6BF4" w:rsidRDefault="008F4122" w:rsidP="00573A00">
            <w:pPr>
              <w:autoSpaceDE w:val="0"/>
              <w:autoSpaceDN w:val="0"/>
              <w:adjustRightInd w:val="0"/>
              <w:rPr>
                <w:sz w:val="18"/>
                <w:szCs w:val="18"/>
              </w:rPr>
            </w:pPr>
            <w:r w:rsidRPr="00BA6BF4">
              <w:rPr>
                <w:sz w:val="18"/>
                <w:szCs w:val="18"/>
              </w:rPr>
              <w:t>8,410</w:t>
            </w:r>
          </w:p>
        </w:tc>
        <w:tc>
          <w:tcPr>
            <w:tcW w:w="788" w:type="pct"/>
            <w:vAlign w:val="center"/>
          </w:tcPr>
          <w:p w14:paraId="50040AC8"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7"/>
                <w:attr w:name="Day" w:val="13"/>
                <w:attr w:name="IsLunarDate" w:val="False"/>
                <w:attr w:name="IsROCDate" w:val="False"/>
              </w:smartTagPr>
              <w:r w:rsidRPr="00BA6BF4">
                <w:rPr>
                  <w:sz w:val="18"/>
                  <w:szCs w:val="18"/>
                </w:rPr>
                <w:t>2000-7-13</w:t>
              </w:r>
            </w:smartTag>
          </w:p>
        </w:tc>
      </w:tr>
      <w:tr w:rsidR="008F4122" w:rsidRPr="00BA6BF4" w14:paraId="0FC9C342" w14:textId="77777777" w:rsidTr="00573A00">
        <w:tc>
          <w:tcPr>
            <w:tcW w:w="803" w:type="pct"/>
            <w:vAlign w:val="center"/>
          </w:tcPr>
          <w:p w14:paraId="18934762" w14:textId="77777777" w:rsidR="008F4122" w:rsidRPr="00BA6BF4" w:rsidRDefault="008F4122" w:rsidP="00573A00">
            <w:pPr>
              <w:autoSpaceDE w:val="0"/>
              <w:autoSpaceDN w:val="0"/>
              <w:adjustRightInd w:val="0"/>
              <w:rPr>
                <w:sz w:val="18"/>
                <w:szCs w:val="18"/>
              </w:rPr>
            </w:pPr>
            <w:r w:rsidRPr="00BA6BF4">
              <w:rPr>
                <w:sz w:val="18"/>
                <w:szCs w:val="18"/>
              </w:rPr>
              <w:t>UBS AG</w:t>
            </w:r>
          </w:p>
        </w:tc>
        <w:tc>
          <w:tcPr>
            <w:tcW w:w="735" w:type="pct"/>
            <w:vAlign w:val="center"/>
          </w:tcPr>
          <w:p w14:paraId="65262BAD" w14:textId="77777777" w:rsidR="008F4122" w:rsidRPr="00BA6BF4" w:rsidRDefault="008F4122" w:rsidP="00573A00">
            <w:pPr>
              <w:autoSpaceDE w:val="0"/>
              <w:autoSpaceDN w:val="0"/>
              <w:adjustRightInd w:val="0"/>
              <w:rPr>
                <w:sz w:val="18"/>
                <w:szCs w:val="18"/>
              </w:rPr>
            </w:pPr>
            <w:r w:rsidRPr="00BA6BF4">
              <w:rPr>
                <w:sz w:val="18"/>
                <w:szCs w:val="18"/>
              </w:rPr>
              <w:t>NTT DOCOMO</w:t>
            </w:r>
          </w:p>
        </w:tc>
        <w:tc>
          <w:tcPr>
            <w:tcW w:w="756" w:type="pct"/>
            <w:vAlign w:val="center"/>
          </w:tcPr>
          <w:p w14:paraId="04668B14" w14:textId="77777777" w:rsidR="008F4122" w:rsidRPr="00BA6BF4" w:rsidRDefault="008F4122" w:rsidP="00573A00">
            <w:pPr>
              <w:autoSpaceDE w:val="0"/>
              <w:autoSpaceDN w:val="0"/>
              <w:adjustRightInd w:val="0"/>
              <w:rPr>
                <w:sz w:val="18"/>
                <w:szCs w:val="18"/>
              </w:rPr>
            </w:pPr>
            <w:r w:rsidRPr="00BA6BF4">
              <w:rPr>
                <w:sz w:val="18"/>
                <w:szCs w:val="18"/>
              </w:rPr>
              <w:t>13.2</w:t>
            </w:r>
          </w:p>
        </w:tc>
        <w:tc>
          <w:tcPr>
            <w:tcW w:w="534" w:type="pct"/>
            <w:vAlign w:val="center"/>
          </w:tcPr>
          <w:p w14:paraId="6CF24213"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7</w:t>
            </w:r>
            <w:r w:rsidRPr="00BA6BF4">
              <w:rPr>
                <w:rFonts w:ascii="宋体" w:hAnsi="宋体" w:hint="eastAsia"/>
                <w:sz w:val="18"/>
                <w:szCs w:val="18"/>
              </w:rPr>
              <w:t>个月</w:t>
            </w:r>
          </w:p>
        </w:tc>
        <w:tc>
          <w:tcPr>
            <w:tcW w:w="672" w:type="pct"/>
            <w:vAlign w:val="center"/>
          </w:tcPr>
          <w:p w14:paraId="24DDBB81" w14:textId="77777777" w:rsidR="008F4122" w:rsidRPr="00BA6BF4" w:rsidRDefault="008F4122" w:rsidP="00573A00">
            <w:pPr>
              <w:autoSpaceDE w:val="0"/>
              <w:autoSpaceDN w:val="0"/>
              <w:adjustRightInd w:val="0"/>
              <w:rPr>
                <w:sz w:val="18"/>
                <w:szCs w:val="18"/>
              </w:rPr>
            </w:pPr>
            <w:r w:rsidRPr="00BA6BF4">
              <w:rPr>
                <w:sz w:val="18"/>
                <w:szCs w:val="18"/>
              </w:rPr>
              <w:t>5.00%</w:t>
            </w:r>
          </w:p>
        </w:tc>
        <w:tc>
          <w:tcPr>
            <w:tcW w:w="712" w:type="pct"/>
            <w:vAlign w:val="center"/>
          </w:tcPr>
          <w:p w14:paraId="696F0D37" w14:textId="77777777" w:rsidR="008F4122" w:rsidRPr="00BA6BF4" w:rsidRDefault="008F4122" w:rsidP="00573A00">
            <w:pPr>
              <w:autoSpaceDE w:val="0"/>
              <w:autoSpaceDN w:val="0"/>
              <w:adjustRightInd w:val="0"/>
              <w:rPr>
                <w:sz w:val="18"/>
                <w:szCs w:val="18"/>
              </w:rPr>
            </w:pPr>
            <w:r w:rsidRPr="00BA6BF4">
              <w:rPr>
                <w:sz w:val="18"/>
                <w:szCs w:val="18"/>
              </w:rPr>
              <w:t>2,206,000</w:t>
            </w:r>
          </w:p>
        </w:tc>
        <w:tc>
          <w:tcPr>
            <w:tcW w:w="788" w:type="pct"/>
            <w:vAlign w:val="center"/>
          </w:tcPr>
          <w:p w14:paraId="645AF083"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6"/>
                <w:attr w:name="Day" w:val="29"/>
                <w:attr w:name="IsLunarDate" w:val="False"/>
                <w:attr w:name="IsROCDate" w:val="False"/>
              </w:smartTagPr>
              <w:r w:rsidRPr="00BA6BF4">
                <w:rPr>
                  <w:sz w:val="18"/>
                  <w:szCs w:val="18"/>
                </w:rPr>
                <w:t>2000-6-29</w:t>
              </w:r>
            </w:smartTag>
          </w:p>
        </w:tc>
      </w:tr>
      <w:tr w:rsidR="008F4122" w:rsidRPr="00BA6BF4" w14:paraId="332AB82F" w14:textId="77777777" w:rsidTr="00573A00">
        <w:tc>
          <w:tcPr>
            <w:tcW w:w="803" w:type="pct"/>
            <w:vAlign w:val="center"/>
          </w:tcPr>
          <w:p w14:paraId="4A548382"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瑞典出口信用银行</w:t>
            </w:r>
          </w:p>
        </w:tc>
        <w:tc>
          <w:tcPr>
            <w:tcW w:w="735" w:type="pct"/>
            <w:vAlign w:val="center"/>
          </w:tcPr>
          <w:p w14:paraId="2745E579"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丰田汽车</w:t>
            </w:r>
          </w:p>
        </w:tc>
        <w:tc>
          <w:tcPr>
            <w:tcW w:w="756" w:type="pct"/>
            <w:vAlign w:val="center"/>
          </w:tcPr>
          <w:p w14:paraId="3F81253B" w14:textId="77777777" w:rsidR="008F4122" w:rsidRPr="00BA6BF4" w:rsidRDefault="008F4122" w:rsidP="00573A00">
            <w:pPr>
              <w:autoSpaceDE w:val="0"/>
              <w:autoSpaceDN w:val="0"/>
              <w:adjustRightInd w:val="0"/>
              <w:rPr>
                <w:sz w:val="18"/>
                <w:szCs w:val="18"/>
              </w:rPr>
            </w:pPr>
            <w:r w:rsidRPr="00BA6BF4">
              <w:rPr>
                <w:sz w:val="18"/>
                <w:szCs w:val="18"/>
              </w:rPr>
              <w:t>31.2</w:t>
            </w:r>
          </w:p>
        </w:tc>
        <w:tc>
          <w:tcPr>
            <w:tcW w:w="534" w:type="pct"/>
            <w:vAlign w:val="center"/>
          </w:tcPr>
          <w:p w14:paraId="587E0CD8"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4</w:t>
            </w:r>
            <w:r w:rsidRPr="00BA6BF4">
              <w:rPr>
                <w:rFonts w:ascii="宋体" w:hAnsi="宋体" w:hint="eastAsia"/>
                <w:sz w:val="18"/>
                <w:szCs w:val="18"/>
              </w:rPr>
              <w:t>个月</w:t>
            </w:r>
          </w:p>
        </w:tc>
        <w:tc>
          <w:tcPr>
            <w:tcW w:w="672" w:type="pct"/>
            <w:vAlign w:val="center"/>
          </w:tcPr>
          <w:p w14:paraId="76BF8E16" w14:textId="77777777" w:rsidR="008F4122" w:rsidRPr="00BA6BF4" w:rsidRDefault="008F4122" w:rsidP="00573A00">
            <w:pPr>
              <w:autoSpaceDE w:val="0"/>
              <w:autoSpaceDN w:val="0"/>
              <w:adjustRightInd w:val="0"/>
              <w:rPr>
                <w:sz w:val="18"/>
                <w:szCs w:val="18"/>
              </w:rPr>
            </w:pPr>
            <w:r w:rsidRPr="00BA6BF4">
              <w:rPr>
                <w:sz w:val="18"/>
                <w:szCs w:val="18"/>
              </w:rPr>
              <w:t>8.00%</w:t>
            </w:r>
          </w:p>
        </w:tc>
        <w:tc>
          <w:tcPr>
            <w:tcW w:w="712" w:type="pct"/>
            <w:vAlign w:val="center"/>
          </w:tcPr>
          <w:p w14:paraId="2DBAD71B" w14:textId="77777777" w:rsidR="008F4122" w:rsidRPr="00BA6BF4" w:rsidRDefault="008F4122" w:rsidP="00573A00">
            <w:pPr>
              <w:autoSpaceDE w:val="0"/>
              <w:autoSpaceDN w:val="0"/>
              <w:adjustRightInd w:val="0"/>
              <w:rPr>
                <w:sz w:val="18"/>
                <w:szCs w:val="18"/>
              </w:rPr>
            </w:pPr>
            <w:r w:rsidRPr="00BA6BF4">
              <w:rPr>
                <w:sz w:val="18"/>
                <w:szCs w:val="18"/>
              </w:rPr>
              <w:t>4,110</w:t>
            </w:r>
          </w:p>
        </w:tc>
        <w:tc>
          <w:tcPr>
            <w:tcW w:w="788" w:type="pct"/>
            <w:vAlign w:val="center"/>
          </w:tcPr>
          <w:p w14:paraId="73DAFD0C"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9"/>
                <w:attr w:name="Day" w:val="26"/>
                <w:attr w:name="IsLunarDate" w:val="False"/>
                <w:attr w:name="IsROCDate" w:val="False"/>
              </w:smartTagPr>
              <w:r w:rsidRPr="00BA6BF4">
                <w:rPr>
                  <w:sz w:val="18"/>
                  <w:szCs w:val="18"/>
                </w:rPr>
                <w:t>2000-9-26</w:t>
              </w:r>
            </w:smartTag>
          </w:p>
        </w:tc>
      </w:tr>
      <w:tr w:rsidR="008F4122" w:rsidRPr="00BA6BF4" w14:paraId="0D41A2A7" w14:textId="77777777" w:rsidTr="00573A00">
        <w:tc>
          <w:tcPr>
            <w:tcW w:w="803" w:type="pct"/>
            <w:vAlign w:val="center"/>
          </w:tcPr>
          <w:p w14:paraId="08E8C29D"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瑞典出口信用银行</w:t>
            </w:r>
          </w:p>
        </w:tc>
        <w:tc>
          <w:tcPr>
            <w:tcW w:w="735" w:type="pct"/>
            <w:vAlign w:val="center"/>
          </w:tcPr>
          <w:p w14:paraId="647EA4D9"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村田制作所</w:t>
            </w:r>
          </w:p>
        </w:tc>
        <w:tc>
          <w:tcPr>
            <w:tcW w:w="756" w:type="pct"/>
            <w:vAlign w:val="center"/>
          </w:tcPr>
          <w:p w14:paraId="6987124A" w14:textId="77777777" w:rsidR="008F4122" w:rsidRPr="00BA6BF4" w:rsidRDefault="008F4122" w:rsidP="00573A00">
            <w:pPr>
              <w:autoSpaceDE w:val="0"/>
              <w:autoSpaceDN w:val="0"/>
              <w:adjustRightInd w:val="0"/>
              <w:rPr>
                <w:sz w:val="18"/>
                <w:szCs w:val="18"/>
              </w:rPr>
            </w:pPr>
            <w:r w:rsidRPr="00BA6BF4">
              <w:rPr>
                <w:sz w:val="18"/>
                <w:szCs w:val="18"/>
              </w:rPr>
              <w:t>100.0</w:t>
            </w:r>
          </w:p>
        </w:tc>
        <w:tc>
          <w:tcPr>
            <w:tcW w:w="534" w:type="pct"/>
            <w:vAlign w:val="center"/>
          </w:tcPr>
          <w:p w14:paraId="7DD58B94"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6</w:t>
            </w:r>
            <w:r w:rsidRPr="00BA6BF4">
              <w:rPr>
                <w:rFonts w:ascii="宋体" w:hAnsi="宋体" w:hint="eastAsia"/>
                <w:sz w:val="18"/>
                <w:szCs w:val="18"/>
              </w:rPr>
              <w:t>个月</w:t>
            </w:r>
          </w:p>
        </w:tc>
        <w:tc>
          <w:tcPr>
            <w:tcW w:w="672" w:type="pct"/>
            <w:vAlign w:val="center"/>
          </w:tcPr>
          <w:p w14:paraId="04589FC9" w14:textId="77777777" w:rsidR="008F4122" w:rsidRPr="00BA6BF4" w:rsidRDefault="008F4122" w:rsidP="00573A00">
            <w:pPr>
              <w:autoSpaceDE w:val="0"/>
              <w:autoSpaceDN w:val="0"/>
              <w:adjustRightInd w:val="0"/>
              <w:rPr>
                <w:sz w:val="18"/>
                <w:szCs w:val="18"/>
              </w:rPr>
            </w:pPr>
            <w:r w:rsidRPr="00BA6BF4">
              <w:rPr>
                <w:sz w:val="18"/>
                <w:szCs w:val="18"/>
              </w:rPr>
              <w:t>10.00%</w:t>
            </w:r>
          </w:p>
        </w:tc>
        <w:tc>
          <w:tcPr>
            <w:tcW w:w="712" w:type="pct"/>
            <w:vAlign w:val="center"/>
          </w:tcPr>
          <w:p w14:paraId="56F68E9A" w14:textId="77777777" w:rsidR="008F4122" w:rsidRPr="00BA6BF4" w:rsidRDefault="008F4122" w:rsidP="00573A00">
            <w:pPr>
              <w:autoSpaceDE w:val="0"/>
              <w:autoSpaceDN w:val="0"/>
              <w:adjustRightInd w:val="0"/>
              <w:rPr>
                <w:sz w:val="18"/>
                <w:szCs w:val="18"/>
              </w:rPr>
            </w:pPr>
            <w:r w:rsidRPr="00BA6BF4">
              <w:rPr>
                <w:sz w:val="18"/>
                <w:szCs w:val="18"/>
              </w:rPr>
              <w:t>16,400</w:t>
            </w:r>
          </w:p>
        </w:tc>
        <w:tc>
          <w:tcPr>
            <w:tcW w:w="788" w:type="pct"/>
            <w:vAlign w:val="center"/>
          </w:tcPr>
          <w:p w14:paraId="4BC986B5"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7"/>
                <w:attr w:name="Day" w:val="24"/>
                <w:attr w:name="IsLunarDate" w:val="False"/>
                <w:attr w:name="IsROCDate" w:val="False"/>
              </w:smartTagPr>
              <w:r w:rsidRPr="00BA6BF4">
                <w:rPr>
                  <w:sz w:val="18"/>
                  <w:szCs w:val="18"/>
                </w:rPr>
                <w:t>2000-7-24</w:t>
              </w:r>
            </w:smartTag>
          </w:p>
        </w:tc>
      </w:tr>
      <w:tr w:rsidR="008F4122" w:rsidRPr="00BA6BF4" w14:paraId="0DA22C5D" w14:textId="77777777" w:rsidTr="00573A00">
        <w:tc>
          <w:tcPr>
            <w:tcW w:w="803" w:type="pct"/>
            <w:vAlign w:val="center"/>
          </w:tcPr>
          <w:p w14:paraId="2A098C6E"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JP</w:t>
            </w:r>
            <w:r w:rsidRPr="00BA6BF4">
              <w:rPr>
                <w:rFonts w:ascii="宋体" w:hAnsi="宋体" w:hint="eastAsia"/>
                <w:sz w:val="18"/>
                <w:szCs w:val="18"/>
              </w:rPr>
              <w:t>摩根</w:t>
            </w:r>
          </w:p>
        </w:tc>
        <w:tc>
          <w:tcPr>
            <w:tcW w:w="735" w:type="pct"/>
            <w:vAlign w:val="center"/>
          </w:tcPr>
          <w:p w14:paraId="4B5D0E6F"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东京电力</w:t>
            </w:r>
          </w:p>
        </w:tc>
        <w:tc>
          <w:tcPr>
            <w:tcW w:w="756" w:type="pct"/>
            <w:vAlign w:val="center"/>
          </w:tcPr>
          <w:p w14:paraId="4BFF9430" w14:textId="77777777" w:rsidR="008F4122" w:rsidRPr="00BA6BF4" w:rsidRDefault="008F4122" w:rsidP="00573A00">
            <w:pPr>
              <w:autoSpaceDE w:val="0"/>
              <w:autoSpaceDN w:val="0"/>
              <w:adjustRightInd w:val="0"/>
              <w:rPr>
                <w:sz w:val="18"/>
                <w:szCs w:val="18"/>
              </w:rPr>
            </w:pPr>
            <w:r w:rsidRPr="00BA6BF4">
              <w:rPr>
                <w:sz w:val="18"/>
                <w:szCs w:val="18"/>
              </w:rPr>
              <w:t>30.0</w:t>
            </w:r>
          </w:p>
        </w:tc>
        <w:tc>
          <w:tcPr>
            <w:tcW w:w="534" w:type="pct"/>
            <w:vAlign w:val="center"/>
          </w:tcPr>
          <w:p w14:paraId="26E4C371"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1</w:t>
            </w:r>
            <w:r w:rsidRPr="00BA6BF4">
              <w:rPr>
                <w:rFonts w:ascii="宋体" w:hAnsi="宋体" w:hint="eastAsia"/>
                <w:sz w:val="18"/>
                <w:szCs w:val="18"/>
              </w:rPr>
              <w:t>年</w:t>
            </w:r>
          </w:p>
        </w:tc>
        <w:tc>
          <w:tcPr>
            <w:tcW w:w="672" w:type="pct"/>
            <w:vAlign w:val="center"/>
          </w:tcPr>
          <w:p w14:paraId="312A7CE6" w14:textId="77777777" w:rsidR="008F4122" w:rsidRPr="00BA6BF4" w:rsidRDefault="008F4122" w:rsidP="00573A00">
            <w:pPr>
              <w:autoSpaceDE w:val="0"/>
              <w:autoSpaceDN w:val="0"/>
              <w:adjustRightInd w:val="0"/>
              <w:rPr>
                <w:sz w:val="18"/>
                <w:szCs w:val="18"/>
              </w:rPr>
            </w:pPr>
            <w:r w:rsidRPr="00BA6BF4">
              <w:rPr>
                <w:sz w:val="18"/>
                <w:szCs w:val="18"/>
              </w:rPr>
              <w:t>7.50%</w:t>
            </w:r>
          </w:p>
        </w:tc>
        <w:tc>
          <w:tcPr>
            <w:tcW w:w="712" w:type="pct"/>
            <w:vAlign w:val="center"/>
          </w:tcPr>
          <w:p w14:paraId="46065BE5" w14:textId="77777777" w:rsidR="008F4122" w:rsidRPr="00BA6BF4" w:rsidRDefault="008F4122" w:rsidP="00573A00">
            <w:pPr>
              <w:autoSpaceDE w:val="0"/>
              <w:autoSpaceDN w:val="0"/>
              <w:adjustRightInd w:val="0"/>
              <w:rPr>
                <w:sz w:val="18"/>
                <w:szCs w:val="18"/>
              </w:rPr>
            </w:pPr>
            <w:r w:rsidRPr="00BA6BF4">
              <w:rPr>
                <w:sz w:val="18"/>
                <w:szCs w:val="18"/>
              </w:rPr>
              <w:t>2,335</w:t>
            </w:r>
          </w:p>
        </w:tc>
        <w:tc>
          <w:tcPr>
            <w:tcW w:w="788" w:type="pct"/>
            <w:vAlign w:val="center"/>
          </w:tcPr>
          <w:p w14:paraId="7D003FF2"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2"/>
                <w:attr w:name="Day" w:val="28"/>
                <w:attr w:name="IsLunarDate" w:val="False"/>
                <w:attr w:name="IsROCDate" w:val="False"/>
              </w:smartTagPr>
              <w:r w:rsidRPr="00BA6BF4">
                <w:rPr>
                  <w:sz w:val="18"/>
                  <w:szCs w:val="18"/>
                </w:rPr>
                <w:t>2000-2-28</w:t>
              </w:r>
            </w:smartTag>
          </w:p>
        </w:tc>
      </w:tr>
      <w:tr w:rsidR="008F4122" w:rsidRPr="00BA6BF4" w14:paraId="01EB3124" w14:textId="77777777" w:rsidTr="00573A00">
        <w:tc>
          <w:tcPr>
            <w:tcW w:w="803" w:type="pct"/>
            <w:vAlign w:val="center"/>
          </w:tcPr>
          <w:p w14:paraId="218CB298"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挪威输出金融公社</w:t>
            </w:r>
          </w:p>
        </w:tc>
        <w:tc>
          <w:tcPr>
            <w:tcW w:w="735" w:type="pct"/>
            <w:vAlign w:val="center"/>
          </w:tcPr>
          <w:p w14:paraId="2DAC3DA6" w14:textId="77777777" w:rsidR="008F4122" w:rsidRPr="00BA6BF4" w:rsidRDefault="008F4122" w:rsidP="00573A00">
            <w:pPr>
              <w:autoSpaceDE w:val="0"/>
              <w:autoSpaceDN w:val="0"/>
              <w:adjustRightInd w:val="0"/>
              <w:rPr>
                <w:sz w:val="18"/>
                <w:szCs w:val="18"/>
              </w:rPr>
            </w:pPr>
            <w:r w:rsidRPr="00BA6BF4">
              <w:rPr>
                <w:sz w:val="18"/>
                <w:szCs w:val="18"/>
              </w:rPr>
              <w:t>TDK</w:t>
            </w:r>
          </w:p>
        </w:tc>
        <w:tc>
          <w:tcPr>
            <w:tcW w:w="756" w:type="pct"/>
            <w:vAlign w:val="center"/>
          </w:tcPr>
          <w:p w14:paraId="43C5C745" w14:textId="77777777" w:rsidR="008F4122" w:rsidRPr="00BA6BF4" w:rsidRDefault="008F4122" w:rsidP="00573A00">
            <w:pPr>
              <w:autoSpaceDE w:val="0"/>
              <w:autoSpaceDN w:val="0"/>
              <w:adjustRightInd w:val="0"/>
              <w:rPr>
                <w:sz w:val="18"/>
                <w:szCs w:val="18"/>
              </w:rPr>
            </w:pPr>
            <w:r w:rsidRPr="00BA6BF4">
              <w:rPr>
                <w:sz w:val="18"/>
                <w:szCs w:val="18"/>
              </w:rPr>
              <w:t>38.2</w:t>
            </w:r>
          </w:p>
        </w:tc>
        <w:tc>
          <w:tcPr>
            <w:tcW w:w="534" w:type="pct"/>
            <w:vAlign w:val="center"/>
          </w:tcPr>
          <w:p w14:paraId="157A843A"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3</w:t>
            </w:r>
            <w:r w:rsidRPr="00BA6BF4">
              <w:rPr>
                <w:rFonts w:ascii="宋体" w:hAnsi="宋体" w:hint="eastAsia"/>
                <w:sz w:val="18"/>
                <w:szCs w:val="18"/>
              </w:rPr>
              <w:t>个月</w:t>
            </w:r>
          </w:p>
        </w:tc>
        <w:tc>
          <w:tcPr>
            <w:tcW w:w="672" w:type="pct"/>
            <w:vAlign w:val="center"/>
          </w:tcPr>
          <w:p w14:paraId="182F569A" w14:textId="77777777" w:rsidR="008F4122" w:rsidRPr="00BA6BF4" w:rsidRDefault="008F4122" w:rsidP="00573A00">
            <w:pPr>
              <w:autoSpaceDE w:val="0"/>
              <w:autoSpaceDN w:val="0"/>
              <w:adjustRightInd w:val="0"/>
              <w:rPr>
                <w:sz w:val="18"/>
                <w:szCs w:val="18"/>
              </w:rPr>
            </w:pPr>
            <w:r w:rsidRPr="00BA6BF4">
              <w:rPr>
                <w:sz w:val="18"/>
                <w:szCs w:val="18"/>
              </w:rPr>
              <w:t>7.00%</w:t>
            </w:r>
          </w:p>
        </w:tc>
        <w:tc>
          <w:tcPr>
            <w:tcW w:w="712" w:type="pct"/>
            <w:vAlign w:val="center"/>
          </w:tcPr>
          <w:p w14:paraId="6B1A07E4" w14:textId="77777777" w:rsidR="008F4122" w:rsidRPr="00BA6BF4" w:rsidRDefault="008F4122" w:rsidP="00573A00">
            <w:pPr>
              <w:autoSpaceDE w:val="0"/>
              <w:autoSpaceDN w:val="0"/>
              <w:adjustRightInd w:val="0"/>
              <w:rPr>
                <w:sz w:val="18"/>
                <w:szCs w:val="18"/>
              </w:rPr>
            </w:pPr>
            <w:r w:rsidRPr="00BA6BF4">
              <w:rPr>
                <w:sz w:val="18"/>
                <w:szCs w:val="18"/>
              </w:rPr>
              <w:t>10,120</w:t>
            </w:r>
          </w:p>
        </w:tc>
        <w:tc>
          <w:tcPr>
            <w:tcW w:w="788" w:type="pct"/>
            <w:vAlign w:val="center"/>
          </w:tcPr>
          <w:p w14:paraId="60ADADA3"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11"/>
                <w:attr w:name="Day" w:val="20"/>
                <w:attr w:name="IsLunarDate" w:val="False"/>
                <w:attr w:name="IsROCDate" w:val="False"/>
              </w:smartTagPr>
              <w:r w:rsidRPr="00BA6BF4">
                <w:rPr>
                  <w:sz w:val="18"/>
                  <w:szCs w:val="18"/>
                </w:rPr>
                <w:t>2000-11-20</w:t>
              </w:r>
            </w:smartTag>
          </w:p>
        </w:tc>
      </w:tr>
      <w:tr w:rsidR="008F4122" w:rsidRPr="00BA6BF4" w14:paraId="6232A369" w14:textId="77777777" w:rsidTr="00573A00">
        <w:tc>
          <w:tcPr>
            <w:tcW w:w="803" w:type="pct"/>
            <w:vAlign w:val="center"/>
          </w:tcPr>
          <w:p w14:paraId="36C8ED46"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挪威输出金融公社</w:t>
            </w:r>
          </w:p>
        </w:tc>
        <w:tc>
          <w:tcPr>
            <w:tcW w:w="735" w:type="pct"/>
            <w:vAlign w:val="center"/>
          </w:tcPr>
          <w:p w14:paraId="55435CF0" w14:textId="77777777" w:rsidR="008F4122" w:rsidRPr="00BA6BF4" w:rsidRDefault="008F4122" w:rsidP="00573A00">
            <w:pPr>
              <w:autoSpaceDE w:val="0"/>
              <w:autoSpaceDN w:val="0"/>
              <w:adjustRightInd w:val="0"/>
              <w:rPr>
                <w:sz w:val="18"/>
                <w:szCs w:val="18"/>
              </w:rPr>
            </w:pPr>
            <w:r w:rsidRPr="00BA6BF4">
              <w:rPr>
                <w:sz w:val="18"/>
                <w:szCs w:val="18"/>
              </w:rPr>
              <w:t>HOYA</w:t>
            </w:r>
          </w:p>
        </w:tc>
        <w:tc>
          <w:tcPr>
            <w:tcW w:w="756" w:type="pct"/>
            <w:vAlign w:val="center"/>
          </w:tcPr>
          <w:p w14:paraId="1451511C" w14:textId="77777777" w:rsidR="008F4122" w:rsidRPr="00BA6BF4" w:rsidRDefault="008F4122" w:rsidP="00573A00">
            <w:pPr>
              <w:autoSpaceDE w:val="0"/>
              <w:autoSpaceDN w:val="0"/>
              <w:adjustRightInd w:val="0"/>
              <w:rPr>
                <w:sz w:val="18"/>
                <w:szCs w:val="18"/>
              </w:rPr>
            </w:pPr>
            <w:r w:rsidRPr="00BA6BF4">
              <w:rPr>
                <w:sz w:val="18"/>
                <w:szCs w:val="18"/>
              </w:rPr>
              <w:t>17.9</w:t>
            </w:r>
          </w:p>
        </w:tc>
        <w:tc>
          <w:tcPr>
            <w:tcW w:w="534" w:type="pct"/>
            <w:vAlign w:val="center"/>
          </w:tcPr>
          <w:p w14:paraId="0EA1648F"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3</w:t>
            </w:r>
            <w:r w:rsidRPr="00BA6BF4">
              <w:rPr>
                <w:rFonts w:ascii="宋体" w:hAnsi="宋体" w:hint="eastAsia"/>
                <w:sz w:val="18"/>
                <w:szCs w:val="18"/>
              </w:rPr>
              <w:t>个月</w:t>
            </w:r>
          </w:p>
        </w:tc>
        <w:tc>
          <w:tcPr>
            <w:tcW w:w="672" w:type="pct"/>
            <w:vAlign w:val="center"/>
          </w:tcPr>
          <w:p w14:paraId="609B7D11" w14:textId="77777777" w:rsidR="008F4122" w:rsidRPr="00BA6BF4" w:rsidRDefault="008F4122" w:rsidP="00573A00">
            <w:pPr>
              <w:autoSpaceDE w:val="0"/>
              <w:autoSpaceDN w:val="0"/>
              <w:adjustRightInd w:val="0"/>
              <w:rPr>
                <w:sz w:val="18"/>
                <w:szCs w:val="18"/>
              </w:rPr>
            </w:pPr>
            <w:r w:rsidRPr="00BA6BF4">
              <w:rPr>
                <w:sz w:val="18"/>
                <w:szCs w:val="18"/>
              </w:rPr>
              <w:t>7.00%</w:t>
            </w:r>
          </w:p>
        </w:tc>
        <w:tc>
          <w:tcPr>
            <w:tcW w:w="712" w:type="pct"/>
            <w:vAlign w:val="center"/>
          </w:tcPr>
          <w:p w14:paraId="4819DB14" w14:textId="77777777" w:rsidR="008F4122" w:rsidRPr="00BA6BF4" w:rsidRDefault="008F4122" w:rsidP="00573A00">
            <w:pPr>
              <w:autoSpaceDE w:val="0"/>
              <w:autoSpaceDN w:val="0"/>
              <w:adjustRightInd w:val="0"/>
              <w:rPr>
                <w:sz w:val="18"/>
                <w:szCs w:val="18"/>
              </w:rPr>
            </w:pPr>
            <w:r w:rsidRPr="00BA6BF4">
              <w:rPr>
                <w:sz w:val="18"/>
                <w:szCs w:val="18"/>
              </w:rPr>
              <w:t>8,640</w:t>
            </w:r>
          </w:p>
        </w:tc>
        <w:tc>
          <w:tcPr>
            <w:tcW w:w="788" w:type="pct"/>
            <w:vAlign w:val="center"/>
          </w:tcPr>
          <w:p w14:paraId="22F6694E"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11"/>
                <w:attr w:name="Day" w:val="21"/>
                <w:attr w:name="IsLunarDate" w:val="False"/>
                <w:attr w:name="IsROCDate" w:val="False"/>
              </w:smartTagPr>
              <w:r w:rsidRPr="00BA6BF4">
                <w:rPr>
                  <w:sz w:val="18"/>
                  <w:szCs w:val="18"/>
                </w:rPr>
                <w:t>2000-11-21</w:t>
              </w:r>
            </w:smartTag>
          </w:p>
        </w:tc>
      </w:tr>
      <w:tr w:rsidR="008F4122" w:rsidRPr="00BA6BF4" w14:paraId="5C64F977" w14:textId="77777777" w:rsidTr="00573A00">
        <w:tc>
          <w:tcPr>
            <w:tcW w:w="803" w:type="pct"/>
            <w:vAlign w:val="center"/>
          </w:tcPr>
          <w:p w14:paraId="4BB3D753"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东京三菱国际</w:t>
            </w:r>
          </w:p>
        </w:tc>
        <w:tc>
          <w:tcPr>
            <w:tcW w:w="735" w:type="pct"/>
            <w:vAlign w:val="center"/>
          </w:tcPr>
          <w:p w14:paraId="4D585F5F"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村田制作所</w:t>
            </w:r>
          </w:p>
        </w:tc>
        <w:tc>
          <w:tcPr>
            <w:tcW w:w="756" w:type="pct"/>
            <w:vAlign w:val="center"/>
          </w:tcPr>
          <w:p w14:paraId="524F9FA5" w14:textId="77777777" w:rsidR="008F4122" w:rsidRPr="00BA6BF4" w:rsidRDefault="008F4122" w:rsidP="00573A00">
            <w:pPr>
              <w:autoSpaceDE w:val="0"/>
              <w:autoSpaceDN w:val="0"/>
              <w:adjustRightInd w:val="0"/>
              <w:rPr>
                <w:sz w:val="18"/>
                <w:szCs w:val="18"/>
              </w:rPr>
            </w:pPr>
            <w:r w:rsidRPr="00BA6BF4">
              <w:rPr>
                <w:sz w:val="18"/>
                <w:szCs w:val="18"/>
              </w:rPr>
              <w:t>26.3</w:t>
            </w:r>
          </w:p>
        </w:tc>
        <w:tc>
          <w:tcPr>
            <w:tcW w:w="534" w:type="pct"/>
            <w:vAlign w:val="center"/>
          </w:tcPr>
          <w:p w14:paraId="53AC5881"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6</w:t>
            </w:r>
            <w:r w:rsidRPr="00BA6BF4">
              <w:rPr>
                <w:rFonts w:ascii="宋体" w:hAnsi="宋体" w:hint="eastAsia"/>
                <w:sz w:val="18"/>
                <w:szCs w:val="18"/>
              </w:rPr>
              <w:t>个月</w:t>
            </w:r>
          </w:p>
        </w:tc>
        <w:tc>
          <w:tcPr>
            <w:tcW w:w="672" w:type="pct"/>
            <w:vAlign w:val="center"/>
          </w:tcPr>
          <w:p w14:paraId="15CC255B" w14:textId="77777777" w:rsidR="008F4122" w:rsidRPr="00BA6BF4" w:rsidRDefault="008F4122" w:rsidP="00573A00">
            <w:pPr>
              <w:autoSpaceDE w:val="0"/>
              <w:autoSpaceDN w:val="0"/>
              <w:adjustRightInd w:val="0"/>
              <w:rPr>
                <w:sz w:val="18"/>
                <w:szCs w:val="18"/>
              </w:rPr>
            </w:pPr>
            <w:r w:rsidRPr="00BA6BF4">
              <w:rPr>
                <w:sz w:val="18"/>
                <w:szCs w:val="18"/>
              </w:rPr>
              <w:t>5.00%</w:t>
            </w:r>
          </w:p>
        </w:tc>
        <w:tc>
          <w:tcPr>
            <w:tcW w:w="712" w:type="pct"/>
            <w:vAlign w:val="center"/>
          </w:tcPr>
          <w:p w14:paraId="53C1DB64" w14:textId="77777777" w:rsidR="008F4122" w:rsidRPr="00BA6BF4" w:rsidRDefault="008F4122" w:rsidP="00573A00">
            <w:pPr>
              <w:autoSpaceDE w:val="0"/>
              <w:autoSpaceDN w:val="0"/>
              <w:adjustRightInd w:val="0"/>
              <w:rPr>
                <w:sz w:val="18"/>
                <w:szCs w:val="18"/>
              </w:rPr>
            </w:pPr>
            <w:r w:rsidRPr="00BA6BF4">
              <w:rPr>
                <w:sz w:val="18"/>
                <w:szCs w:val="18"/>
              </w:rPr>
              <w:t>12,790</w:t>
            </w:r>
          </w:p>
        </w:tc>
        <w:tc>
          <w:tcPr>
            <w:tcW w:w="788" w:type="pct"/>
            <w:vAlign w:val="center"/>
          </w:tcPr>
          <w:p w14:paraId="4F0A622B"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8"/>
                <w:attr w:name="Day" w:val="30"/>
                <w:attr w:name="IsLunarDate" w:val="False"/>
                <w:attr w:name="IsROCDate" w:val="False"/>
              </w:smartTagPr>
              <w:r w:rsidRPr="00BA6BF4">
                <w:rPr>
                  <w:sz w:val="18"/>
                  <w:szCs w:val="18"/>
                </w:rPr>
                <w:t>2000-8-30</w:t>
              </w:r>
            </w:smartTag>
          </w:p>
        </w:tc>
      </w:tr>
      <w:tr w:rsidR="008F4122" w:rsidRPr="00BA6BF4" w14:paraId="24044FA8" w14:textId="77777777" w:rsidTr="00573A00">
        <w:tc>
          <w:tcPr>
            <w:tcW w:w="803" w:type="pct"/>
            <w:vAlign w:val="center"/>
          </w:tcPr>
          <w:p w14:paraId="28C32F03"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德国银行</w:t>
            </w:r>
          </w:p>
        </w:tc>
        <w:tc>
          <w:tcPr>
            <w:tcW w:w="735" w:type="pct"/>
            <w:vAlign w:val="center"/>
          </w:tcPr>
          <w:p w14:paraId="62EF4554"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东京电力</w:t>
            </w:r>
          </w:p>
        </w:tc>
        <w:tc>
          <w:tcPr>
            <w:tcW w:w="756" w:type="pct"/>
            <w:vAlign w:val="center"/>
          </w:tcPr>
          <w:p w14:paraId="10438D0C" w14:textId="77777777" w:rsidR="008F4122" w:rsidRPr="00BA6BF4" w:rsidRDefault="008F4122" w:rsidP="00573A00">
            <w:pPr>
              <w:autoSpaceDE w:val="0"/>
              <w:autoSpaceDN w:val="0"/>
              <w:adjustRightInd w:val="0"/>
              <w:rPr>
                <w:sz w:val="18"/>
                <w:szCs w:val="18"/>
              </w:rPr>
            </w:pPr>
            <w:r w:rsidRPr="00BA6BF4">
              <w:rPr>
                <w:sz w:val="18"/>
                <w:szCs w:val="18"/>
              </w:rPr>
              <w:t>5.7</w:t>
            </w:r>
          </w:p>
        </w:tc>
        <w:tc>
          <w:tcPr>
            <w:tcW w:w="534" w:type="pct"/>
            <w:vAlign w:val="center"/>
          </w:tcPr>
          <w:p w14:paraId="0A86BD8F"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3</w:t>
            </w:r>
            <w:r w:rsidRPr="00BA6BF4">
              <w:rPr>
                <w:rFonts w:ascii="宋体" w:hAnsi="宋体" w:hint="eastAsia"/>
                <w:sz w:val="18"/>
                <w:szCs w:val="18"/>
              </w:rPr>
              <w:t>个月</w:t>
            </w:r>
          </w:p>
        </w:tc>
        <w:tc>
          <w:tcPr>
            <w:tcW w:w="672" w:type="pct"/>
            <w:vAlign w:val="center"/>
          </w:tcPr>
          <w:p w14:paraId="6E22D344" w14:textId="77777777" w:rsidR="008F4122" w:rsidRPr="00BA6BF4" w:rsidRDefault="008F4122" w:rsidP="00573A00">
            <w:pPr>
              <w:autoSpaceDE w:val="0"/>
              <w:autoSpaceDN w:val="0"/>
              <w:adjustRightInd w:val="0"/>
              <w:rPr>
                <w:sz w:val="18"/>
                <w:szCs w:val="18"/>
              </w:rPr>
            </w:pPr>
            <w:r w:rsidRPr="00BA6BF4">
              <w:rPr>
                <w:sz w:val="18"/>
                <w:szCs w:val="18"/>
              </w:rPr>
              <w:t>6.15%</w:t>
            </w:r>
          </w:p>
        </w:tc>
        <w:tc>
          <w:tcPr>
            <w:tcW w:w="712" w:type="pct"/>
            <w:vAlign w:val="center"/>
          </w:tcPr>
          <w:p w14:paraId="490FBA02" w14:textId="77777777" w:rsidR="008F4122" w:rsidRPr="00BA6BF4" w:rsidRDefault="008F4122" w:rsidP="00573A00">
            <w:pPr>
              <w:autoSpaceDE w:val="0"/>
              <w:autoSpaceDN w:val="0"/>
              <w:adjustRightInd w:val="0"/>
              <w:rPr>
                <w:sz w:val="18"/>
                <w:szCs w:val="18"/>
              </w:rPr>
            </w:pPr>
            <w:r w:rsidRPr="00BA6BF4">
              <w:rPr>
                <w:sz w:val="18"/>
                <w:szCs w:val="18"/>
              </w:rPr>
              <w:t>2,670</w:t>
            </w:r>
          </w:p>
        </w:tc>
        <w:tc>
          <w:tcPr>
            <w:tcW w:w="788" w:type="pct"/>
            <w:vAlign w:val="center"/>
          </w:tcPr>
          <w:p w14:paraId="7B5FC48D"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11"/>
                <w:attr w:name="Day" w:val="29"/>
                <w:attr w:name="IsLunarDate" w:val="False"/>
                <w:attr w:name="IsROCDate" w:val="False"/>
              </w:smartTagPr>
              <w:r w:rsidRPr="00BA6BF4">
                <w:rPr>
                  <w:sz w:val="18"/>
                  <w:szCs w:val="18"/>
                </w:rPr>
                <w:t>2000-11-29</w:t>
              </w:r>
            </w:smartTag>
          </w:p>
        </w:tc>
      </w:tr>
      <w:tr w:rsidR="008F4122" w:rsidRPr="00BA6BF4" w14:paraId="596FDFA4" w14:textId="77777777" w:rsidTr="00573A00">
        <w:tc>
          <w:tcPr>
            <w:tcW w:w="803" w:type="pct"/>
            <w:vAlign w:val="center"/>
          </w:tcPr>
          <w:p w14:paraId="5470B260"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德国商业银行</w:t>
            </w:r>
          </w:p>
        </w:tc>
        <w:tc>
          <w:tcPr>
            <w:tcW w:w="735" w:type="pct"/>
            <w:vAlign w:val="center"/>
          </w:tcPr>
          <w:p w14:paraId="0277FE9F" w14:textId="77777777" w:rsidR="008F4122" w:rsidRPr="00BA6BF4" w:rsidRDefault="008F4122" w:rsidP="00573A00">
            <w:pPr>
              <w:autoSpaceDE w:val="0"/>
              <w:autoSpaceDN w:val="0"/>
              <w:adjustRightInd w:val="0"/>
              <w:rPr>
                <w:sz w:val="18"/>
                <w:szCs w:val="18"/>
              </w:rPr>
            </w:pPr>
            <w:r w:rsidRPr="00BA6BF4">
              <w:rPr>
                <w:sz w:val="18"/>
                <w:szCs w:val="18"/>
              </w:rPr>
              <w:t>KYOCERA</w:t>
            </w:r>
          </w:p>
        </w:tc>
        <w:tc>
          <w:tcPr>
            <w:tcW w:w="756" w:type="pct"/>
            <w:vAlign w:val="center"/>
          </w:tcPr>
          <w:p w14:paraId="506FC2E6" w14:textId="77777777" w:rsidR="008F4122" w:rsidRPr="00BA6BF4" w:rsidRDefault="008F4122" w:rsidP="00573A00">
            <w:pPr>
              <w:autoSpaceDE w:val="0"/>
              <w:autoSpaceDN w:val="0"/>
              <w:adjustRightInd w:val="0"/>
              <w:rPr>
                <w:sz w:val="18"/>
                <w:szCs w:val="18"/>
              </w:rPr>
            </w:pPr>
            <w:r w:rsidRPr="00BA6BF4">
              <w:rPr>
                <w:sz w:val="18"/>
                <w:szCs w:val="18"/>
              </w:rPr>
              <w:t>5.5</w:t>
            </w:r>
          </w:p>
        </w:tc>
        <w:tc>
          <w:tcPr>
            <w:tcW w:w="534" w:type="pct"/>
            <w:vAlign w:val="center"/>
          </w:tcPr>
          <w:p w14:paraId="6A94C0AE"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4</w:t>
            </w:r>
            <w:r w:rsidRPr="00BA6BF4">
              <w:rPr>
                <w:rFonts w:ascii="宋体" w:hAnsi="宋体" w:hint="eastAsia"/>
                <w:sz w:val="18"/>
                <w:szCs w:val="18"/>
              </w:rPr>
              <w:t>个月</w:t>
            </w:r>
          </w:p>
        </w:tc>
        <w:tc>
          <w:tcPr>
            <w:tcW w:w="672" w:type="pct"/>
            <w:vAlign w:val="center"/>
          </w:tcPr>
          <w:p w14:paraId="67B0BCDC" w14:textId="77777777" w:rsidR="008F4122" w:rsidRPr="00BA6BF4" w:rsidRDefault="008F4122" w:rsidP="00573A00">
            <w:pPr>
              <w:autoSpaceDE w:val="0"/>
              <w:autoSpaceDN w:val="0"/>
              <w:adjustRightInd w:val="0"/>
              <w:rPr>
                <w:sz w:val="18"/>
                <w:szCs w:val="18"/>
              </w:rPr>
            </w:pPr>
            <w:r w:rsidRPr="00BA6BF4">
              <w:rPr>
                <w:sz w:val="18"/>
                <w:szCs w:val="18"/>
              </w:rPr>
              <w:t>10-20%</w:t>
            </w:r>
          </w:p>
        </w:tc>
        <w:tc>
          <w:tcPr>
            <w:tcW w:w="712" w:type="pct"/>
            <w:vAlign w:val="center"/>
          </w:tcPr>
          <w:p w14:paraId="024A221C" w14:textId="77777777" w:rsidR="008F4122" w:rsidRPr="00BA6BF4" w:rsidRDefault="008F4122" w:rsidP="00573A00">
            <w:pPr>
              <w:autoSpaceDE w:val="0"/>
              <w:autoSpaceDN w:val="0"/>
              <w:adjustRightInd w:val="0"/>
              <w:rPr>
                <w:sz w:val="18"/>
                <w:szCs w:val="18"/>
              </w:rPr>
            </w:pPr>
            <w:r w:rsidRPr="00BA6BF4">
              <w:rPr>
                <w:sz w:val="18"/>
                <w:szCs w:val="18"/>
              </w:rPr>
              <w:t>13,460</w:t>
            </w:r>
          </w:p>
        </w:tc>
        <w:tc>
          <w:tcPr>
            <w:tcW w:w="788" w:type="pct"/>
            <w:vAlign w:val="center"/>
          </w:tcPr>
          <w:p w14:paraId="710B4C02"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10"/>
                <w:attr w:name="Day" w:val="30"/>
                <w:attr w:name="IsLunarDate" w:val="False"/>
                <w:attr w:name="IsROCDate" w:val="False"/>
              </w:smartTagPr>
              <w:r w:rsidRPr="00BA6BF4">
                <w:rPr>
                  <w:sz w:val="18"/>
                  <w:szCs w:val="18"/>
                </w:rPr>
                <w:t>2000-10-30</w:t>
              </w:r>
            </w:smartTag>
          </w:p>
        </w:tc>
      </w:tr>
      <w:tr w:rsidR="008F4122" w:rsidRPr="00BA6BF4" w14:paraId="1D802292" w14:textId="77777777" w:rsidTr="00573A00">
        <w:tc>
          <w:tcPr>
            <w:tcW w:w="803" w:type="pct"/>
            <w:vAlign w:val="center"/>
          </w:tcPr>
          <w:p w14:paraId="33E36B2C" w14:textId="77777777" w:rsidR="008F4122" w:rsidRPr="00BA6BF4" w:rsidRDefault="008F4122" w:rsidP="00573A00">
            <w:pPr>
              <w:autoSpaceDE w:val="0"/>
              <w:autoSpaceDN w:val="0"/>
              <w:adjustRightInd w:val="0"/>
              <w:rPr>
                <w:sz w:val="18"/>
                <w:szCs w:val="18"/>
              </w:rPr>
            </w:pPr>
            <w:r w:rsidRPr="00BA6BF4">
              <w:rPr>
                <w:sz w:val="18"/>
                <w:szCs w:val="18"/>
              </w:rPr>
              <w:t>NIB Capital Bank</w:t>
            </w:r>
          </w:p>
        </w:tc>
        <w:tc>
          <w:tcPr>
            <w:tcW w:w="735" w:type="pct"/>
            <w:vAlign w:val="center"/>
          </w:tcPr>
          <w:p w14:paraId="36935399"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三和银行</w:t>
            </w:r>
          </w:p>
        </w:tc>
        <w:tc>
          <w:tcPr>
            <w:tcW w:w="756" w:type="pct"/>
            <w:vAlign w:val="center"/>
          </w:tcPr>
          <w:p w14:paraId="4CFADB8A" w14:textId="77777777" w:rsidR="008F4122" w:rsidRPr="00BA6BF4" w:rsidRDefault="008F4122" w:rsidP="00573A00">
            <w:pPr>
              <w:autoSpaceDE w:val="0"/>
              <w:autoSpaceDN w:val="0"/>
              <w:adjustRightInd w:val="0"/>
              <w:rPr>
                <w:sz w:val="18"/>
                <w:szCs w:val="18"/>
              </w:rPr>
            </w:pPr>
            <w:r w:rsidRPr="00BA6BF4">
              <w:rPr>
                <w:sz w:val="18"/>
                <w:szCs w:val="18"/>
              </w:rPr>
              <w:t>27.1</w:t>
            </w:r>
          </w:p>
        </w:tc>
        <w:tc>
          <w:tcPr>
            <w:tcW w:w="534" w:type="pct"/>
            <w:vAlign w:val="center"/>
          </w:tcPr>
          <w:p w14:paraId="4EC5177F"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3</w:t>
            </w:r>
            <w:r w:rsidRPr="00BA6BF4">
              <w:rPr>
                <w:rFonts w:ascii="宋体" w:hAnsi="宋体" w:hint="eastAsia"/>
                <w:sz w:val="18"/>
                <w:szCs w:val="18"/>
              </w:rPr>
              <w:t>个月</w:t>
            </w:r>
          </w:p>
        </w:tc>
        <w:tc>
          <w:tcPr>
            <w:tcW w:w="672" w:type="pct"/>
            <w:vAlign w:val="center"/>
          </w:tcPr>
          <w:p w14:paraId="7A233F38" w14:textId="77777777" w:rsidR="008F4122" w:rsidRPr="00BA6BF4" w:rsidRDefault="008F4122" w:rsidP="00573A00">
            <w:pPr>
              <w:autoSpaceDE w:val="0"/>
              <w:autoSpaceDN w:val="0"/>
              <w:adjustRightInd w:val="0"/>
              <w:rPr>
                <w:sz w:val="18"/>
                <w:szCs w:val="18"/>
              </w:rPr>
            </w:pPr>
            <w:r w:rsidRPr="00BA6BF4">
              <w:rPr>
                <w:sz w:val="18"/>
                <w:szCs w:val="18"/>
              </w:rPr>
              <w:t>10.00%</w:t>
            </w:r>
          </w:p>
        </w:tc>
        <w:tc>
          <w:tcPr>
            <w:tcW w:w="712" w:type="pct"/>
            <w:vAlign w:val="center"/>
          </w:tcPr>
          <w:p w14:paraId="353D509D" w14:textId="77777777" w:rsidR="008F4122" w:rsidRPr="00BA6BF4" w:rsidRDefault="008F4122" w:rsidP="00573A00">
            <w:pPr>
              <w:autoSpaceDE w:val="0"/>
              <w:autoSpaceDN w:val="0"/>
              <w:adjustRightInd w:val="0"/>
              <w:rPr>
                <w:sz w:val="18"/>
                <w:szCs w:val="18"/>
              </w:rPr>
            </w:pPr>
            <w:r w:rsidRPr="00BA6BF4">
              <w:rPr>
                <w:sz w:val="18"/>
                <w:szCs w:val="18"/>
              </w:rPr>
              <w:t>895</w:t>
            </w:r>
          </w:p>
        </w:tc>
        <w:tc>
          <w:tcPr>
            <w:tcW w:w="788" w:type="pct"/>
            <w:vAlign w:val="center"/>
          </w:tcPr>
          <w:p w14:paraId="0C4A67E3"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11"/>
                <w:attr w:name="Day" w:val="10"/>
                <w:attr w:name="IsLunarDate" w:val="False"/>
                <w:attr w:name="IsROCDate" w:val="False"/>
              </w:smartTagPr>
              <w:r w:rsidRPr="00BA6BF4">
                <w:rPr>
                  <w:sz w:val="18"/>
                  <w:szCs w:val="18"/>
                </w:rPr>
                <w:t>2000-11-10</w:t>
              </w:r>
            </w:smartTag>
          </w:p>
        </w:tc>
      </w:tr>
      <w:tr w:rsidR="008F4122" w:rsidRPr="00BA6BF4" w14:paraId="74149913" w14:textId="77777777" w:rsidTr="00573A00">
        <w:tc>
          <w:tcPr>
            <w:tcW w:w="803" w:type="pct"/>
            <w:vAlign w:val="center"/>
          </w:tcPr>
          <w:p w14:paraId="57BAE9DE" w14:textId="77777777" w:rsidR="008F4122" w:rsidRPr="00BA6BF4" w:rsidRDefault="008F4122" w:rsidP="00573A00">
            <w:pPr>
              <w:autoSpaceDE w:val="0"/>
              <w:autoSpaceDN w:val="0"/>
              <w:adjustRightInd w:val="0"/>
              <w:rPr>
                <w:sz w:val="18"/>
                <w:szCs w:val="18"/>
              </w:rPr>
            </w:pPr>
            <w:r w:rsidRPr="00BA6BF4">
              <w:rPr>
                <w:sz w:val="18"/>
                <w:szCs w:val="18"/>
              </w:rPr>
              <w:t>NIB Capital Bank</w:t>
            </w:r>
          </w:p>
        </w:tc>
        <w:tc>
          <w:tcPr>
            <w:tcW w:w="735" w:type="pct"/>
            <w:vAlign w:val="center"/>
          </w:tcPr>
          <w:p w14:paraId="38AAD7A5"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日本电视局</w:t>
            </w:r>
          </w:p>
        </w:tc>
        <w:tc>
          <w:tcPr>
            <w:tcW w:w="756" w:type="pct"/>
            <w:vAlign w:val="center"/>
          </w:tcPr>
          <w:p w14:paraId="0D1FA14C" w14:textId="77777777" w:rsidR="008F4122" w:rsidRPr="00BA6BF4" w:rsidRDefault="008F4122" w:rsidP="00573A00">
            <w:pPr>
              <w:autoSpaceDE w:val="0"/>
              <w:autoSpaceDN w:val="0"/>
              <w:adjustRightInd w:val="0"/>
              <w:rPr>
                <w:sz w:val="18"/>
                <w:szCs w:val="18"/>
              </w:rPr>
            </w:pPr>
            <w:r w:rsidRPr="00BA6BF4">
              <w:rPr>
                <w:sz w:val="18"/>
                <w:szCs w:val="18"/>
              </w:rPr>
              <w:t>40.9</w:t>
            </w:r>
          </w:p>
        </w:tc>
        <w:tc>
          <w:tcPr>
            <w:tcW w:w="534" w:type="pct"/>
            <w:vAlign w:val="center"/>
          </w:tcPr>
          <w:p w14:paraId="117B979C"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4</w:t>
            </w:r>
            <w:r w:rsidRPr="00BA6BF4">
              <w:rPr>
                <w:rFonts w:ascii="宋体" w:hAnsi="宋体" w:hint="eastAsia"/>
                <w:sz w:val="18"/>
                <w:szCs w:val="18"/>
              </w:rPr>
              <w:t>个月</w:t>
            </w:r>
          </w:p>
        </w:tc>
        <w:tc>
          <w:tcPr>
            <w:tcW w:w="672" w:type="pct"/>
            <w:vAlign w:val="center"/>
          </w:tcPr>
          <w:p w14:paraId="4D73FB96" w14:textId="77777777" w:rsidR="008F4122" w:rsidRPr="00BA6BF4" w:rsidRDefault="008F4122" w:rsidP="00573A00">
            <w:pPr>
              <w:autoSpaceDE w:val="0"/>
              <w:autoSpaceDN w:val="0"/>
              <w:adjustRightInd w:val="0"/>
              <w:rPr>
                <w:sz w:val="18"/>
                <w:szCs w:val="18"/>
              </w:rPr>
            </w:pPr>
            <w:r w:rsidRPr="00BA6BF4">
              <w:rPr>
                <w:sz w:val="18"/>
                <w:szCs w:val="18"/>
              </w:rPr>
              <w:t>7.00%</w:t>
            </w:r>
          </w:p>
        </w:tc>
        <w:tc>
          <w:tcPr>
            <w:tcW w:w="712" w:type="pct"/>
            <w:vAlign w:val="center"/>
          </w:tcPr>
          <w:p w14:paraId="75878101" w14:textId="77777777" w:rsidR="008F4122" w:rsidRPr="00BA6BF4" w:rsidRDefault="008F4122" w:rsidP="00573A00">
            <w:pPr>
              <w:autoSpaceDE w:val="0"/>
              <w:autoSpaceDN w:val="0"/>
              <w:adjustRightInd w:val="0"/>
              <w:rPr>
                <w:sz w:val="18"/>
                <w:szCs w:val="18"/>
              </w:rPr>
            </w:pPr>
            <w:r w:rsidRPr="00BA6BF4">
              <w:rPr>
                <w:sz w:val="18"/>
                <w:szCs w:val="18"/>
              </w:rPr>
              <w:t>55,700</w:t>
            </w:r>
          </w:p>
        </w:tc>
        <w:tc>
          <w:tcPr>
            <w:tcW w:w="788" w:type="pct"/>
            <w:vAlign w:val="center"/>
          </w:tcPr>
          <w:p w14:paraId="6A6D098F"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9"/>
                <w:attr w:name="Day" w:val="21"/>
                <w:attr w:name="IsLunarDate" w:val="False"/>
                <w:attr w:name="IsROCDate" w:val="False"/>
              </w:smartTagPr>
              <w:r w:rsidRPr="00BA6BF4">
                <w:rPr>
                  <w:sz w:val="18"/>
                  <w:szCs w:val="18"/>
                </w:rPr>
                <w:t>2000-9-21</w:t>
              </w:r>
            </w:smartTag>
          </w:p>
        </w:tc>
      </w:tr>
      <w:tr w:rsidR="008F4122" w:rsidRPr="00BA6BF4" w14:paraId="3FA8769E" w14:textId="77777777" w:rsidTr="00573A00">
        <w:tc>
          <w:tcPr>
            <w:tcW w:w="803" w:type="pct"/>
            <w:tcBorders>
              <w:bottom w:val="single" w:sz="4" w:space="0" w:color="auto"/>
            </w:tcBorders>
            <w:vAlign w:val="center"/>
          </w:tcPr>
          <w:p w14:paraId="55415DD8"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瑞典出口信用银行</w:t>
            </w:r>
          </w:p>
        </w:tc>
        <w:tc>
          <w:tcPr>
            <w:tcW w:w="735" w:type="pct"/>
            <w:tcBorders>
              <w:bottom w:val="single" w:sz="4" w:space="0" w:color="auto"/>
            </w:tcBorders>
            <w:vAlign w:val="center"/>
          </w:tcPr>
          <w:p w14:paraId="47BA0FB2" w14:textId="77777777" w:rsidR="008F4122" w:rsidRPr="00BA6BF4" w:rsidRDefault="008F4122" w:rsidP="00573A00">
            <w:pPr>
              <w:autoSpaceDE w:val="0"/>
              <w:autoSpaceDN w:val="0"/>
              <w:adjustRightInd w:val="0"/>
              <w:rPr>
                <w:rFonts w:ascii="宋体" w:hAnsi="宋体"/>
                <w:sz w:val="18"/>
                <w:szCs w:val="18"/>
              </w:rPr>
            </w:pPr>
            <w:r w:rsidRPr="00BA6BF4">
              <w:rPr>
                <w:rFonts w:ascii="宋体" w:hAnsi="宋体" w:hint="eastAsia"/>
                <w:sz w:val="18"/>
                <w:szCs w:val="18"/>
              </w:rPr>
              <w:t>松下通信工业</w:t>
            </w:r>
          </w:p>
        </w:tc>
        <w:tc>
          <w:tcPr>
            <w:tcW w:w="756" w:type="pct"/>
            <w:tcBorders>
              <w:bottom w:val="single" w:sz="4" w:space="0" w:color="auto"/>
            </w:tcBorders>
            <w:vAlign w:val="center"/>
          </w:tcPr>
          <w:p w14:paraId="47F8EC8A" w14:textId="77777777" w:rsidR="008F4122" w:rsidRPr="00BA6BF4" w:rsidRDefault="008F4122" w:rsidP="00573A00">
            <w:pPr>
              <w:autoSpaceDE w:val="0"/>
              <w:autoSpaceDN w:val="0"/>
              <w:adjustRightInd w:val="0"/>
              <w:rPr>
                <w:sz w:val="18"/>
                <w:szCs w:val="18"/>
              </w:rPr>
            </w:pPr>
            <w:r w:rsidRPr="00BA6BF4">
              <w:rPr>
                <w:sz w:val="18"/>
                <w:szCs w:val="18"/>
              </w:rPr>
              <w:t>100.0</w:t>
            </w:r>
          </w:p>
        </w:tc>
        <w:tc>
          <w:tcPr>
            <w:tcW w:w="534" w:type="pct"/>
            <w:tcBorders>
              <w:bottom w:val="single" w:sz="4" w:space="0" w:color="auto"/>
            </w:tcBorders>
            <w:vAlign w:val="center"/>
          </w:tcPr>
          <w:p w14:paraId="339751E9" w14:textId="77777777" w:rsidR="008F4122" w:rsidRPr="00BA6BF4" w:rsidRDefault="008F4122" w:rsidP="00573A00">
            <w:pPr>
              <w:autoSpaceDE w:val="0"/>
              <w:autoSpaceDN w:val="0"/>
              <w:adjustRightInd w:val="0"/>
              <w:rPr>
                <w:rFonts w:ascii="宋体" w:hAnsi="宋体"/>
                <w:sz w:val="18"/>
                <w:szCs w:val="18"/>
              </w:rPr>
            </w:pPr>
            <w:r w:rsidRPr="00BA6BF4">
              <w:rPr>
                <w:sz w:val="18"/>
                <w:szCs w:val="18"/>
              </w:rPr>
              <w:t>6</w:t>
            </w:r>
            <w:r w:rsidRPr="00BA6BF4">
              <w:rPr>
                <w:rFonts w:ascii="宋体" w:hAnsi="宋体" w:hint="eastAsia"/>
                <w:sz w:val="18"/>
                <w:szCs w:val="18"/>
              </w:rPr>
              <w:t>个月</w:t>
            </w:r>
          </w:p>
        </w:tc>
        <w:tc>
          <w:tcPr>
            <w:tcW w:w="672" w:type="pct"/>
            <w:tcBorders>
              <w:bottom w:val="single" w:sz="4" w:space="0" w:color="auto"/>
            </w:tcBorders>
            <w:vAlign w:val="center"/>
          </w:tcPr>
          <w:p w14:paraId="4F2E2113" w14:textId="77777777" w:rsidR="008F4122" w:rsidRPr="00BA6BF4" w:rsidRDefault="008F4122" w:rsidP="00573A00">
            <w:pPr>
              <w:autoSpaceDE w:val="0"/>
              <w:autoSpaceDN w:val="0"/>
              <w:adjustRightInd w:val="0"/>
              <w:rPr>
                <w:sz w:val="18"/>
                <w:szCs w:val="18"/>
              </w:rPr>
            </w:pPr>
            <w:r w:rsidRPr="00BA6BF4">
              <w:rPr>
                <w:sz w:val="18"/>
                <w:szCs w:val="18"/>
              </w:rPr>
              <w:t>12.00%</w:t>
            </w:r>
          </w:p>
        </w:tc>
        <w:tc>
          <w:tcPr>
            <w:tcW w:w="712" w:type="pct"/>
            <w:tcBorders>
              <w:bottom w:val="single" w:sz="4" w:space="0" w:color="auto"/>
            </w:tcBorders>
            <w:vAlign w:val="center"/>
          </w:tcPr>
          <w:p w14:paraId="37B7B00B" w14:textId="77777777" w:rsidR="008F4122" w:rsidRPr="00BA6BF4" w:rsidRDefault="008F4122" w:rsidP="00573A00">
            <w:pPr>
              <w:autoSpaceDE w:val="0"/>
              <w:autoSpaceDN w:val="0"/>
              <w:adjustRightInd w:val="0"/>
              <w:rPr>
                <w:sz w:val="18"/>
                <w:szCs w:val="18"/>
              </w:rPr>
            </w:pPr>
            <w:r w:rsidRPr="00BA6BF4">
              <w:rPr>
                <w:sz w:val="18"/>
                <w:szCs w:val="18"/>
              </w:rPr>
              <w:t>12,800</w:t>
            </w:r>
          </w:p>
        </w:tc>
        <w:tc>
          <w:tcPr>
            <w:tcW w:w="788" w:type="pct"/>
            <w:tcBorders>
              <w:bottom w:val="single" w:sz="4" w:space="0" w:color="auto"/>
            </w:tcBorders>
            <w:vAlign w:val="center"/>
          </w:tcPr>
          <w:p w14:paraId="1CE95D2E" w14:textId="77777777" w:rsidR="008F4122" w:rsidRPr="00BA6BF4" w:rsidRDefault="008F4122" w:rsidP="00573A00">
            <w:pPr>
              <w:autoSpaceDE w:val="0"/>
              <w:autoSpaceDN w:val="0"/>
              <w:adjustRightInd w:val="0"/>
              <w:rPr>
                <w:sz w:val="18"/>
                <w:szCs w:val="18"/>
              </w:rPr>
            </w:pPr>
            <w:smartTag w:uri="urn:schemas-microsoft-com:office:smarttags" w:element="chsdate">
              <w:smartTagPr>
                <w:attr w:name="Year" w:val="2000"/>
                <w:attr w:name="Month" w:val="7"/>
                <w:attr w:name="Day" w:val="24"/>
                <w:attr w:name="IsLunarDate" w:val="False"/>
                <w:attr w:name="IsROCDate" w:val="False"/>
              </w:smartTagPr>
              <w:r w:rsidRPr="00BA6BF4">
                <w:rPr>
                  <w:sz w:val="18"/>
                  <w:szCs w:val="18"/>
                </w:rPr>
                <w:t>2000-7-24</w:t>
              </w:r>
            </w:smartTag>
          </w:p>
        </w:tc>
      </w:tr>
    </w:tbl>
    <w:p w14:paraId="3CDB5B1F" w14:textId="77777777" w:rsidR="008F4122" w:rsidRPr="00800D22" w:rsidRDefault="008F4122" w:rsidP="008F4122">
      <w:pPr>
        <w:spacing w:beforeLines="100" w:before="312" w:afterLines="100" w:after="312" w:line="440" w:lineRule="exact"/>
        <w:jc w:val="center"/>
        <w:rPr>
          <w:b/>
          <w:sz w:val="24"/>
        </w:rPr>
      </w:pPr>
      <w:r w:rsidRPr="00800D22">
        <w:rPr>
          <w:rFonts w:hint="eastAsia"/>
          <w:b/>
          <w:sz w:val="24"/>
        </w:rPr>
        <w:t xml:space="preserve"> </w:t>
      </w:r>
      <w:r w:rsidRPr="00800D22">
        <w:rPr>
          <w:rFonts w:hint="eastAsia"/>
          <w:b/>
          <w:sz w:val="24"/>
        </w:rPr>
        <w:t>二、可交换债券案例分析</w:t>
      </w:r>
    </w:p>
    <w:p w14:paraId="4643984A" w14:textId="77777777" w:rsidR="008F4122" w:rsidRPr="00800D22" w:rsidRDefault="008F4122" w:rsidP="008F4122">
      <w:pPr>
        <w:spacing w:line="440" w:lineRule="exact"/>
        <w:ind w:firstLineChars="199" w:firstLine="420"/>
        <w:rPr>
          <w:rFonts w:ascii="宋体" w:hAnsi="宋体" w:cs="宋体"/>
          <w:b/>
          <w:kern w:val="0"/>
          <w:szCs w:val="21"/>
        </w:rPr>
      </w:pPr>
      <w:bookmarkStart w:id="4" w:name="_Toc215412037"/>
      <w:r w:rsidRPr="00800D22">
        <w:rPr>
          <w:rFonts w:ascii="宋体" w:hAnsi="宋体" w:cs="宋体" w:hint="eastAsia"/>
          <w:b/>
          <w:kern w:val="0"/>
          <w:szCs w:val="21"/>
        </w:rPr>
        <w:t>（一）股权减持</w:t>
      </w:r>
      <w:bookmarkEnd w:id="4"/>
    </w:p>
    <w:p w14:paraId="2A363B88" w14:textId="77777777" w:rsidR="008F4122" w:rsidRPr="00800D22" w:rsidRDefault="008F4122" w:rsidP="008F4122">
      <w:pPr>
        <w:spacing w:line="440" w:lineRule="exact"/>
        <w:ind w:firstLineChars="200" w:firstLine="420"/>
        <w:rPr>
          <w:rFonts w:ascii="宋体" w:hAnsi="宋体" w:cs="宋体"/>
          <w:kern w:val="0"/>
          <w:szCs w:val="21"/>
        </w:rPr>
      </w:pPr>
      <w:smartTag w:uri="urn:schemas-microsoft-com:office:smarttags" w:element="chsdate">
        <w:smartTagPr>
          <w:attr w:name="Year" w:val="2008"/>
          <w:attr w:name="Month" w:val="5"/>
          <w:attr w:name="Day" w:val="13"/>
          <w:attr w:name="IsLunarDate" w:val="False"/>
          <w:attr w:name="IsROCDate" w:val="False"/>
        </w:smartTagPr>
        <w:r w:rsidRPr="00800D22">
          <w:rPr>
            <w:kern w:val="0"/>
            <w:szCs w:val="21"/>
          </w:rPr>
          <w:t>2008</w:t>
        </w:r>
        <w:r w:rsidRPr="00800D22">
          <w:rPr>
            <w:rFonts w:ascii="宋体" w:hAnsi="宋体" w:cs="宋体" w:hint="eastAsia"/>
            <w:kern w:val="0"/>
            <w:szCs w:val="21"/>
          </w:rPr>
          <w:t>年</w:t>
        </w:r>
        <w:r w:rsidRPr="00800D22">
          <w:rPr>
            <w:kern w:val="0"/>
            <w:szCs w:val="21"/>
          </w:rPr>
          <w:t>5</w:t>
        </w:r>
        <w:r w:rsidRPr="00800D22">
          <w:rPr>
            <w:rFonts w:ascii="宋体" w:hAnsi="宋体" w:cs="宋体" w:hint="eastAsia"/>
            <w:kern w:val="0"/>
            <w:szCs w:val="21"/>
          </w:rPr>
          <w:t>月</w:t>
        </w:r>
        <w:r w:rsidRPr="00800D22">
          <w:rPr>
            <w:kern w:val="0"/>
            <w:szCs w:val="21"/>
          </w:rPr>
          <w:t>13</w:t>
        </w:r>
        <w:r w:rsidRPr="00800D22">
          <w:rPr>
            <w:rFonts w:ascii="宋体" w:hAnsi="宋体" w:cs="宋体" w:hint="eastAsia"/>
            <w:kern w:val="0"/>
            <w:szCs w:val="21"/>
          </w:rPr>
          <w:t>日</w:t>
        </w:r>
      </w:smartTag>
      <w:r w:rsidRPr="00800D22">
        <w:rPr>
          <w:rFonts w:ascii="宋体" w:hAnsi="宋体" w:cs="宋体" w:hint="eastAsia"/>
          <w:kern w:val="0"/>
          <w:szCs w:val="21"/>
        </w:rPr>
        <w:t>，德国复兴信贷银行（</w:t>
      </w:r>
      <w:r w:rsidRPr="00800D22">
        <w:rPr>
          <w:kern w:val="0"/>
          <w:szCs w:val="21"/>
        </w:rPr>
        <w:t>KfW</w:t>
      </w:r>
      <w:r w:rsidRPr="00800D22">
        <w:rPr>
          <w:rFonts w:ascii="宋体" w:hAnsi="宋体" w:cs="宋体" w:hint="eastAsia"/>
          <w:kern w:val="0"/>
          <w:szCs w:val="21"/>
        </w:rPr>
        <w:t>）公告了可交换债券的发行。本期可交换债券主要是用于德国复兴信贷银行减持其持有的德国电信公司的股权，从而达到推进德国电信公司私有化进程的目的。</w:t>
      </w:r>
    </w:p>
    <w:p w14:paraId="7D96926A" w14:textId="77777777" w:rsidR="008F4122" w:rsidRPr="00800D22" w:rsidRDefault="008F4122" w:rsidP="008F4122">
      <w:pPr>
        <w:spacing w:line="440" w:lineRule="exact"/>
        <w:ind w:firstLineChars="200" w:firstLine="420"/>
        <w:rPr>
          <w:rFonts w:ascii="宋体" w:hAnsi="宋体" w:cs="宋体"/>
          <w:kern w:val="0"/>
          <w:szCs w:val="21"/>
        </w:rPr>
      </w:pPr>
      <w:r w:rsidRPr="00800D22">
        <w:rPr>
          <w:rFonts w:ascii="宋体" w:hAnsi="宋体" w:cs="宋体" w:hint="eastAsia"/>
          <w:kern w:val="0"/>
          <w:szCs w:val="21"/>
        </w:rPr>
        <w:t>本期可交换债券基本融资规模为</w:t>
      </w:r>
      <w:r w:rsidRPr="00800D22">
        <w:rPr>
          <w:kern w:val="0"/>
          <w:szCs w:val="21"/>
        </w:rPr>
        <w:t>30</w:t>
      </w:r>
      <w:r w:rsidRPr="00800D22">
        <w:rPr>
          <w:rFonts w:ascii="宋体" w:hAnsi="宋体" w:cs="宋体" w:hint="eastAsia"/>
          <w:kern w:val="0"/>
          <w:szCs w:val="21"/>
        </w:rPr>
        <w:t>亿欧元，</w:t>
      </w:r>
      <w:r w:rsidRPr="00800D22">
        <w:rPr>
          <w:rFonts w:hint="eastAsia"/>
          <w:szCs w:val="21"/>
        </w:rPr>
        <w:t>高</w:t>
      </w:r>
      <w:proofErr w:type="gramStart"/>
      <w:r w:rsidRPr="00800D22">
        <w:rPr>
          <w:rFonts w:hint="eastAsia"/>
          <w:szCs w:val="21"/>
        </w:rPr>
        <w:t>盛国际</w:t>
      </w:r>
      <w:proofErr w:type="gramEnd"/>
      <w:r w:rsidRPr="00800D22">
        <w:rPr>
          <w:rFonts w:hint="eastAsia"/>
          <w:szCs w:val="21"/>
        </w:rPr>
        <w:t>和摩根斯坦利作为本期债券发行</w:t>
      </w:r>
      <w:r w:rsidRPr="00800D22">
        <w:rPr>
          <w:rFonts w:ascii="宋体" w:hAnsi="宋体" w:cs="宋体" w:hint="eastAsia"/>
          <w:kern w:val="0"/>
          <w:szCs w:val="21"/>
        </w:rPr>
        <w:t>的</w:t>
      </w:r>
      <w:r w:rsidRPr="00800D22">
        <w:rPr>
          <w:rFonts w:ascii="宋体" w:hAnsi="宋体" w:cs="宋体"/>
          <w:kern w:val="0"/>
          <w:szCs w:val="21"/>
        </w:rPr>
        <w:t>联席</w:t>
      </w:r>
      <w:proofErr w:type="gramStart"/>
      <w:r w:rsidRPr="00800D22">
        <w:rPr>
          <w:rFonts w:ascii="宋体" w:hAnsi="宋体" w:cs="宋体"/>
          <w:kern w:val="0"/>
          <w:szCs w:val="21"/>
        </w:rPr>
        <w:t>帐簿</w:t>
      </w:r>
      <w:proofErr w:type="gramEnd"/>
      <w:r w:rsidRPr="00800D22">
        <w:rPr>
          <w:rFonts w:ascii="宋体" w:hAnsi="宋体" w:cs="宋体"/>
          <w:kern w:val="0"/>
          <w:szCs w:val="21"/>
        </w:rPr>
        <w:t>管理人</w:t>
      </w:r>
      <w:r w:rsidRPr="00800D22">
        <w:rPr>
          <w:rFonts w:ascii="宋体" w:hAnsi="宋体" w:cs="宋体" w:hint="eastAsia"/>
          <w:kern w:val="0"/>
          <w:szCs w:val="21"/>
        </w:rPr>
        <w:t>和联席牵头经理。发行条款中规定了主承销商可以通过行使“绿鞋期权”，使得融资规模增加到</w:t>
      </w:r>
      <w:r w:rsidRPr="00800D22">
        <w:rPr>
          <w:kern w:val="0"/>
          <w:szCs w:val="21"/>
        </w:rPr>
        <w:t>33</w:t>
      </w:r>
      <w:r w:rsidRPr="00800D22">
        <w:rPr>
          <w:rFonts w:ascii="宋体" w:hAnsi="宋体" w:cs="宋体" w:hint="eastAsia"/>
          <w:kern w:val="0"/>
          <w:szCs w:val="21"/>
        </w:rPr>
        <w:t>亿欧元。本期债券的期限为</w:t>
      </w:r>
      <w:r w:rsidRPr="00800D22">
        <w:rPr>
          <w:kern w:val="0"/>
          <w:szCs w:val="21"/>
        </w:rPr>
        <w:t>5</w:t>
      </w:r>
      <w:r w:rsidRPr="00800D22">
        <w:rPr>
          <w:rFonts w:ascii="宋体" w:hAnsi="宋体" w:cs="宋体" w:hint="eastAsia"/>
          <w:kern w:val="0"/>
          <w:szCs w:val="21"/>
        </w:rPr>
        <w:t>年零</w:t>
      </w:r>
      <w:r w:rsidRPr="00800D22">
        <w:rPr>
          <w:kern w:val="0"/>
          <w:szCs w:val="21"/>
        </w:rPr>
        <w:t>1</w:t>
      </w:r>
      <w:r w:rsidRPr="00800D22">
        <w:rPr>
          <w:rFonts w:ascii="宋体" w:hAnsi="宋体" w:cs="宋体" w:hint="eastAsia"/>
          <w:kern w:val="0"/>
          <w:szCs w:val="21"/>
        </w:rPr>
        <w:t>个月，每年付息一次，债券持有人有权在债券存续期间第三年付息日或之后把债券回售给发行人，回售金额以票面价值的</w:t>
      </w:r>
      <w:r w:rsidRPr="00800D22">
        <w:rPr>
          <w:kern w:val="0"/>
          <w:szCs w:val="21"/>
        </w:rPr>
        <w:t>130%</w:t>
      </w:r>
      <w:r w:rsidRPr="00800D22">
        <w:rPr>
          <w:rFonts w:ascii="宋体" w:hAnsi="宋体" w:cs="宋体" w:hint="eastAsia"/>
          <w:kern w:val="0"/>
          <w:szCs w:val="21"/>
        </w:rPr>
        <w:t>为上限。</w:t>
      </w:r>
    </w:p>
    <w:p w14:paraId="147BEDB0" w14:textId="77777777" w:rsidR="008F4122" w:rsidRPr="00800D22" w:rsidRDefault="008F4122" w:rsidP="008F4122">
      <w:pPr>
        <w:spacing w:line="440" w:lineRule="exact"/>
        <w:ind w:firstLineChars="200" w:firstLine="420"/>
        <w:rPr>
          <w:rFonts w:ascii="宋体" w:hAnsi="宋体" w:cs="宋体"/>
          <w:kern w:val="0"/>
          <w:szCs w:val="21"/>
        </w:rPr>
      </w:pPr>
      <w:r w:rsidRPr="00800D22">
        <w:rPr>
          <w:rFonts w:ascii="宋体" w:hAnsi="宋体" w:cs="宋体" w:hint="eastAsia"/>
          <w:kern w:val="0"/>
          <w:szCs w:val="21"/>
        </w:rPr>
        <w:t>本期可交换债券初定的利率区间下限为</w:t>
      </w:r>
      <w:r w:rsidRPr="00800D22">
        <w:rPr>
          <w:kern w:val="0"/>
          <w:szCs w:val="21"/>
        </w:rPr>
        <w:t>2.875%</w:t>
      </w:r>
      <w:r w:rsidRPr="00800D22">
        <w:rPr>
          <w:rFonts w:ascii="宋体" w:hAnsi="宋体" w:cs="宋体" w:hint="eastAsia"/>
          <w:kern w:val="0"/>
          <w:szCs w:val="21"/>
        </w:rPr>
        <w:t>，上限为</w:t>
      </w:r>
      <w:r w:rsidRPr="00800D22">
        <w:rPr>
          <w:kern w:val="0"/>
          <w:szCs w:val="21"/>
        </w:rPr>
        <w:t>3.375%</w:t>
      </w:r>
      <w:r w:rsidRPr="00800D22">
        <w:rPr>
          <w:rFonts w:ascii="宋体" w:hAnsi="宋体" w:cs="宋体" w:hint="eastAsia"/>
          <w:kern w:val="0"/>
          <w:szCs w:val="21"/>
        </w:rPr>
        <w:t>，转换溢价为</w:t>
      </w:r>
      <w:r w:rsidRPr="00800D22">
        <w:rPr>
          <w:kern w:val="0"/>
          <w:szCs w:val="21"/>
        </w:rPr>
        <w:t>25%-30%</w:t>
      </w:r>
      <w:r w:rsidRPr="00800D22">
        <w:rPr>
          <w:rFonts w:ascii="宋体" w:hAnsi="宋体" w:cs="宋体" w:hint="eastAsia"/>
          <w:kern w:val="0"/>
          <w:szCs w:val="21"/>
        </w:rPr>
        <w:t>，具体的发行利率和转换溢价由市场询价确定。用于交换的股票数量取决于标的股票参考价格和转换溢价，参考价格在这里规定为自询价建档之日起至询价确定之日止这段时间内股票加权平均价格。</w:t>
      </w:r>
      <w:r w:rsidRPr="00800D22">
        <w:rPr>
          <w:rFonts w:hint="eastAsia"/>
          <w:szCs w:val="21"/>
        </w:rPr>
        <w:t>本期债券的发行对象为美国境外的合格机构投资者，并计划于法兰克福证券交易所上市。此外，德国复兴信贷银行已经同意在减持之后，对剩余持有的德国电信公司的股权实行为期</w:t>
      </w:r>
      <w:r w:rsidRPr="00800D22">
        <w:rPr>
          <w:szCs w:val="21"/>
        </w:rPr>
        <w:t>180</w:t>
      </w:r>
      <w:r w:rsidRPr="00800D22">
        <w:rPr>
          <w:rFonts w:hint="eastAsia"/>
          <w:szCs w:val="21"/>
        </w:rPr>
        <w:t>天的锁仓，以防止过分减持对股价造成的波动。</w:t>
      </w:r>
    </w:p>
    <w:p w14:paraId="715A321B" w14:textId="77777777" w:rsidR="008F4122" w:rsidRPr="00800D22" w:rsidRDefault="008F4122" w:rsidP="008F4122">
      <w:pPr>
        <w:spacing w:line="440" w:lineRule="exact"/>
        <w:ind w:firstLineChars="200" w:firstLine="420"/>
        <w:rPr>
          <w:szCs w:val="21"/>
        </w:rPr>
      </w:pPr>
      <w:r w:rsidRPr="00800D22">
        <w:rPr>
          <w:rFonts w:ascii="宋体" w:hAnsi="宋体" w:cs="宋体" w:hint="eastAsia"/>
          <w:kern w:val="0"/>
          <w:szCs w:val="21"/>
        </w:rPr>
        <w:t>可交换债券作为股权减持的有效工具，在德国电信公司私有化过程中起到了非常重要的作用。上世纪九十年代，统一后的德国开始了电信业的市场化和私有化改革。在这一背景下，德国电信公司于</w:t>
      </w:r>
      <w:smartTag w:uri="urn:schemas-microsoft-com:office:smarttags" w:element="chsdate">
        <w:smartTagPr>
          <w:attr w:name="Year" w:val="1995"/>
          <w:attr w:name="Month" w:val="1"/>
          <w:attr w:name="Day" w:val="1"/>
          <w:attr w:name="IsLunarDate" w:val="False"/>
          <w:attr w:name="IsROCDate" w:val="False"/>
        </w:smartTagPr>
        <w:r w:rsidRPr="00800D22">
          <w:rPr>
            <w:kern w:val="0"/>
            <w:szCs w:val="21"/>
          </w:rPr>
          <w:t>1995</w:t>
        </w:r>
        <w:r w:rsidRPr="00800D22">
          <w:rPr>
            <w:rFonts w:ascii="宋体" w:hAnsi="宋体" w:cs="宋体" w:hint="eastAsia"/>
            <w:kern w:val="0"/>
            <w:szCs w:val="21"/>
          </w:rPr>
          <w:t>年</w:t>
        </w:r>
        <w:r w:rsidRPr="00800D22">
          <w:rPr>
            <w:kern w:val="0"/>
            <w:szCs w:val="21"/>
          </w:rPr>
          <w:t>1</w:t>
        </w:r>
        <w:r w:rsidRPr="00800D22">
          <w:rPr>
            <w:rFonts w:ascii="宋体" w:hAnsi="宋体" w:cs="宋体" w:hint="eastAsia"/>
            <w:kern w:val="0"/>
            <w:szCs w:val="21"/>
          </w:rPr>
          <w:t>月</w:t>
        </w:r>
        <w:r w:rsidRPr="00800D22">
          <w:rPr>
            <w:kern w:val="0"/>
            <w:szCs w:val="21"/>
          </w:rPr>
          <w:t>1</w:t>
        </w:r>
        <w:r w:rsidRPr="00800D22">
          <w:rPr>
            <w:rFonts w:ascii="宋体" w:hAnsi="宋体" w:cs="宋体" w:hint="eastAsia"/>
            <w:kern w:val="0"/>
            <w:szCs w:val="21"/>
          </w:rPr>
          <w:t>日</w:t>
        </w:r>
      </w:smartTag>
      <w:r w:rsidRPr="00800D22">
        <w:rPr>
          <w:rFonts w:ascii="宋体" w:hAnsi="宋体" w:cs="宋体" w:hint="eastAsia"/>
          <w:kern w:val="0"/>
          <w:szCs w:val="21"/>
        </w:rPr>
        <w:t>改组成股份公司。德国政府曾在</w:t>
      </w:r>
      <w:r w:rsidRPr="00800D22">
        <w:rPr>
          <w:kern w:val="0"/>
          <w:szCs w:val="21"/>
        </w:rPr>
        <w:t>2004</w:t>
      </w:r>
      <w:r w:rsidRPr="00800D22">
        <w:rPr>
          <w:rFonts w:ascii="宋体" w:hAnsi="宋体" w:cs="宋体" w:hint="eastAsia"/>
          <w:kern w:val="0"/>
          <w:szCs w:val="21"/>
        </w:rPr>
        <w:t>年</w:t>
      </w:r>
      <w:r w:rsidRPr="00800D22">
        <w:rPr>
          <w:kern w:val="0"/>
          <w:szCs w:val="21"/>
        </w:rPr>
        <w:t>6</w:t>
      </w:r>
      <w:r w:rsidRPr="00800D22">
        <w:rPr>
          <w:rFonts w:ascii="宋体" w:hAnsi="宋体" w:cs="宋体" w:hint="eastAsia"/>
          <w:kern w:val="0"/>
          <w:szCs w:val="21"/>
        </w:rPr>
        <w:t>月宣布，计划在</w:t>
      </w:r>
      <w:r w:rsidRPr="00800D22">
        <w:rPr>
          <w:kern w:val="0"/>
          <w:szCs w:val="21"/>
        </w:rPr>
        <w:t>2006</w:t>
      </w:r>
      <w:r w:rsidRPr="00800D22">
        <w:rPr>
          <w:rFonts w:ascii="宋体" w:hAnsi="宋体" w:cs="宋体" w:hint="eastAsia"/>
          <w:kern w:val="0"/>
          <w:szCs w:val="21"/>
        </w:rPr>
        <w:t>年之前，出售其所持有的德国电信公司的股份，但由于市场环境的变化影响了其股权出让进程。截至本期可交换债券发行之前，德国政府和德国复兴信贷银行分别持有德国电信公司</w:t>
      </w:r>
      <w:r w:rsidRPr="00800D22">
        <w:rPr>
          <w:kern w:val="0"/>
          <w:szCs w:val="21"/>
        </w:rPr>
        <w:t>14.8%</w:t>
      </w:r>
      <w:r w:rsidRPr="00800D22">
        <w:rPr>
          <w:rFonts w:ascii="宋体" w:hAnsi="宋体" w:cs="宋体" w:hint="eastAsia"/>
          <w:kern w:val="0"/>
          <w:szCs w:val="21"/>
        </w:rPr>
        <w:t>和</w:t>
      </w:r>
      <w:r w:rsidRPr="00800D22">
        <w:rPr>
          <w:kern w:val="0"/>
          <w:szCs w:val="21"/>
        </w:rPr>
        <w:t>16.9%</w:t>
      </w:r>
      <w:r w:rsidRPr="00800D22">
        <w:rPr>
          <w:rFonts w:ascii="宋体" w:hAnsi="宋体" w:cs="宋体" w:hint="eastAsia"/>
          <w:kern w:val="0"/>
          <w:szCs w:val="21"/>
        </w:rPr>
        <w:t>的股权（德国电信公司总股本约为</w:t>
      </w:r>
      <w:r w:rsidRPr="00800D22">
        <w:rPr>
          <w:kern w:val="0"/>
          <w:szCs w:val="21"/>
        </w:rPr>
        <w:t>13.82</w:t>
      </w:r>
      <w:r w:rsidRPr="00800D22">
        <w:rPr>
          <w:rFonts w:ascii="宋体" w:hAnsi="宋体" w:cs="宋体" w:hint="eastAsia"/>
          <w:kern w:val="0"/>
          <w:szCs w:val="21"/>
        </w:rPr>
        <w:t>亿股，德国复兴信贷银行为德国政府下属控股企业）。</w:t>
      </w:r>
      <w:r w:rsidRPr="00800D22">
        <w:rPr>
          <w:rFonts w:hint="eastAsia"/>
          <w:szCs w:val="21"/>
        </w:rPr>
        <w:t>在德国国有企业私有化的过程当中，</w:t>
      </w:r>
      <w:r w:rsidRPr="00800D22">
        <w:rPr>
          <w:szCs w:val="21"/>
        </w:rPr>
        <w:t>德国政府</w:t>
      </w:r>
      <w:r w:rsidRPr="00800D22">
        <w:rPr>
          <w:rFonts w:hint="eastAsia"/>
          <w:szCs w:val="21"/>
        </w:rPr>
        <w:t>的</w:t>
      </w:r>
      <w:r w:rsidRPr="00800D22">
        <w:rPr>
          <w:szCs w:val="21"/>
        </w:rPr>
        <w:t>通常做法是将股份分割给德国复兴信贷银行，后者在条件更</w:t>
      </w:r>
      <w:r w:rsidRPr="00800D22">
        <w:rPr>
          <w:rFonts w:hint="eastAsia"/>
          <w:szCs w:val="21"/>
        </w:rPr>
        <w:t>为</w:t>
      </w:r>
      <w:r w:rsidRPr="00800D22">
        <w:rPr>
          <w:szCs w:val="21"/>
        </w:rPr>
        <w:t>成熟时，通过公开市场抛售这部分股票</w:t>
      </w:r>
      <w:r w:rsidRPr="00800D22">
        <w:rPr>
          <w:rFonts w:hint="eastAsia"/>
          <w:szCs w:val="21"/>
        </w:rPr>
        <w:t>，从而实现国有企业私有化的目标。</w:t>
      </w:r>
    </w:p>
    <w:p w14:paraId="2C41265A" w14:textId="77777777" w:rsidR="008F4122" w:rsidRPr="00800D22" w:rsidRDefault="008F4122" w:rsidP="008F4122">
      <w:pPr>
        <w:spacing w:line="440" w:lineRule="exact"/>
        <w:ind w:firstLineChars="200" w:firstLine="420"/>
        <w:rPr>
          <w:szCs w:val="21"/>
        </w:rPr>
      </w:pPr>
      <w:r w:rsidRPr="00800D22">
        <w:rPr>
          <w:rFonts w:hint="eastAsia"/>
          <w:szCs w:val="21"/>
        </w:rPr>
        <w:t>从以上案例中可以看到，可交换债券的主要功能不在于融资，而在于股份减持。首先，由于本期可交换债券的标的股票为德国复兴信贷银行所持有的德国电信公司的股份，可交换债券发行后不会增加德国电信公司的总股本，因此不会对德国电信公司每股效益指标产生影响。其次，可交换债券在股份减</w:t>
      </w:r>
      <w:proofErr w:type="gramStart"/>
      <w:r w:rsidRPr="00800D22">
        <w:rPr>
          <w:rFonts w:hint="eastAsia"/>
          <w:szCs w:val="21"/>
        </w:rPr>
        <w:t>持过程</w:t>
      </w:r>
      <w:proofErr w:type="gramEnd"/>
      <w:r w:rsidRPr="00800D22">
        <w:rPr>
          <w:rFonts w:hint="eastAsia"/>
          <w:szCs w:val="21"/>
        </w:rPr>
        <w:t>中起到了“缓冲器”的作用。若德国复兴信贷银行直接在二级市场上抛售德国电信公司的股份，则势必造成该股股价的剧烈波动，无论是市场监管者还是投资者都不愿意看到这种情况发生。而发行可交换债券能较好地解决这一问题。通过对可交换债券交换价格和交换机制的设计，可以有效控制交换股票的规模和速度，同时利用市场自身的运行机制和逐利要求（由于投资者对股价走势的</w:t>
      </w:r>
      <w:proofErr w:type="gramStart"/>
      <w:r w:rsidRPr="00800D22">
        <w:rPr>
          <w:rFonts w:hint="eastAsia"/>
          <w:szCs w:val="21"/>
        </w:rPr>
        <w:t>研</w:t>
      </w:r>
      <w:proofErr w:type="gramEnd"/>
      <w:r w:rsidRPr="00800D22">
        <w:rPr>
          <w:rFonts w:hint="eastAsia"/>
          <w:szCs w:val="21"/>
        </w:rPr>
        <w:t>判不同，因此出售股票的时机选择也会有先有后，这就避免了集中抛售情况的出现），达到标的股票的平稳减持，从而最大限度地减少股份减持对二级市场的冲击。再次，作为一种带有“选择权”的债券，其发行利率相对于普通债券可以定得低些，如本期可交换债券的利率询价期间为</w:t>
      </w:r>
      <w:r w:rsidRPr="00800D22">
        <w:rPr>
          <w:kern w:val="0"/>
          <w:szCs w:val="21"/>
        </w:rPr>
        <w:t>2.875%</w:t>
      </w:r>
      <w:r w:rsidRPr="00800D22">
        <w:rPr>
          <w:rFonts w:ascii="宋体" w:hAnsi="宋体" w:cs="宋体" w:hint="eastAsia"/>
          <w:kern w:val="0"/>
          <w:szCs w:val="21"/>
        </w:rPr>
        <w:t>至</w:t>
      </w:r>
      <w:r w:rsidRPr="00800D22">
        <w:rPr>
          <w:kern w:val="0"/>
          <w:szCs w:val="21"/>
        </w:rPr>
        <w:t>3.375%</w:t>
      </w:r>
      <w:r w:rsidRPr="00800D22">
        <w:rPr>
          <w:rFonts w:ascii="宋体" w:hAnsi="宋体" w:cs="宋体" w:hint="eastAsia"/>
          <w:kern w:val="0"/>
          <w:szCs w:val="21"/>
        </w:rPr>
        <w:t>。因此即使到期可交换债券转股不成功，发行人面临的还债成本也较低。最后，</w:t>
      </w:r>
      <w:r w:rsidRPr="00800D22">
        <w:rPr>
          <w:rFonts w:hint="eastAsia"/>
          <w:szCs w:val="21"/>
        </w:rPr>
        <w:t>注意到本期可交换债券的发行条款中转换溢价初定为</w:t>
      </w:r>
      <w:r w:rsidRPr="00800D22">
        <w:rPr>
          <w:rFonts w:hint="eastAsia"/>
          <w:szCs w:val="21"/>
        </w:rPr>
        <w:t>25%-30%</w:t>
      </w:r>
      <w:r w:rsidRPr="00800D22">
        <w:rPr>
          <w:rFonts w:hint="eastAsia"/>
          <w:szCs w:val="21"/>
        </w:rPr>
        <w:t>，转换溢价的设计为可交换债券发行人提供了溢价处置股权的机会，特别是在股市低迷的时候，这种溢价处置方式的优势就体现得更加明显。</w:t>
      </w:r>
      <w:bookmarkStart w:id="5" w:name="_Toc215412038"/>
    </w:p>
    <w:p w14:paraId="5A691DF0" w14:textId="77777777" w:rsidR="008F4122" w:rsidRPr="00800D22" w:rsidRDefault="008F4122" w:rsidP="008F4122">
      <w:pPr>
        <w:spacing w:line="440" w:lineRule="exact"/>
        <w:ind w:firstLineChars="200" w:firstLine="422"/>
        <w:rPr>
          <w:szCs w:val="21"/>
        </w:rPr>
      </w:pPr>
      <w:r w:rsidRPr="00800D22">
        <w:rPr>
          <w:rFonts w:hint="eastAsia"/>
          <w:b/>
          <w:szCs w:val="21"/>
        </w:rPr>
        <w:t>（二）</w:t>
      </w:r>
      <w:r w:rsidRPr="00800D22">
        <w:rPr>
          <w:rFonts w:ascii="宋体" w:hAnsi="宋体" w:hint="eastAsia"/>
          <w:b/>
          <w:szCs w:val="21"/>
        </w:rPr>
        <w:t>可交换债券创新设计</w:t>
      </w:r>
      <w:bookmarkStart w:id="6" w:name="_Toc215412039"/>
      <w:bookmarkEnd w:id="5"/>
    </w:p>
    <w:p w14:paraId="0DAE78D3" w14:textId="77777777" w:rsidR="008F4122" w:rsidRPr="00800D22" w:rsidRDefault="008F4122" w:rsidP="008F4122">
      <w:pPr>
        <w:spacing w:line="440" w:lineRule="exact"/>
        <w:ind w:firstLineChars="200" w:firstLine="420"/>
        <w:rPr>
          <w:szCs w:val="21"/>
        </w:rPr>
      </w:pPr>
      <w:r w:rsidRPr="00800D22">
        <w:rPr>
          <w:rFonts w:hint="eastAsia"/>
          <w:szCs w:val="21"/>
        </w:rPr>
        <w:t>2005</w:t>
      </w:r>
      <w:r w:rsidRPr="00800D22">
        <w:rPr>
          <w:rFonts w:hint="eastAsia"/>
          <w:szCs w:val="21"/>
        </w:rPr>
        <w:t>年</w:t>
      </w:r>
      <w:r w:rsidRPr="00800D22">
        <w:rPr>
          <w:rFonts w:hint="eastAsia"/>
          <w:szCs w:val="21"/>
        </w:rPr>
        <w:t>1</w:t>
      </w:r>
      <w:r w:rsidRPr="00800D22">
        <w:rPr>
          <w:rFonts w:hint="eastAsia"/>
          <w:szCs w:val="21"/>
        </w:rPr>
        <w:t>月，德国</w:t>
      </w:r>
      <w:r w:rsidRPr="00800D22">
        <w:rPr>
          <w:rFonts w:ascii="宋体" w:hAnsi="宋体" w:cs="宋体" w:hint="eastAsia"/>
          <w:kern w:val="0"/>
          <w:szCs w:val="21"/>
        </w:rPr>
        <w:t>复兴信贷银行（</w:t>
      </w:r>
      <w:r w:rsidRPr="00800D22">
        <w:rPr>
          <w:kern w:val="0"/>
          <w:szCs w:val="21"/>
        </w:rPr>
        <w:t>KfW</w:t>
      </w:r>
      <w:r w:rsidRPr="00800D22">
        <w:rPr>
          <w:rFonts w:ascii="宋体" w:hAnsi="宋体" w:cs="宋体" w:hint="eastAsia"/>
          <w:kern w:val="0"/>
          <w:szCs w:val="21"/>
        </w:rPr>
        <w:t>）在日本市场发行了</w:t>
      </w:r>
      <w:r w:rsidRPr="00800D22">
        <w:rPr>
          <w:kern w:val="0"/>
          <w:szCs w:val="21"/>
        </w:rPr>
        <w:t>11</w:t>
      </w:r>
      <w:r w:rsidRPr="00800D22">
        <w:rPr>
          <w:rFonts w:ascii="宋体" w:hAnsi="宋体" w:cs="宋体" w:hint="eastAsia"/>
          <w:kern w:val="0"/>
          <w:szCs w:val="21"/>
        </w:rPr>
        <w:t>亿欧元的可交换债券，其债券性质属于</w:t>
      </w:r>
      <w:proofErr w:type="spellStart"/>
      <w:r w:rsidRPr="00800D22">
        <w:rPr>
          <w:kern w:val="0"/>
          <w:szCs w:val="21"/>
        </w:rPr>
        <w:t>Uridashi</w:t>
      </w:r>
      <w:proofErr w:type="spellEnd"/>
      <w:r w:rsidRPr="00800D22">
        <w:rPr>
          <w:kern w:val="0"/>
          <w:szCs w:val="21"/>
        </w:rPr>
        <w:t xml:space="preserve"> Bond</w:t>
      </w:r>
      <w:r w:rsidRPr="00800D22">
        <w:rPr>
          <w:rFonts w:ascii="宋体" w:hAnsi="宋体" w:cs="宋体" w:hint="eastAsia"/>
          <w:kern w:val="0"/>
          <w:szCs w:val="21"/>
        </w:rPr>
        <w:t>（澳元债券，这种债券由非日本的公司发行，且专为日本散户而设，他们可通过吸纳此债券坐享澳元息差优势）。可交换债券的标的为发行人对德国邮政股份公司（</w:t>
      </w:r>
      <w:r w:rsidRPr="00800D22">
        <w:rPr>
          <w:kern w:val="0"/>
          <w:szCs w:val="21"/>
        </w:rPr>
        <w:t>Deutsche.Post.AG</w:t>
      </w:r>
      <w:r w:rsidRPr="00800D22">
        <w:rPr>
          <w:rFonts w:ascii="宋体" w:hAnsi="宋体" w:cs="宋体" w:hint="eastAsia"/>
          <w:kern w:val="0"/>
          <w:szCs w:val="21"/>
        </w:rPr>
        <w:t>）</w:t>
      </w:r>
      <w:r w:rsidRPr="00800D22">
        <w:rPr>
          <w:kern w:val="0"/>
          <w:szCs w:val="21"/>
        </w:rPr>
        <w:t>2.3%</w:t>
      </w:r>
      <w:r w:rsidRPr="00800D22">
        <w:rPr>
          <w:rFonts w:ascii="宋体" w:hAnsi="宋体" w:cs="宋体" w:hint="eastAsia"/>
          <w:kern w:val="0"/>
          <w:szCs w:val="21"/>
        </w:rPr>
        <w:t>的股权，而发行前</w:t>
      </w:r>
      <w:r w:rsidRPr="00800D22">
        <w:rPr>
          <w:kern w:val="0"/>
          <w:szCs w:val="21"/>
        </w:rPr>
        <w:t>KfW</w:t>
      </w:r>
      <w:r w:rsidRPr="00800D22">
        <w:rPr>
          <w:rFonts w:ascii="宋体" w:hAnsi="宋体" w:cs="宋体" w:hint="eastAsia"/>
          <w:kern w:val="0"/>
          <w:szCs w:val="21"/>
        </w:rPr>
        <w:t>共持有</w:t>
      </w:r>
      <w:r w:rsidRPr="00800D22">
        <w:rPr>
          <w:kern w:val="0"/>
          <w:szCs w:val="21"/>
        </w:rPr>
        <w:t>Deutsche.Post.AG 48.8%</w:t>
      </w:r>
      <w:r w:rsidRPr="00800D22">
        <w:rPr>
          <w:rFonts w:ascii="宋体" w:hAnsi="宋体" w:cs="宋体" w:hint="eastAsia"/>
          <w:kern w:val="0"/>
          <w:szCs w:val="21"/>
        </w:rPr>
        <w:t>的股权。债券的票面利率设计为每年</w:t>
      </w:r>
      <w:r w:rsidRPr="00800D22">
        <w:rPr>
          <w:kern w:val="0"/>
          <w:szCs w:val="21"/>
        </w:rPr>
        <w:t>0.5%</w:t>
      </w:r>
      <w:r w:rsidRPr="00800D22">
        <w:rPr>
          <w:rFonts w:ascii="宋体" w:hAnsi="宋体" w:cs="宋体" w:hint="eastAsia"/>
          <w:kern w:val="0"/>
          <w:szCs w:val="21"/>
        </w:rPr>
        <w:t>，期限为</w:t>
      </w:r>
      <w:r w:rsidRPr="00800D22">
        <w:rPr>
          <w:kern w:val="0"/>
          <w:szCs w:val="21"/>
        </w:rPr>
        <w:t>5</w:t>
      </w:r>
      <w:r w:rsidRPr="00800D22">
        <w:rPr>
          <w:rFonts w:ascii="宋体" w:hAnsi="宋体" w:cs="宋体" w:hint="eastAsia"/>
          <w:kern w:val="0"/>
          <w:szCs w:val="21"/>
        </w:rPr>
        <w:t>年，换股价较</w:t>
      </w:r>
      <w:r w:rsidRPr="00800D22">
        <w:rPr>
          <w:kern w:val="0"/>
          <w:szCs w:val="21"/>
        </w:rPr>
        <w:t>Deutsche.Post.AG</w:t>
      </w:r>
      <w:r w:rsidRPr="00800D22">
        <w:rPr>
          <w:rFonts w:ascii="宋体" w:hAnsi="宋体" w:cs="宋体" w:hint="eastAsia"/>
          <w:kern w:val="0"/>
          <w:szCs w:val="21"/>
        </w:rPr>
        <w:t>当时的价格有将近</w:t>
      </w:r>
      <w:r w:rsidRPr="00800D22">
        <w:rPr>
          <w:kern w:val="0"/>
          <w:szCs w:val="21"/>
        </w:rPr>
        <w:t>12%</w:t>
      </w:r>
      <w:r w:rsidRPr="00800D22">
        <w:rPr>
          <w:rFonts w:ascii="宋体" w:hAnsi="宋体" w:cs="宋体" w:hint="eastAsia"/>
          <w:kern w:val="0"/>
          <w:szCs w:val="21"/>
        </w:rPr>
        <w:t>的溢价。这是可交换债券首次在日本市场出现，承销商野村证券先前预计发售</w:t>
      </w:r>
      <w:r w:rsidRPr="00800D22">
        <w:rPr>
          <w:kern w:val="0"/>
          <w:szCs w:val="21"/>
        </w:rPr>
        <w:t>5</w:t>
      </w:r>
      <w:r w:rsidRPr="00800D22">
        <w:rPr>
          <w:rFonts w:ascii="宋体" w:hAnsi="宋体" w:cs="宋体" w:hint="eastAsia"/>
          <w:kern w:val="0"/>
          <w:szCs w:val="21"/>
        </w:rPr>
        <w:t>亿欧元，但一个月发行期结束后募集总金额达到</w:t>
      </w:r>
      <w:r w:rsidRPr="00800D22">
        <w:rPr>
          <w:kern w:val="0"/>
          <w:szCs w:val="21"/>
        </w:rPr>
        <w:t>11</w:t>
      </w:r>
      <w:r w:rsidRPr="00800D22">
        <w:rPr>
          <w:rFonts w:ascii="宋体" w:hAnsi="宋体" w:cs="宋体" w:hint="eastAsia"/>
          <w:kern w:val="0"/>
          <w:szCs w:val="21"/>
        </w:rPr>
        <w:t>亿欧元，远高于之前的市场预期。</w:t>
      </w:r>
      <w:bookmarkEnd w:id="6"/>
    </w:p>
    <w:p w14:paraId="795DFB0F" w14:textId="77777777" w:rsidR="008F4122" w:rsidRPr="00800D22" w:rsidRDefault="008F4122" w:rsidP="008F4122">
      <w:pPr>
        <w:autoSpaceDE w:val="0"/>
        <w:autoSpaceDN w:val="0"/>
        <w:adjustRightInd w:val="0"/>
        <w:spacing w:line="440" w:lineRule="exact"/>
        <w:ind w:firstLineChars="200" w:firstLine="420"/>
        <w:rPr>
          <w:rFonts w:ascii="宋体" w:hAnsi="宋体" w:cs="宋体"/>
          <w:kern w:val="0"/>
          <w:szCs w:val="21"/>
        </w:rPr>
      </w:pPr>
      <w:r w:rsidRPr="00800D22">
        <w:rPr>
          <w:rFonts w:ascii="宋体" w:hAnsi="宋体" w:cs="宋体" w:hint="eastAsia"/>
          <w:kern w:val="0"/>
          <w:szCs w:val="21"/>
        </w:rPr>
        <w:t>作为香港嘉域集团的短期投资项目，</w:t>
      </w:r>
      <w:proofErr w:type="gramStart"/>
      <w:r w:rsidRPr="00800D22">
        <w:rPr>
          <w:rFonts w:ascii="宋体" w:hAnsi="宋体" w:cs="宋体" w:hint="eastAsia"/>
          <w:kern w:val="0"/>
          <w:szCs w:val="21"/>
        </w:rPr>
        <w:t>嘉域集团</w:t>
      </w:r>
      <w:proofErr w:type="gramEnd"/>
      <w:r w:rsidRPr="00800D22">
        <w:rPr>
          <w:rFonts w:ascii="宋体" w:hAnsi="宋体" w:cs="宋体" w:hint="eastAsia"/>
          <w:kern w:val="0"/>
          <w:szCs w:val="21"/>
        </w:rPr>
        <w:t>持有在东京上市的</w:t>
      </w:r>
      <w:r w:rsidRPr="00800D22">
        <w:rPr>
          <w:kern w:val="0"/>
          <w:szCs w:val="21"/>
        </w:rPr>
        <w:t xml:space="preserve">Sansui </w:t>
      </w:r>
      <w:proofErr w:type="spellStart"/>
      <w:r w:rsidRPr="00800D22">
        <w:rPr>
          <w:kern w:val="0"/>
          <w:szCs w:val="21"/>
        </w:rPr>
        <w:t>Eletronic</w:t>
      </w:r>
      <w:proofErr w:type="spellEnd"/>
      <w:r w:rsidRPr="00800D22">
        <w:rPr>
          <w:kern w:val="0"/>
          <w:szCs w:val="21"/>
        </w:rPr>
        <w:t xml:space="preserve"> Co.</w:t>
      </w:r>
      <w:r w:rsidRPr="00800D22">
        <w:rPr>
          <w:rFonts w:ascii="宋体" w:hAnsi="宋体" w:cs="宋体" w:hint="eastAsia"/>
          <w:kern w:val="0"/>
          <w:szCs w:val="21"/>
        </w:rPr>
        <w:t>共计</w:t>
      </w:r>
      <w:r w:rsidRPr="00800D22">
        <w:rPr>
          <w:kern w:val="0"/>
          <w:szCs w:val="21"/>
        </w:rPr>
        <w:t>34.79%</w:t>
      </w:r>
      <w:r w:rsidRPr="00800D22">
        <w:rPr>
          <w:rFonts w:ascii="宋体" w:hAnsi="宋体" w:cs="宋体" w:hint="eastAsia"/>
          <w:kern w:val="0"/>
          <w:szCs w:val="21"/>
        </w:rPr>
        <w:t>的股权。为逐步减</w:t>
      </w:r>
      <w:proofErr w:type="gramStart"/>
      <w:r w:rsidRPr="00800D22">
        <w:rPr>
          <w:rFonts w:ascii="宋体" w:hAnsi="宋体" w:cs="宋体" w:hint="eastAsia"/>
          <w:kern w:val="0"/>
          <w:szCs w:val="21"/>
        </w:rPr>
        <w:t>持实现</w:t>
      </w:r>
      <w:proofErr w:type="gramEnd"/>
      <w:r w:rsidRPr="00800D22">
        <w:rPr>
          <w:rFonts w:ascii="宋体" w:hAnsi="宋体" w:cs="宋体" w:hint="eastAsia"/>
          <w:kern w:val="0"/>
          <w:szCs w:val="21"/>
        </w:rPr>
        <w:t>投资收益，</w:t>
      </w:r>
      <w:proofErr w:type="gramStart"/>
      <w:r w:rsidRPr="00800D22">
        <w:rPr>
          <w:rFonts w:ascii="宋体" w:hAnsi="宋体" w:cs="宋体" w:hint="eastAsia"/>
          <w:kern w:val="0"/>
          <w:szCs w:val="21"/>
        </w:rPr>
        <w:t>嘉域集团</w:t>
      </w:r>
      <w:proofErr w:type="gramEnd"/>
      <w:r w:rsidRPr="00800D22">
        <w:rPr>
          <w:rFonts w:ascii="宋体" w:hAnsi="宋体" w:cs="宋体" w:hint="eastAsia"/>
          <w:kern w:val="0"/>
          <w:szCs w:val="21"/>
        </w:rPr>
        <w:t>于</w:t>
      </w:r>
      <w:r w:rsidRPr="00800D22">
        <w:rPr>
          <w:kern w:val="0"/>
          <w:szCs w:val="21"/>
        </w:rPr>
        <w:t>2006</w:t>
      </w:r>
      <w:r w:rsidRPr="00800D22">
        <w:rPr>
          <w:rFonts w:ascii="宋体" w:hAnsi="宋体" w:cs="宋体" w:hint="eastAsia"/>
          <w:kern w:val="0"/>
          <w:szCs w:val="21"/>
        </w:rPr>
        <w:t>年</w:t>
      </w:r>
      <w:r w:rsidRPr="00800D22">
        <w:rPr>
          <w:kern w:val="0"/>
          <w:szCs w:val="21"/>
        </w:rPr>
        <w:t>2</w:t>
      </w:r>
      <w:r w:rsidRPr="00800D22">
        <w:rPr>
          <w:rFonts w:ascii="宋体" w:hAnsi="宋体" w:cs="宋体" w:hint="eastAsia"/>
          <w:kern w:val="0"/>
          <w:szCs w:val="21"/>
        </w:rPr>
        <w:t>月透过其全资附属公司</w:t>
      </w:r>
      <w:r w:rsidRPr="00800D22">
        <w:rPr>
          <w:kern w:val="0"/>
          <w:szCs w:val="21"/>
        </w:rPr>
        <w:t>Hi-Tech Precision Products Ltd.</w:t>
      </w:r>
      <w:r w:rsidRPr="00800D22">
        <w:rPr>
          <w:rFonts w:ascii="宋体" w:hAnsi="宋体" w:cs="宋体" w:hint="eastAsia"/>
          <w:kern w:val="0"/>
          <w:szCs w:val="21"/>
        </w:rPr>
        <w:t>发行总额为</w:t>
      </w:r>
      <w:r w:rsidRPr="00800D22">
        <w:rPr>
          <w:kern w:val="0"/>
          <w:szCs w:val="21"/>
        </w:rPr>
        <w:t>5000</w:t>
      </w:r>
      <w:r w:rsidRPr="00800D22">
        <w:rPr>
          <w:rFonts w:ascii="宋体" w:hAnsi="宋体" w:cs="宋体" w:hint="eastAsia"/>
          <w:kern w:val="0"/>
          <w:szCs w:val="21"/>
        </w:rPr>
        <w:t>万美元的零息可交换债券，该债券可转换为共计</w:t>
      </w:r>
      <w:r w:rsidRPr="00800D22">
        <w:rPr>
          <w:kern w:val="0"/>
          <w:szCs w:val="21"/>
        </w:rPr>
        <w:t>1.47</w:t>
      </w:r>
      <w:r w:rsidRPr="00800D22">
        <w:rPr>
          <w:rFonts w:ascii="宋体" w:hAnsi="宋体" w:cs="宋体" w:hint="eastAsia"/>
          <w:kern w:val="0"/>
          <w:szCs w:val="21"/>
        </w:rPr>
        <w:t>亿份</w:t>
      </w:r>
      <w:r w:rsidRPr="00800D22">
        <w:rPr>
          <w:kern w:val="0"/>
          <w:szCs w:val="21"/>
        </w:rPr>
        <w:t>Sansui</w:t>
      </w:r>
      <w:r w:rsidRPr="00800D22">
        <w:rPr>
          <w:rFonts w:ascii="宋体" w:hAnsi="宋体" w:cs="宋体" w:hint="eastAsia"/>
          <w:kern w:val="0"/>
          <w:szCs w:val="21"/>
        </w:rPr>
        <w:t>股票，占</w:t>
      </w:r>
      <w:r w:rsidRPr="00800D22">
        <w:rPr>
          <w:kern w:val="0"/>
          <w:szCs w:val="21"/>
        </w:rPr>
        <w:t>Sansui</w:t>
      </w:r>
      <w:r w:rsidRPr="00800D22">
        <w:rPr>
          <w:rFonts w:ascii="宋体" w:hAnsi="宋体" w:cs="宋体" w:hint="eastAsia"/>
          <w:kern w:val="0"/>
          <w:szCs w:val="21"/>
        </w:rPr>
        <w:t>总股本的比例为</w:t>
      </w:r>
      <w:r w:rsidRPr="00800D22">
        <w:rPr>
          <w:kern w:val="0"/>
          <w:szCs w:val="21"/>
        </w:rPr>
        <w:t>10.76%</w:t>
      </w:r>
      <w:r w:rsidRPr="00800D22">
        <w:rPr>
          <w:rFonts w:ascii="宋体" w:hAnsi="宋体" w:cs="宋体" w:hint="eastAsia"/>
          <w:kern w:val="0"/>
          <w:szCs w:val="21"/>
        </w:rPr>
        <w:t>，期限为</w:t>
      </w:r>
      <w:r w:rsidRPr="00800D22">
        <w:rPr>
          <w:kern w:val="0"/>
          <w:szCs w:val="21"/>
        </w:rPr>
        <w:t>5</w:t>
      </w:r>
      <w:r w:rsidRPr="00800D22">
        <w:rPr>
          <w:rFonts w:ascii="宋体" w:hAnsi="宋体" w:cs="宋体" w:hint="eastAsia"/>
          <w:kern w:val="0"/>
          <w:szCs w:val="21"/>
        </w:rPr>
        <w:t>年。债券的换股价格</w:t>
      </w:r>
      <w:proofErr w:type="gramStart"/>
      <w:r w:rsidRPr="00800D22">
        <w:rPr>
          <w:rFonts w:ascii="宋体" w:hAnsi="宋体" w:cs="宋体" w:hint="eastAsia"/>
          <w:kern w:val="0"/>
          <w:szCs w:val="21"/>
        </w:rPr>
        <w:t>较发行</w:t>
      </w:r>
      <w:proofErr w:type="gramEnd"/>
      <w:r w:rsidRPr="00800D22">
        <w:rPr>
          <w:rFonts w:ascii="宋体" w:hAnsi="宋体" w:cs="宋体" w:hint="eastAsia"/>
          <w:kern w:val="0"/>
          <w:szCs w:val="21"/>
        </w:rPr>
        <w:t>时</w:t>
      </w:r>
      <w:r w:rsidRPr="00800D22">
        <w:rPr>
          <w:kern w:val="0"/>
          <w:szCs w:val="21"/>
        </w:rPr>
        <w:t>Sansui</w:t>
      </w:r>
      <w:r w:rsidRPr="00800D22">
        <w:rPr>
          <w:rFonts w:ascii="宋体" w:hAnsi="宋体" w:cs="宋体" w:hint="eastAsia"/>
          <w:kern w:val="0"/>
          <w:szCs w:val="21"/>
        </w:rPr>
        <w:t>的股价有</w:t>
      </w:r>
      <w:r w:rsidRPr="00800D22">
        <w:rPr>
          <w:kern w:val="0"/>
          <w:szCs w:val="21"/>
        </w:rPr>
        <w:t>60%</w:t>
      </w:r>
      <w:r w:rsidRPr="00800D22">
        <w:rPr>
          <w:rFonts w:ascii="宋体" w:hAnsi="宋体" w:cs="宋体" w:hint="eastAsia"/>
          <w:kern w:val="0"/>
          <w:szCs w:val="21"/>
        </w:rPr>
        <w:t>的溢价，并附有可赎回条款，允许发行人在满足赎回条件时按债券本金额的</w:t>
      </w:r>
      <w:r w:rsidRPr="00800D22">
        <w:rPr>
          <w:kern w:val="0"/>
          <w:szCs w:val="21"/>
        </w:rPr>
        <w:t>131.8%</w:t>
      </w:r>
      <w:r w:rsidRPr="00800D22">
        <w:rPr>
          <w:rFonts w:ascii="宋体" w:hAnsi="宋体" w:cs="宋体" w:hint="eastAsia"/>
          <w:kern w:val="0"/>
          <w:szCs w:val="21"/>
        </w:rPr>
        <w:t>赎回债券。</w:t>
      </w:r>
    </w:p>
    <w:p w14:paraId="2575686F" w14:textId="77777777" w:rsidR="008F4122" w:rsidRPr="00800D22" w:rsidRDefault="008F4122" w:rsidP="008F4122">
      <w:pPr>
        <w:autoSpaceDE w:val="0"/>
        <w:autoSpaceDN w:val="0"/>
        <w:adjustRightInd w:val="0"/>
        <w:spacing w:line="440" w:lineRule="exact"/>
        <w:ind w:firstLineChars="200" w:firstLine="420"/>
        <w:rPr>
          <w:rFonts w:ascii="宋体" w:hAnsi="宋体" w:cs="宋体"/>
          <w:kern w:val="0"/>
          <w:szCs w:val="21"/>
        </w:rPr>
      </w:pPr>
      <w:r w:rsidRPr="00800D22">
        <w:rPr>
          <w:rFonts w:ascii="宋体" w:hAnsi="宋体" w:cs="宋体" w:hint="eastAsia"/>
          <w:kern w:val="0"/>
          <w:szCs w:val="21"/>
        </w:rPr>
        <w:t>与传统可交换债券不同，上述两种可交换债券在发行地和标的股票上实现了创新：</w:t>
      </w:r>
      <w:r w:rsidRPr="00800D22">
        <w:rPr>
          <w:kern w:val="0"/>
          <w:szCs w:val="21"/>
        </w:rPr>
        <w:t>KfW</w:t>
      </w:r>
      <w:r w:rsidRPr="00800D22">
        <w:rPr>
          <w:rFonts w:ascii="宋体" w:hAnsi="宋体" w:cs="宋体" w:hint="eastAsia"/>
          <w:kern w:val="0"/>
          <w:szCs w:val="21"/>
        </w:rPr>
        <w:t>在日本市场发行可交换债券，借助异地市场成功实现了融资，这不仅解决了</w:t>
      </w:r>
      <w:r w:rsidRPr="00800D22">
        <w:rPr>
          <w:kern w:val="0"/>
          <w:szCs w:val="21"/>
        </w:rPr>
        <w:t>KfW</w:t>
      </w:r>
      <w:r w:rsidRPr="00800D22">
        <w:rPr>
          <w:rFonts w:ascii="宋体" w:hAnsi="宋体" w:cs="宋体" w:hint="eastAsia"/>
          <w:kern w:val="0"/>
          <w:szCs w:val="21"/>
        </w:rPr>
        <w:t>在德国国内暂时的资金融通困难，而且为日本市场的投资者提供了投资德国股市的机会。</w:t>
      </w:r>
      <w:r w:rsidRPr="00800D22">
        <w:rPr>
          <w:kern w:val="0"/>
          <w:szCs w:val="21"/>
        </w:rPr>
        <w:t>KfW</w:t>
      </w:r>
      <w:r w:rsidRPr="00800D22">
        <w:rPr>
          <w:rFonts w:ascii="宋体" w:hAnsi="宋体" w:cs="宋体" w:hint="eastAsia"/>
          <w:kern w:val="0"/>
          <w:szCs w:val="21"/>
        </w:rPr>
        <w:t>利用日本投资者对德国国内优质上市公司股权的关注，以合理溢价的方式获得了低息融资的机会，增强了公司资金实力。香港嘉域集团获取异地股权投资收益的方式并非在当地二级市场上直接抛售股权，主要是考虑到大量抛售股权可能会对股价造成冲击，而是采取在本地证券市场发行可交换债券的方式进行平稳减持。笔者关注到，该可交换债券的换股价格溢价率达到了</w:t>
      </w:r>
      <w:r w:rsidRPr="00800D22">
        <w:rPr>
          <w:kern w:val="0"/>
          <w:szCs w:val="21"/>
        </w:rPr>
        <w:t>60%</w:t>
      </w:r>
      <w:r w:rsidRPr="00800D22">
        <w:rPr>
          <w:rFonts w:ascii="宋体" w:hAnsi="宋体" w:cs="宋体" w:hint="eastAsia"/>
          <w:kern w:val="0"/>
          <w:szCs w:val="21"/>
        </w:rPr>
        <w:t>，而发行仍然取得了成功，表明香港证券市场的投资者对</w:t>
      </w:r>
      <w:r w:rsidRPr="00800D22">
        <w:rPr>
          <w:kern w:val="0"/>
          <w:szCs w:val="21"/>
        </w:rPr>
        <w:t>Sansui</w:t>
      </w:r>
      <w:r w:rsidRPr="00800D22">
        <w:rPr>
          <w:rFonts w:ascii="宋体" w:hAnsi="宋体" w:cs="宋体" w:hint="eastAsia"/>
          <w:kern w:val="0"/>
          <w:szCs w:val="21"/>
        </w:rPr>
        <w:t>公司的发展前景非常看好，认为其股价仍有巨大的上涨空间。</w:t>
      </w:r>
    </w:p>
    <w:p w14:paraId="24343913" w14:textId="77777777" w:rsidR="008F4122" w:rsidRPr="00800D22" w:rsidRDefault="008F4122" w:rsidP="008F4122">
      <w:pPr>
        <w:spacing w:beforeLines="100" w:before="312" w:afterLines="100" w:after="312" w:line="440" w:lineRule="exact"/>
        <w:jc w:val="center"/>
        <w:rPr>
          <w:b/>
          <w:sz w:val="24"/>
        </w:rPr>
      </w:pPr>
      <w:r w:rsidRPr="00800D22">
        <w:rPr>
          <w:rFonts w:hint="eastAsia"/>
          <w:b/>
          <w:sz w:val="24"/>
        </w:rPr>
        <w:t>三、我国发展可交换债券的困境和出路</w:t>
      </w:r>
    </w:p>
    <w:p w14:paraId="027E6413" w14:textId="77777777" w:rsidR="008F4122" w:rsidRPr="00800D22" w:rsidRDefault="008F4122" w:rsidP="008F4122">
      <w:pPr>
        <w:spacing w:line="440" w:lineRule="exact"/>
        <w:ind w:firstLineChars="199" w:firstLine="420"/>
        <w:rPr>
          <w:rFonts w:ascii="宋体" w:hAnsi="宋体"/>
          <w:b/>
          <w:szCs w:val="21"/>
          <w:vertAlign w:val="superscript"/>
        </w:rPr>
      </w:pPr>
      <w:bookmarkStart w:id="7" w:name="_Toc215412048"/>
      <w:r w:rsidRPr="00800D22">
        <w:rPr>
          <w:rFonts w:hint="eastAsia"/>
          <w:b/>
          <w:szCs w:val="21"/>
        </w:rPr>
        <w:t>（一）</w:t>
      </w:r>
      <w:r w:rsidRPr="00800D22">
        <w:rPr>
          <w:rFonts w:ascii="宋体" w:hAnsi="宋体" w:hint="eastAsia"/>
          <w:b/>
          <w:szCs w:val="21"/>
        </w:rPr>
        <w:t>可交换债券在国内资本市场发展面临的问题</w:t>
      </w:r>
      <w:bookmarkEnd w:id="7"/>
    </w:p>
    <w:p w14:paraId="45D1DC08" w14:textId="77777777" w:rsidR="008F4122" w:rsidRPr="00800D22" w:rsidRDefault="008F4122" w:rsidP="008F4122">
      <w:pPr>
        <w:spacing w:line="440" w:lineRule="exact"/>
        <w:ind w:firstLineChars="200" w:firstLine="420"/>
        <w:rPr>
          <w:szCs w:val="21"/>
        </w:rPr>
      </w:pPr>
      <w:r w:rsidRPr="00800D22">
        <w:rPr>
          <w:rFonts w:ascii="宋体" w:hAnsi="宋体" w:hint="eastAsia"/>
          <w:kern w:val="0"/>
          <w:szCs w:val="21"/>
        </w:rPr>
        <w:t>股权分置改革是中国资本市场发展史上具有里程碑式意义的事件，其顺利完成标志着</w:t>
      </w:r>
      <w:r w:rsidRPr="00800D22">
        <w:rPr>
          <w:kern w:val="0"/>
          <w:szCs w:val="21"/>
        </w:rPr>
        <w:t>A</w:t>
      </w:r>
      <w:r w:rsidRPr="00800D22">
        <w:rPr>
          <w:rFonts w:ascii="宋体" w:hAnsi="宋体" w:hint="eastAsia"/>
          <w:kern w:val="0"/>
          <w:szCs w:val="21"/>
        </w:rPr>
        <w:t>股市场“全流通”时代的到来。但股权分置改革所产生的“大小非”问题一直困扰着中国股市，集中体现在大量限售股解禁上市扩充了流通盘，而“大小非”持有者持股成本低廉，抛售套现的欲望强烈，这将对股市造成剧烈冲击，严重损害中小投资者的利益，进而威胁到我国金融体系的安全。为缓解“大小非”集中减持对股市造成的影响，证监会公布了限售股解禁指导意见，规定限售股股东“在未来一个月内</w:t>
      </w:r>
      <w:r w:rsidRPr="00800D22">
        <w:rPr>
          <w:rFonts w:ascii="宋体" w:hAnsi="宋体"/>
          <w:kern w:val="0"/>
          <w:szCs w:val="21"/>
        </w:rPr>
        <w:t>公开出售解除限售存量股份的数量超过该</w:t>
      </w:r>
      <w:r w:rsidRPr="00800D22">
        <w:rPr>
          <w:rFonts w:ascii="宋体" w:hAnsi="宋体" w:hint="eastAsia"/>
          <w:kern w:val="0"/>
          <w:szCs w:val="21"/>
        </w:rPr>
        <w:t>上市</w:t>
      </w:r>
      <w:r w:rsidRPr="00800D22">
        <w:rPr>
          <w:rFonts w:ascii="宋体" w:hAnsi="宋体"/>
          <w:kern w:val="0"/>
          <w:szCs w:val="21"/>
        </w:rPr>
        <w:t>公司股份总数</w:t>
      </w:r>
      <w:r w:rsidRPr="00800D22">
        <w:rPr>
          <w:kern w:val="0"/>
          <w:szCs w:val="21"/>
        </w:rPr>
        <w:t>1%</w:t>
      </w:r>
      <w:r w:rsidRPr="00800D22">
        <w:rPr>
          <w:rFonts w:ascii="宋体" w:hAnsi="宋体"/>
          <w:kern w:val="0"/>
          <w:szCs w:val="21"/>
        </w:rPr>
        <w:t>的，应当通过证券交易所大宗交易系统转让所持股份</w:t>
      </w:r>
      <w:r w:rsidRPr="00800D22">
        <w:rPr>
          <w:rFonts w:ascii="宋体" w:hAnsi="宋体" w:hint="eastAsia"/>
          <w:kern w:val="0"/>
          <w:szCs w:val="21"/>
        </w:rPr>
        <w:t>”，这在一定程度上抑制了“大小非”的非理性减持，但从长远来看，</w:t>
      </w:r>
      <w:r w:rsidRPr="00800D22">
        <w:rPr>
          <w:rFonts w:hint="eastAsia"/>
          <w:szCs w:val="21"/>
        </w:rPr>
        <w:t>借助金融工具而非政策手段来规范“大小非”</w:t>
      </w:r>
      <w:proofErr w:type="gramStart"/>
      <w:r w:rsidRPr="00800D22">
        <w:rPr>
          <w:rFonts w:hint="eastAsia"/>
          <w:szCs w:val="21"/>
        </w:rPr>
        <w:t>减持将更</w:t>
      </w:r>
      <w:proofErr w:type="gramEnd"/>
      <w:r w:rsidRPr="00800D22">
        <w:rPr>
          <w:rFonts w:hint="eastAsia"/>
          <w:szCs w:val="21"/>
        </w:rPr>
        <w:t>有利于我国金融市场的健康稳定发展。</w:t>
      </w:r>
    </w:p>
    <w:p w14:paraId="1EF3026A" w14:textId="77777777" w:rsidR="008F4122" w:rsidRPr="00800D22" w:rsidRDefault="008F4122" w:rsidP="008F4122">
      <w:pPr>
        <w:spacing w:line="440" w:lineRule="exact"/>
        <w:ind w:firstLineChars="200" w:firstLine="420"/>
        <w:rPr>
          <w:rFonts w:ascii="宋体" w:hAnsi="宋体"/>
          <w:kern w:val="0"/>
          <w:szCs w:val="21"/>
        </w:rPr>
      </w:pPr>
      <w:r w:rsidRPr="00800D22">
        <w:rPr>
          <w:rFonts w:ascii="宋体" w:hAnsi="宋体" w:hint="eastAsia"/>
          <w:kern w:val="0"/>
          <w:szCs w:val="21"/>
        </w:rPr>
        <w:t>证监会于</w:t>
      </w:r>
      <w:smartTag w:uri="urn:schemas-microsoft-com:office:smarttags" w:element="chsdate">
        <w:smartTagPr>
          <w:attr w:name="IsROCDate" w:val="False"/>
          <w:attr w:name="IsLunarDate" w:val="False"/>
          <w:attr w:name="Day" w:val="19"/>
          <w:attr w:name="Month" w:val="10"/>
          <w:attr w:name="Year" w:val="2008"/>
        </w:smartTagPr>
        <w:r w:rsidRPr="00800D22">
          <w:rPr>
            <w:kern w:val="0"/>
            <w:szCs w:val="21"/>
          </w:rPr>
          <w:t>2008</w:t>
        </w:r>
        <w:r w:rsidRPr="00800D22">
          <w:rPr>
            <w:rFonts w:ascii="宋体" w:hAnsi="宋体" w:hint="eastAsia"/>
            <w:kern w:val="0"/>
            <w:szCs w:val="21"/>
          </w:rPr>
          <w:t>年</w:t>
        </w:r>
        <w:r w:rsidRPr="00800D22">
          <w:rPr>
            <w:kern w:val="0"/>
            <w:szCs w:val="21"/>
          </w:rPr>
          <w:t>10</w:t>
        </w:r>
        <w:r w:rsidRPr="00800D22">
          <w:rPr>
            <w:rFonts w:ascii="宋体" w:hAnsi="宋体" w:hint="eastAsia"/>
            <w:kern w:val="0"/>
            <w:szCs w:val="21"/>
          </w:rPr>
          <w:t>月</w:t>
        </w:r>
        <w:r w:rsidRPr="00800D22">
          <w:rPr>
            <w:kern w:val="0"/>
            <w:szCs w:val="21"/>
          </w:rPr>
          <w:t>19</w:t>
        </w:r>
        <w:r w:rsidRPr="00800D22">
          <w:rPr>
            <w:rFonts w:ascii="宋体" w:hAnsi="宋体" w:hint="eastAsia"/>
            <w:kern w:val="0"/>
            <w:szCs w:val="21"/>
          </w:rPr>
          <w:t>日</w:t>
        </w:r>
      </w:smartTag>
      <w:r w:rsidRPr="00800D22">
        <w:rPr>
          <w:rFonts w:ascii="宋体" w:hAnsi="宋体"/>
          <w:kern w:val="0"/>
          <w:szCs w:val="21"/>
        </w:rPr>
        <w:t>发布了《</w:t>
      </w:r>
      <w:bookmarkStart w:id="8" w:name="OLE_LINK1"/>
      <w:r w:rsidRPr="00800D22">
        <w:rPr>
          <w:rFonts w:ascii="宋体" w:hAnsi="宋体"/>
          <w:kern w:val="0"/>
          <w:szCs w:val="21"/>
        </w:rPr>
        <w:t>上市公司股东发行可交换公司债券试行规定</w:t>
      </w:r>
      <w:bookmarkEnd w:id="8"/>
      <w:r w:rsidRPr="00800D22">
        <w:rPr>
          <w:rFonts w:ascii="宋体" w:hAnsi="宋体"/>
          <w:kern w:val="0"/>
          <w:szCs w:val="21"/>
        </w:rPr>
        <w:t>》</w:t>
      </w:r>
      <w:r w:rsidRPr="00800D22">
        <w:rPr>
          <w:rFonts w:ascii="宋体" w:hAnsi="宋体" w:hint="eastAsia"/>
          <w:kern w:val="0"/>
          <w:szCs w:val="21"/>
        </w:rPr>
        <w:t>（以下简称“《试行规定》”），</w:t>
      </w:r>
      <w:r w:rsidRPr="00800D22">
        <w:rPr>
          <w:rFonts w:ascii="宋体" w:hAnsi="宋体"/>
          <w:kern w:val="0"/>
          <w:szCs w:val="21"/>
        </w:rPr>
        <w:t>随后，证监会将正式受理可交换</w:t>
      </w:r>
      <w:r w:rsidRPr="00800D22">
        <w:rPr>
          <w:rFonts w:ascii="宋体" w:hAnsi="宋体" w:hint="eastAsia"/>
          <w:kern w:val="0"/>
          <w:szCs w:val="21"/>
        </w:rPr>
        <w:t>债券</w:t>
      </w:r>
      <w:r w:rsidRPr="00800D22">
        <w:rPr>
          <w:rFonts w:ascii="宋体" w:hAnsi="宋体"/>
          <w:kern w:val="0"/>
          <w:szCs w:val="21"/>
        </w:rPr>
        <w:t>的发行申请。这意味着继大宗交易平台后，旨在缓解</w:t>
      </w:r>
      <w:r w:rsidRPr="00800D22">
        <w:rPr>
          <w:rFonts w:ascii="宋体" w:hAnsi="宋体" w:hint="eastAsia"/>
          <w:kern w:val="0"/>
          <w:szCs w:val="21"/>
        </w:rPr>
        <w:t>“</w:t>
      </w:r>
      <w:r w:rsidRPr="00800D22">
        <w:rPr>
          <w:rFonts w:ascii="宋体" w:hAnsi="宋体"/>
          <w:kern w:val="0"/>
          <w:szCs w:val="21"/>
        </w:rPr>
        <w:t>大小非</w:t>
      </w:r>
      <w:r w:rsidRPr="00800D22">
        <w:rPr>
          <w:rFonts w:ascii="宋体" w:hAnsi="宋体" w:hint="eastAsia"/>
          <w:kern w:val="0"/>
          <w:szCs w:val="21"/>
        </w:rPr>
        <w:t>”</w:t>
      </w:r>
      <w:r w:rsidRPr="00800D22">
        <w:rPr>
          <w:rFonts w:ascii="宋体" w:hAnsi="宋体"/>
          <w:kern w:val="0"/>
          <w:szCs w:val="21"/>
        </w:rPr>
        <w:t>减</w:t>
      </w:r>
      <w:proofErr w:type="gramStart"/>
      <w:r w:rsidRPr="00800D22">
        <w:rPr>
          <w:rFonts w:ascii="宋体" w:hAnsi="宋体"/>
          <w:kern w:val="0"/>
          <w:szCs w:val="21"/>
        </w:rPr>
        <w:t>持压力</w:t>
      </w:r>
      <w:proofErr w:type="gramEnd"/>
      <w:r w:rsidRPr="00800D22">
        <w:rPr>
          <w:rFonts w:ascii="宋体" w:hAnsi="宋体"/>
          <w:kern w:val="0"/>
          <w:szCs w:val="21"/>
        </w:rPr>
        <w:t>的第二项新举措进入</w:t>
      </w:r>
      <w:r w:rsidRPr="00800D22">
        <w:rPr>
          <w:rFonts w:ascii="宋体" w:hAnsi="宋体" w:hint="eastAsia"/>
          <w:kern w:val="0"/>
          <w:szCs w:val="21"/>
        </w:rPr>
        <w:t>了</w:t>
      </w:r>
      <w:r w:rsidRPr="00800D22">
        <w:rPr>
          <w:rFonts w:ascii="宋体" w:hAnsi="宋体"/>
          <w:kern w:val="0"/>
          <w:szCs w:val="21"/>
        </w:rPr>
        <w:t>市场</w:t>
      </w:r>
      <w:r w:rsidRPr="00800D22">
        <w:rPr>
          <w:rFonts w:ascii="宋体" w:hAnsi="宋体" w:hint="eastAsia"/>
          <w:kern w:val="0"/>
          <w:szCs w:val="21"/>
        </w:rPr>
        <w:t>实质性操作</w:t>
      </w:r>
      <w:r w:rsidRPr="00800D22">
        <w:rPr>
          <w:rFonts w:ascii="宋体" w:hAnsi="宋体"/>
          <w:kern w:val="0"/>
          <w:szCs w:val="21"/>
        </w:rPr>
        <w:t>阶段。</w:t>
      </w:r>
      <w:r w:rsidRPr="00800D22">
        <w:rPr>
          <w:rFonts w:ascii="宋体" w:hAnsi="宋体" w:hint="eastAsia"/>
          <w:kern w:val="0"/>
          <w:szCs w:val="21"/>
        </w:rPr>
        <w:t>鉴于国外资本市场发行可交换债券减持股份的成功案例，我国是否也可以通过发行可交换债券来平缓“大小非”的减持？笔者认为，目前在国内发展可交换债券仍面临着诸多难题。</w:t>
      </w:r>
    </w:p>
    <w:p w14:paraId="6BB06F60" w14:textId="77777777" w:rsidR="008F4122" w:rsidRPr="00800D22" w:rsidRDefault="008F4122" w:rsidP="008F4122">
      <w:pPr>
        <w:spacing w:line="440" w:lineRule="exact"/>
        <w:ind w:firstLineChars="200" w:firstLine="420"/>
        <w:rPr>
          <w:rFonts w:ascii="宋体" w:hAnsi="宋体"/>
          <w:kern w:val="0"/>
          <w:szCs w:val="21"/>
        </w:rPr>
      </w:pPr>
      <w:r w:rsidRPr="00800D22">
        <w:rPr>
          <w:rFonts w:ascii="宋体" w:hAnsi="宋体" w:hint="eastAsia"/>
          <w:kern w:val="0"/>
          <w:szCs w:val="21"/>
        </w:rPr>
        <w:t>首先是市场环境。与国外发达资本市场相比，我国的资本市场起步较晚，基础较为薄弱，很多方面亟待完善</w:t>
      </w:r>
      <w:r w:rsidRPr="00800D22">
        <w:rPr>
          <w:rFonts w:hint="eastAsia"/>
          <w:szCs w:val="21"/>
        </w:rPr>
        <w:t>：（</w:t>
      </w:r>
      <w:r w:rsidRPr="00800D22">
        <w:rPr>
          <w:rFonts w:hint="eastAsia"/>
          <w:szCs w:val="21"/>
        </w:rPr>
        <w:t>1</w:t>
      </w:r>
      <w:r w:rsidRPr="00800D22">
        <w:rPr>
          <w:rFonts w:hint="eastAsia"/>
          <w:szCs w:val="21"/>
        </w:rPr>
        <w:t>）机构投资者实力不强。与国外资本市场投资者构成不同，我国目前资本市场的投资者很大一部分属于散户投资者群体，少量的机构投资者主要集中在证券公司、封闭</w:t>
      </w:r>
      <w:r w:rsidRPr="00800D22">
        <w:rPr>
          <w:rFonts w:hint="eastAsia"/>
          <w:szCs w:val="21"/>
        </w:rPr>
        <w:t>/</w:t>
      </w:r>
      <w:r w:rsidRPr="00800D22">
        <w:rPr>
          <w:rFonts w:hint="eastAsia"/>
          <w:szCs w:val="21"/>
        </w:rPr>
        <w:t>开放式基金，这些投资者与国外合格的机构投资者相比，主要有以下几个方面的区别：一是驾驭市场风险的能力不强，造成股市投机氛围增大，不利于市场的稳定；另一方面即便是机构投资者，由于大多数所有制性质属于国有，机构最终不承担风险，这就导致了某些时期不可避免地出现政策救市行为，从而在一定程度上扭曲了股市。（</w:t>
      </w:r>
      <w:r w:rsidRPr="00800D22">
        <w:rPr>
          <w:rFonts w:hint="eastAsia"/>
          <w:szCs w:val="21"/>
        </w:rPr>
        <w:t>2</w:t>
      </w:r>
      <w:r w:rsidRPr="00800D22">
        <w:rPr>
          <w:rFonts w:hint="eastAsia"/>
          <w:szCs w:val="21"/>
        </w:rPr>
        <w:t>）</w:t>
      </w:r>
      <w:r w:rsidRPr="00800D22">
        <w:rPr>
          <w:szCs w:val="21"/>
        </w:rPr>
        <w:t>缺乏必要的金融衍生产品市场。中国的金融衍生产品市场</w:t>
      </w:r>
      <w:r w:rsidRPr="00800D22">
        <w:rPr>
          <w:rFonts w:hint="eastAsia"/>
          <w:szCs w:val="21"/>
        </w:rPr>
        <w:t>目前</w:t>
      </w:r>
      <w:r w:rsidRPr="00800D22">
        <w:rPr>
          <w:szCs w:val="21"/>
        </w:rPr>
        <w:t>还处于相当初级的阶段。随着</w:t>
      </w:r>
      <w:r w:rsidRPr="00800D22">
        <w:rPr>
          <w:rFonts w:hint="eastAsia"/>
          <w:szCs w:val="21"/>
        </w:rPr>
        <w:t>证券市场的发展以及</w:t>
      </w:r>
      <w:r w:rsidRPr="00800D22">
        <w:rPr>
          <w:szCs w:val="21"/>
        </w:rPr>
        <w:t>汇率、利率形成机制</w:t>
      </w:r>
      <w:r w:rsidRPr="00800D22">
        <w:rPr>
          <w:rFonts w:hint="eastAsia"/>
          <w:szCs w:val="21"/>
        </w:rPr>
        <w:t>的逐步完善</w:t>
      </w:r>
      <w:r w:rsidRPr="00800D22">
        <w:rPr>
          <w:szCs w:val="21"/>
        </w:rPr>
        <w:t>，推出基于</w:t>
      </w:r>
      <w:r w:rsidRPr="00800D22">
        <w:rPr>
          <w:rFonts w:hint="eastAsia"/>
          <w:szCs w:val="21"/>
        </w:rPr>
        <w:t>股指、</w:t>
      </w:r>
      <w:r w:rsidRPr="00800D22">
        <w:rPr>
          <w:szCs w:val="21"/>
        </w:rPr>
        <w:t>汇率</w:t>
      </w:r>
      <w:r w:rsidRPr="00800D22">
        <w:rPr>
          <w:rFonts w:hint="eastAsia"/>
          <w:szCs w:val="21"/>
        </w:rPr>
        <w:t>和</w:t>
      </w:r>
      <w:r w:rsidRPr="00800D22">
        <w:rPr>
          <w:szCs w:val="21"/>
        </w:rPr>
        <w:t>利率的衍生产品的市场条件正</w:t>
      </w:r>
      <w:r w:rsidRPr="00800D22">
        <w:rPr>
          <w:rFonts w:hint="eastAsia"/>
          <w:szCs w:val="21"/>
        </w:rPr>
        <w:t>日趋</w:t>
      </w:r>
      <w:r w:rsidRPr="00800D22">
        <w:rPr>
          <w:szCs w:val="21"/>
        </w:rPr>
        <w:t>成熟。在债券市场方面，很多商业银行已遭遇大量持有长期国债的利率风险，对债券衍生产品的交易需求日益迫切</w:t>
      </w:r>
      <w:r w:rsidRPr="00800D22">
        <w:rPr>
          <w:rFonts w:hint="eastAsia"/>
          <w:szCs w:val="21"/>
        </w:rPr>
        <w:t>。而</w:t>
      </w:r>
      <w:r w:rsidRPr="00800D22">
        <w:rPr>
          <w:szCs w:val="21"/>
        </w:rPr>
        <w:t>在外汇市场方面，随着汇率形成机制的进一步市场化，汇率风险逐渐显现，</w:t>
      </w:r>
      <w:r w:rsidRPr="00800D22">
        <w:rPr>
          <w:rFonts w:hint="eastAsia"/>
          <w:szCs w:val="21"/>
        </w:rPr>
        <w:t>机构</w:t>
      </w:r>
      <w:r w:rsidRPr="00800D22">
        <w:rPr>
          <w:szCs w:val="21"/>
        </w:rPr>
        <w:t>迫切需要通过衍生品交易</w:t>
      </w:r>
      <w:r w:rsidRPr="00800D22">
        <w:rPr>
          <w:rFonts w:hint="eastAsia"/>
          <w:szCs w:val="21"/>
        </w:rPr>
        <w:t>来</w:t>
      </w:r>
      <w:r w:rsidRPr="00800D22">
        <w:rPr>
          <w:szCs w:val="21"/>
        </w:rPr>
        <w:t>规避风险。</w:t>
      </w:r>
      <w:r w:rsidRPr="00800D22">
        <w:rPr>
          <w:rFonts w:hint="eastAsia"/>
          <w:szCs w:val="21"/>
        </w:rPr>
        <w:t>（</w:t>
      </w:r>
      <w:r w:rsidRPr="00800D22">
        <w:rPr>
          <w:rFonts w:hint="eastAsia"/>
          <w:szCs w:val="21"/>
        </w:rPr>
        <w:t>3</w:t>
      </w:r>
      <w:r w:rsidRPr="00800D22">
        <w:rPr>
          <w:rFonts w:hint="eastAsia"/>
          <w:szCs w:val="21"/>
        </w:rPr>
        <w:t>）金融市场开放程度不够。在全球经济一体化的大背景下，金融市场开放已成为必然的趋势。但我国的资本市场仍处于“半封闭”状态，这在一定程度上制约了我国金融市场跟国际金融市场的接轨。</w:t>
      </w:r>
    </w:p>
    <w:p w14:paraId="6AADB207" w14:textId="77777777" w:rsidR="008F4122" w:rsidRPr="00800D22" w:rsidRDefault="008F4122" w:rsidP="008F4122">
      <w:pPr>
        <w:spacing w:line="440" w:lineRule="exact"/>
        <w:ind w:firstLineChars="200" w:firstLine="420"/>
        <w:rPr>
          <w:b/>
          <w:szCs w:val="21"/>
        </w:rPr>
      </w:pPr>
      <w:r w:rsidRPr="00800D22">
        <w:rPr>
          <w:rFonts w:hint="eastAsia"/>
          <w:szCs w:val="21"/>
        </w:rPr>
        <w:t>其次，从发行人的角度来看，按照《试行规定》对发行人资质及标的股票的要求，目前符合可交换债券发行条件的上市公司股东有上千家，但基本上都是“大非”股东；数量众多的“小非”股东由于规模和资金实力达不到《试行规定》的要求而被挡在了发债的高门槛之外。笔者关注到，“大小非”股东由于所站的利益角度不同，因此对</w:t>
      </w:r>
      <w:proofErr w:type="gramStart"/>
      <w:r w:rsidRPr="00800D22">
        <w:rPr>
          <w:rFonts w:hint="eastAsia"/>
          <w:szCs w:val="21"/>
        </w:rPr>
        <w:t>解禁股</w:t>
      </w:r>
      <w:proofErr w:type="gramEnd"/>
      <w:r w:rsidRPr="00800D22">
        <w:rPr>
          <w:rFonts w:hint="eastAsia"/>
          <w:szCs w:val="21"/>
        </w:rPr>
        <w:t>的减持意愿并不相同：“大非”股东经常是出于对上市公司控制权及稳健经营的考虑，往往</w:t>
      </w:r>
      <w:proofErr w:type="gramStart"/>
      <w:r w:rsidRPr="00800D22">
        <w:rPr>
          <w:rFonts w:hint="eastAsia"/>
          <w:szCs w:val="21"/>
        </w:rPr>
        <w:t>对减持行为</w:t>
      </w:r>
      <w:proofErr w:type="gramEnd"/>
      <w:r w:rsidRPr="00800D22">
        <w:rPr>
          <w:rFonts w:hint="eastAsia"/>
          <w:szCs w:val="21"/>
        </w:rPr>
        <w:t>持较为谨慎的态度，除非公司出现严重的资金压力；相反，在上市公司股价出现较大跌幅时，“大非”股东从长期战略发展角度考虑往往会采取增持的策略以增强控制权。相对于“大非”股东，“小非”股东更多的是考虑股价未来走势对其投资收益的影响。由于持股成本非常低廉，当股市出现中长期下跌趋势时，“小非”股东往往会选择抛售</w:t>
      </w:r>
      <w:proofErr w:type="gramStart"/>
      <w:r w:rsidRPr="00800D22">
        <w:rPr>
          <w:rFonts w:hint="eastAsia"/>
          <w:szCs w:val="21"/>
        </w:rPr>
        <w:t>解禁股</w:t>
      </w:r>
      <w:proofErr w:type="gramEnd"/>
      <w:r w:rsidRPr="00800D22">
        <w:rPr>
          <w:rFonts w:hint="eastAsia"/>
          <w:szCs w:val="21"/>
        </w:rPr>
        <w:t>套现。也就是说，当限售股解禁时，“小非”股东的减持意愿比“大非”股东更为强烈。若“小非”股东无法发行可交换债券，则会继续通过二级市场或交易所大宗交易平台进行股份减持，这样一来可交换债券在缓解“大小非”减</w:t>
      </w:r>
      <w:proofErr w:type="gramStart"/>
      <w:r w:rsidRPr="00800D22">
        <w:rPr>
          <w:rFonts w:hint="eastAsia"/>
          <w:szCs w:val="21"/>
        </w:rPr>
        <w:t>持压力</w:t>
      </w:r>
      <w:proofErr w:type="gramEnd"/>
      <w:r w:rsidRPr="00800D22">
        <w:rPr>
          <w:rFonts w:hint="eastAsia"/>
          <w:szCs w:val="21"/>
        </w:rPr>
        <w:t>方面所起到的作用将非常有限。</w:t>
      </w:r>
    </w:p>
    <w:p w14:paraId="2493B5FF" w14:textId="77777777" w:rsidR="008F4122" w:rsidRPr="00800D22" w:rsidRDefault="008F4122" w:rsidP="008F4122">
      <w:pPr>
        <w:spacing w:line="440" w:lineRule="exact"/>
        <w:ind w:firstLineChars="200" w:firstLine="420"/>
        <w:rPr>
          <w:szCs w:val="21"/>
        </w:rPr>
      </w:pPr>
      <w:r w:rsidRPr="00800D22">
        <w:rPr>
          <w:rFonts w:hint="eastAsia"/>
          <w:szCs w:val="21"/>
        </w:rPr>
        <w:t>即便“小非”股东达到了发行可交换债券的要求，其利用可交换债券进行股份减持的意愿可能不强，这涉及到发债成本问题。发行可交换债券的成本包括支付给承销商、信用评级公司等中介机构的费用，债券利息，等等。对于“小非”股东来说，由于依据所持股份市值计算的可发债融资额较小，因此这部分成本占融资额的比例相对较大，从成本节约方面考虑的话，显然通过二级市场或大宗交易平台进行股份减</w:t>
      </w:r>
      <w:proofErr w:type="gramStart"/>
      <w:r w:rsidRPr="00800D22">
        <w:rPr>
          <w:rFonts w:hint="eastAsia"/>
          <w:szCs w:val="21"/>
        </w:rPr>
        <w:t>持更为</w:t>
      </w:r>
      <w:proofErr w:type="gramEnd"/>
      <w:r w:rsidRPr="00800D22">
        <w:rPr>
          <w:rFonts w:hint="eastAsia"/>
          <w:szCs w:val="21"/>
        </w:rPr>
        <w:t>划算。虽然可交换债券发行利率较低且发行人可以获得溢价处置股权的机会，但一旦债券在规定期限内换股失败，则发行人到期将面临还本压力。</w:t>
      </w:r>
    </w:p>
    <w:p w14:paraId="51B9D05A" w14:textId="77777777" w:rsidR="008F4122" w:rsidRPr="00800D22" w:rsidRDefault="008F4122" w:rsidP="008F4122">
      <w:pPr>
        <w:spacing w:line="440" w:lineRule="exact"/>
        <w:ind w:firstLineChars="200" w:firstLine="420"/>
        <w:rPr>
          <w:szCs w:val="21"/>
        </w:rPr>
      </w:pPr>
      <w:r w:rsidRPr="00800D22">
        <w:rPr>
          <w:rFonts w:hint="eastAsia"/>
          <w:szCs w:val="21"/>
        </w:rPr>
        <w:t>此外，笔者关注到《试行规定》中对发债主体的规定条款可能存在一定的不合理性，从而影响到可交换债券的发行。可能存在这样一种情况：发债主体是自然人股东且满足《试行规定》中的要求，但该股东除了上市公司这块资产之外无其他资产。从信用评级的角度来看，虽然可交换债券的发行相当于发行人以股权质押的方式为当期债券提供担保，但当股价下跌造成担保物贬值而发行人又无其他可靠收入来源时，当期债券的信用级别将会很差，这将影响投资者对该类债券的投资需求，进而影响债券的发行。</w:t>
      </w:r>
    </w:p>
    <w:p w14:paraId="607AE8EE" w14:textId="77777777" w:rsidR="008F4122" w:rsidRPr="00800D22" w:rsidRDefault="008F4122" w:rsidP="008F4122">
      <w:pPr>
        <w:spacing w:line="440" w:lineRule="exact"/>
        <w:ind w:firstLineChars="200" w:firstLine="420"/>
        <w:rPr>
          <w:szCs w:val="21"/>
        </w:rPr>
      </w:pPr>
      <w:r w:rsidRPr="00800D22">
        <w:rPr>
          <w:rFonts w:hint="eastAsia"/>
          <w:szCs w:val="21"/>
        </w:rPr>
        <w:t>最后，虽然可转换债券和可交换债券同属于包含股票看涨期权的金融衍生产品，但两者对投资者的吸引力还是有所不同的：可转换债券具有财务杠杆效应，上市公司若通过可转换债券融资经营取得成效的话，将对二级市场的股价产生正面影响，因此投资者在购买可转换债券时既能获得稳定的收益，又能享受到财务杠杆效应可能带来的股权增值机会；而可交换债券由于债券发行人和标的股票发行人不是同一发行主体，股东利用可交换债券进行融资的行为对上市公司来说不具有财务杠杆效应，因此其对投资者的吸引力有限。按照《试行规定》中对可交换债券换股价格的规定：</w:t>
      </w:r>
      <w:r w:rsidRPr="00800D22">
        <w:rPr>
          <w:szCs w:val="21"/>
        </w:rPr>
        <w:t>公司债券交换为每股股份的价格应当不低于公告募集说明书日前</w:t>
      </w:r>
      <w:r w:rsidRPr="00800D22">
        <w:rPr>
          <w:szCs w:val="21"/>
        </w:rPr>
        <w:t>20</w:t>
      </w:r>
      <w:r w:rsidRPr="00800D22">
        <w:rPr>
          <w:szCs w:val="21"/>
        </w:rPr>
        <w:t>个交易日公司股票均价和前一个交易日的均价</w:t>
      </w:r>
      <w:r w:rsidRPr="00800D22">
        <w:rPr>
          <w:rFonts w:hint="eastAsia"/>
          <w:szCs w:val="21"/>
        </w:rPr>
        <w:t>，可以近似地认为换股价格与股票当前价格是一致的。因此，在没有财务杠杆效应的前提下，若投资者看好可交换债券未来的换股价值，则其直接从二级市场上购买股票比先购买可交换债券再转换成股票显然更为合理，因为时间成本更低，换言之风险更小。</w:t>
      </w:r>
    </w:p>
    <w:p w14:paraId="6646E34D" w14:textId="77777777" w:rsidR="008F4122" w:rsidRPr="00800D22" w:rsidRDefault="008F4122" w:rsidP="008F4122">
      <w:pPr>
        <w:spacing w:line="440" w:lineRule="exact"/>
        <w:ind w:firstLineChars="200" w:firstLine="420"/>
        <w:rPr>
          <w:szCs w:val="21"/>
        </w:rPr>
      </w:pPr>
      <w:r w:rsidRPr="00800D22">
        <w:rPr>
          <w:rFonts w:hint="eastAsia"/>
          <w:szCs w:val="21"/>
        </w:rPr>
        <w:t>综合来看，目前我国发展可交换债券的市场基础仍较薄弱，发行人和投资者对此类金融衍生产品的认可度不高，因此可以预见的是，短期内利用可交换债券缓解“大小非”减</w:t>
      </w:r>
      <w:proofErr w:type="gramStart"/>
      <w:r w:rsidRPr="00800D22">
        <w:rPr>
          <w:rFonts w:hint="eastAsia"/>
          <w:szCs w:val="21"/>
        </w:rPr>
        <w:t>持压力</w:t>
      </w:r>
      <w:proofErr w:type="gramEnd"/>
      <w:r w:rsidRPr="00800D22">
        <w:rPr>
          <w:rFonts w:hint="eastAsia"/>
          <w:szCs w:val="21"/>
        </w:rPr>
        <w:t>的理论设想可能较难付诸实践。</w:t>
      </w:r>
    </w:p>
    <w:p w14:paraId="488AEFF1" w14:textId="77777777" w:rsidR="008F4122" w:rsidRPr="00800D22" w:rsidRDefault="008F4122" w:rsidP="008F4122">
      <w:pPr>
        <w:spacing w:line="440" w:lineRule="exact"/>
        <w:ind w:firstLineChars="199" w:firstLine="420"/>
        <w:rPr>
          <w:rFonts w:ascii="宋体" w:hAnsi="宋体"/>
          <w:b/>
          <w:szCs w:val="21"/>
          <w:vertAlign w:val="superscript"/>
        </w:rPr>
      </w:pPr>
      <w:bookmarkStart w:id="9" w:name="_Toc215412049"/>
      <w:r w:rsidRPr="00800D22">
        <w:rPr>
          <w:rFonts w:hint="eastAsia"/>
          <w:b/>
          <w:szCs w:val="21"/>
        </w:rPr>
        <w:t>（二）</w:t>
      </w:r>
      <w:r w:rsidRPr="00800D22">
        <w:rPr>
          <w:rFonts w:ascii="宋体" w:hAnsi="宋体" w:hint="eastAsia"/>
          <w:b/>
          <w:szCs w:val="21"/>
        </w:rPr>
        <w:t>我国发展可交换债券的出路</w:t>
      </w:r>
      <w:bookmarkEnd w:id="9"/>
    </w:p>
    <w:p w14:paraId="1523CAC4" w14:textId="77777777" w:rsidR="008F4122" w:rsidRPr="00800D22" w:rsidRDefault="008F4122" w:rsidP="008F4122">
      <w:pPr>
        <w:spacing w:line="440" w:lineRule="exact"/>
        <w:ind w:firstLineChars="200" w:firstLine="420"/>
        <w:rPr>
          <w:szCs w:val="21"/>
        </w:rPr>
      </w:pPr>
      <w:r w:rsidRPr="00800D22">
        <w:rPr>
          <w:rFonts w:hint="eastAsia"/>
          <w:szCs w:val="21"/>
        </w:rPr>
        <w:t>基于上一部分的分析，笔者认为，要解决可交换债券在国内资本市场的发展问题，需做好以下几个方面的工作：</w:t>
      </w:r>
    </w:p>
    <w:p w14:paraId="19268F5B" w14:textId="77777777" w:rsidR="008F4122" w:rsidRPr="00800D22" w:rsidRDefault="008F4122" w:rsidP="008F4122">
      <w:pPr>
        <w:spacing w:line="440" w:lineRule="exact"/>
        <w:ind w:firstLineChars="200" w:firstLine="420"/>
        <w:rPr>
          <w:szCs w:val="21"/>
        </w:rPr>
      </w:pPr>
      <w:r w:rsidRPr="00800D22">
        <w:rPr>
          <w:rFonts w:hint="eastAsia"/>
          <w:szCs w:val="21"/>
        </w:rPr>
        <w:t>首先，必须扩大交易所债券市场的机构参与度，大力扶持并培育债券机构投资者，推动社保基金、企业年金和保险资金等机构投资者参与债券市场，形成多元化、多层次、相互竞争的专业化机构投资者队伍。从目前情况看，交易所债券市场与银行间债券市场相比规模仍偏小，其中主要的问题就是机构投资者对交易所债券市场的参与度不够。未来随着债券市场发展的逐步深入，两个市场有望实现连通，加上政府对社保基金等稳健型机构投资者的积极引导，届时交易所债券市场将得到一定程度的扩容。可交换债券作为一种</w:t>
      </w:r>
      <w:proofErr w:type="gramStart"/>
      <w:r w:rsidRPr="00800D22">
        <w:rPr>
          <w:rFonts w:hint="eastAsia"/>
          <w:szCs w:val="21"/>
        </w:rPr>
        <w:t>股债型金融</w:t>
      </w:r>
      <w:proofErr w:type="gramEnd"/>
      <w:r w:rsidRPr="00800D22">
        <w:rPr>
          <w:rFonts w:hint="eastAsia"/>
          <w:szCs w:val="21"/>
        </w:rPr>
        <w:t>衍生产品，比较适合于稳健型机构投资者进行长期投资，在获得债券稳定回报的同时还可能享受到股权增值带来的超额收益。</w:t>
      </w:r>
    </w:p>
    <w:p w14:paraId="77565AD7" w14:textId="77777777" w:rsidR="008F4122" w:rsidRPr="00800D22" w:rsidRDefault="008F4122" w:rsidP="008F4122">
      <w:pPr>
        <w:spacing w:line="440" w:lineRule="exact"/>
        <w:ind w:firstLineChars="200" w:firstLine="420"/>
        <w:rPr>
          <w:szCs w:val="21"/>
        </w:rPr>
      </w:pPr>
      <w:r w:rsidRPr="00800D22">
        <w:rPr>
          <w:rFonts w:hint="eastAsia"/>
          <w:szCs w:val="21"/>
        </w:rPr>
        <w:t>其次，政府必须为可交换债券设计出合理的市场机制。针对前一部分提到的“小非”股东面临发行可交换债券的高门槛问题和成本问题，笔者认为可以采取以下两方面的措施：一是政府可以适当降低发行条件以扩大发行参与范围，并辅以强制担保形式以保障债券的如期偿还，同时降低可交换债券在发行环节的费用。当然，政府必须兼顾承销商等中介机构的利益，因此可以对承销商等中介机构采取专项补贴或专项减税的方式进行扶持，以均衡市场各方的利益。二是可以借鉴中小企业集合债的模式，多个“小非”股东采取“</w:t>
      </w:r>
      <w:r w:rsidRPr="00800D22">
        <w:rPr>
          <w:szCs w:val="21"/>
        </w:rPr>
        <w:t>统一冠名、分别负债、分别担保、捆绑发行</w:t>
      </w:r>
      <w:r w:rsidRPr="00800D22">
        <w:rPr>
          <w:rFonts w:hint="eastAsia"/>
          <w:szCs w:val="21"/>
        </w:rPr>
        <w:t>”</w:t>
      </w:r>
      <w:r w:rsidRPr="00800D22">
        <w:rPr>
          <w:szCs w:val="21"/>
        </w:rPr>
        <w:t>的方式发债</w:t>
      </w:r>
      <w:r w:rsidRPr="00800D22">
        <w:rPr>
          <w:rFonts w:hint="eastAsia"/>
          <w:szCs w:val="21"/>
        </w:rPr>
        <w:t>，以满足《试行规定》中对发行人资质的要求。集合可交换债券的标的股票可以是各个“小非”股东分别持有的不同股权，这就为可交换债券持有人提供了更多的换股选择；同时可以在换股价格定价机制上进行创新，以套利机会吸引更多的民间资金参与可交换债券的投资，提高可交换债券市场的活跃程度。</w:t>
      </w:r>
    </w:p>
    <w:p w14:paraId="46E7E091" w14:textId="77777777" w:rsidR="008F4122" w:rsidRPr="00800D22" w:rsidRDefault="008F4122" w:rsidP="008F4122">
      <w:pPr>
        <w:spacing w:line="440" w:lineRule="exact"/>
        <w:ind w:firstLineChars="200" w:firstLine="420"/>
        <w:rPr>
          <w:szCs w:val="21"/>
        </w:rPr>
      </w:pPr>
      <w:r w:rsidRPr="00800D22">
        <w:rPr>
          <w:rFonts w:hint="eastAsia"/>
          <w:szCs w:val="21"/>
        </w:rPr>
        <w:t>最后，必须扩大可交换债券的应用领域。目前证监会推出可交换债券的目的在于缓解“大小非”的减持压力，但当“大小非”解禁高峰期过了之后，是否意味着可交换债券在国内失去市场了呢？从国外资本市场发展经验来看，可交换债券存在较大的创新空间，可以广泛应用于企业普通融资、并购重组等多个领域。</w:t>
      </w:r>
    </w:p>
    <w:p w14:paraId="489EFB42" w14:textId="77777777" w:rsidR="008F4122" w:rsidRPr="00800D22" w:rsidRDefault="008F4122" w:rsidP="008F4122">
      <w:pPr>
        <w:spacing w:line="440" w:lineRule="exact"/>
        <w:ind w:firstLineChars="200" w:firstLine="420"/>
        <w:rPr>
          <w:szCs w:val="21"/>
        </w:rPr>
      </w:pPr>
      <w:r w:rsidRPr="00800D22">
        <w:rPr>
          <w:rFonts w:hint="eastAsia"/>
          <w:szCs w:val="21"/>
        </w:rPr>
        <w:t>企业在实施并购重组时首先遇到的难题是资金的筹集问题，目前的资金筹集方式主要有：（</w:t>
      </w:r>
      <w:r w:rsidRPr="00800D22">
        <w:rPr>
          <w:rFonts w:hint="eastAsia"/>
          <w:szCs w:val="21"/>
        </w:rPr>
        <w:t>1</w:t>
      </w:r>
      <w:r w:rsidRPr="00800D22">
        <w:rPr>
          <w:rFonts w:hint="eastAsia"/>
          <w:szCs w:val="21"/>
        </w:rPr>
        <w:t>）直接在资本市场、产权交易市场或通过协议转让出售部分资产或股权，以获得资金。这种方式获得的资金有限，不能满足收购兼并的资金需求。（</w:t>
      </w:r>
      <w:r w:rsidRPr="00800D22">
        <w:rPr>
          <w:rFonts w:hint="eastAsia"/>
          <w:szCs w:val="21"/>
        </w:rPr>
        <w:t>2</w:t>
      </w:r>
      <w:r w:rsidRPr="00800D22">
        <w:rPr>
          <w:rFonts w:hint="eastAsia"/>
          <w:szCs w:val="21"/>
        </w:rPr>
        <w:t>）通过向银行和其他金融机构筹集。这种方式的缺点是筹集困难，可能受到借出资金机构的控制，而且容易被反收购方所瓦解。通过在收购前发行可交换债券，不但能解决资金有限的问题，而且不会像其他杠杆收购一样容易失去控制权和被对手瓦解。这种可交换债券被称为“并购可交换债券”，它是专为实施并购策略而发行的，其转换对象可以是某一（或多个）指定或未指定的、发行人尚未拥有或尚未完全拥有的收购目标公司的股票。并购可交换债券直接从一级市场筹集资金，可以充分利用一级市场资金充足的特点，使所需资金及时到位，而且并购可交换债券不会像其他杠杆收购手段一样，容易失去控制权和被反收购方瓦解，主要是因为发行并购可交换债券借的是一级市场上广大投资者的资金，并购完成后，投资者换股，除了发行人自己将拥有部分股权外，其他股权将比较分散，不易形成对发行人有竞争力的威胁，也不易被反收购</w:t>
      </w:r>
      <w:proofErr w:type="gramStart"/>
      <w:r w:rsidRPr="00800D22">
        <w:rPr>
          <w:rFonts w:hint="eastAsia"/>
          <w:szCs w:val="21"/>
        </w:rPr>
        <w:t>方购集</w:t>
      </w:r>
      <w:proofErr w:type="gramEnd"/>
      <w:r w:rsidRPr="00800D22">
        <w:rPr>
          <w:rFonts w:hint="eastAsia"/>
          <w:szCs w:val="21"/>
        </w:rPr>
        <w:t>。并购可交换债券的转换标的可以是发行人在发行时尚未拥有或尚未完全拥有的多种股票和证券，因此，并购可交换债券的发行可使发行人一次对多种不同的未来股权实行转让，实现一次性的资金大筹集。而且，发行人可以利用一般投资者对收购目标企业股票的额外关注，通过发行不指明转换对象即收购目标的可交换债券，来达到筹集收购资金的目的。为迷惑反收购方，发行人甚至还可以设计出更为复杂的可交换债券交换对象。</w:t>
      </w:r>
    </w:p>
    <w:p w14:paraId="1619F1FD" w14:textId="77777777" w:rsidR="008F4122" w:rsidRPr="00800D22" w:rsidRDefault="008F4122" w:rsidP="008F4122">
      <w:pPr>
        <w:spacing w:line="440" w:lineRule="exact"/>
        <w:ind w:firstLineChars="200" w:firstLine="420"/>
        <w:rPr>
          <w:sz w:val="24"/>
        </w:rPr>
      </w:pPr>
      <w:r w:rsidRPr="00800D22">
        <w:rPr>
          <w:rFonts w:hint="eastAsia"/>
          <w:szCs w:val="21"/>
        </w:rPr>
        <w:t>未来随着全球经济一体化趋势的增强，国际资本市场将实现更深层次的互通与交流。在国内可交换债券市场逐步形成及完善之后，企业可以适时考虑利用可交换债券进行海外融资和并购重组等一系列资本运作以提升自身实力。与国内资本市场相比，国际资本市场的运作机制更为复杂，法律制度也更为完善，企业若想在国际资本市场发行可交换债券就必须符合一系列严格的规定，这对企业按照国际标准规范自身经营管理，提升国际市场竞争力是有一定裨益的。</w:t>
      </w:r>
    </w:p>
    <w:p w14:paraId="7C6536AC" w14:textId="77777777" w:rsidR="008F4122" w:rsidRPr="00800D22" w:rsidRDefault="008F4122" w:rsidP="008F4122">
      <w:pPr>
        <w:spacing w:line="360" w:lineRule="auto"/>
        <w:rPr>
          <w:sz w:val="24"/>
        </w:rPr>
      </w:pPr>
    </w:p>
    <w:p w14:paraId="6FDD2713" w14:textId="77777777" w:rsidR="00F900CB" w:rsidRPr="008F4122" w:rsidRDefault="00F900CB"/>
    <w:sectPr w:rsidR="00F900CB" w:rsidRPr="008F4122" w:rsidSect="00F90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F4122"/>
    <w:rsid w:val="008F4122"/>
    <w:rsid w:val="00B510E7"/>
    <w:rsid w:val="00B96E53"/>
    <w:rsid w:val="00E939DC"/>
    <w:rsid w:val="00F9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7D3BBEE4"/>
  <w15:chartTrackingRefBased/>
  <w15:docId w15:val="{A22063BD-AF28-4338-B0BA-60DF09CE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122"/>
    <w:pPr>
      <w:widowControl w:val="0"/>
      <w:spacing w:line="240" w:lineRule="auto"/>
    </w:pPr>
    <w:rPr>
      <w:rFonts w:ascii="Times New Roman" w:eastAsia="宋体" w:hAnsi="Times New Roman" w:cs="Times New Roman"/>
      <w:szCs w:val="24"/>
    </w:rPr>
  </w:style>
  <w:style w:type="paragraph" w:styleId="1">
    <w:name w:val="heading 1"/>
    <w:basedOn w:val="a"/>
    <w:next w:val="a"/>
    <w:link w:val="10"/>
    <w:uiPriority w:val="9"/>
    <w:qFormat/>
    <w:rsid w:val="008F4122"/>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8F4122"/>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8F4122"/>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8F4122"/>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8F4122"/>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8F4122"/>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8F412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12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F412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122"/>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8F4122"/>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8F4122"/>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8F4122"/>
    <w:rPr>
      <w:rFonts w:cstheme="majorBidi"/>
      <w:color w:val="365F91" w:themeColor="accent1" w:themeShade="BF"/>
      <w:sz w:val="28"/>
      <w:szCs w:val="28"/>
    </w:rPr>
  </w:style>
  <w:style w:type="character" w:customStyle="1" w:styleId="50">
    <w:name w:val="标题 5 字符"/>
    <w:basedOn w:val="a0"/>
    <w:link w:val="5"/>
    <w:uiPriority w:val="9"/>
    <w:semiHidden/>
    <w:rsid w:val="008F4122"/>
    <w:rPr>
      <w:rFonts w:cstheme="majorBidi"/>
      <w:color w:val="365F91" w:themeColor="accent1" w:themeShade="BF"/>
      <w:sz w:val="24"/>
      <w:szCs w:val="24"/>
    </w:rPr>
  </w:style>
  <w:style w:type="character" w:customStyle="1" w:styleId="60">
    <w:name w:val="标题 6 字符"/>
    <w:basedOn w:val="a0"/>
    <w:link w:val="6"/>
    <w:uiPriority w:val="9"/>
    <w:semiHidden/>
    <w:rsid w:val="008F4122"/>
    <w:rPr>
      <w:rFonts w:cstheme="majorBidi"/>
      <w:b/>
      <w:bCs/>
      <w:color w:val="365F91" w:themeColor="accent1" w:themeShade="BF"/>
    </w:rPr>
  </w:style>
  <w:style w:type="character" w:customStyle="1" w:styleId="70">
    <w:name w:val="标题 7 字符"/>
    <w:basedOn w:val="a0"/>
    <w:link w:val="7"/>
    <w:uiPriority w:val="9"/>
    <w:semiHidden/>
    <w:rsid w:val="008F4122"/>
    <w:rPr>
      <w:rFonts w:cstheme="majorBidi"/>
      <w:b/>
      <w:bCs/>
      <w:color w:val="595959" w:themeColor="text1" w:themeTint="A6"/>
    </w:rPr>
  </w:style>
  <w:style w:type="character" w:customStyle="1" w:styleId="80">
    <w:name w:val="标题 8 字符"/>
    <w:basedOn w:val="a0"/>
    <w:link w:val="8"/>
    <w:uiPriority w:val="9"/>
    <w:semiHidden/>
    <w:rsid w:val="008F4122"/>
    <w:rPr>
      <w:rFonts w:cstheme="majorBidi"/>
      <w:color w:val="595959" w:themeColor="text1" w:themeTint="A6"/>
    </w:rPr>
  </w:style>
  <w:style w:type="character" w:customStyle="1" w:styleId="90">
    <w:name w:val="标题 9 字符"/>
    <w:basedOn w:val="a0"/>
    <w:link w:val="9"/>
    <w:uiPriority w:val="9"/>
    <w:semiHidden/>
    <w:rsid w:val="008F4122"/>
    <w:rPr>
      <w:rFonts w:eastAsiaTheme="majorEastAsia" w:cstheme="majorBidi"/>
      <w:color w:val="595959" w:themeColor="text1" w:themeTint="A6"/>
    </w:rPr>
  </w:style>
  <w:style w:type="paragraph" w:styleId="a3">
    <w:name w:val="Title"/>
    <w:basedOn w:val="a"/>
    <w:next w:val="a"/>
    <w:link w:val="a4"/>
    <w:uiPriority w:val="10"/>
    <w:qFormat/>
    <w:rsid w:val="008F41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1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1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1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122"/>
    <w:pPr>
      <w:spacing w:before="160" w:after="160"/>
      <w:jc w:val="center"/>
    </w:pPr>
    <w:rPr>
      <w:i/>
      <w:iCs/>
      <w:color w:val="404040" w:themeColor="text1" w:themeTint="BF"/>
    </w:rPr>
  </w:style>
  <w:style w:type="character" w:customStyle="1" w:styleId="a8">
    <w:name w:val="引用 字符"/>
    <w:basedOn w:val="a0"/>
    <w:link w:val="a7"/>
    <w:uiPriority w:val="29"/>
    <w:rsid w:val="008F4122"/>
    <w:rPr>
      <w:i/>
      <w:iCs/>
      <w:color w:val="404040" w:themeColor="text1" w:themeTint="BF"/>
    </w:rPr>
  </w:style>
  <w:style w:type="paragraph" w:styleId="a9">
    <w:name w:val="List Paragraph"/>
    <w:basedOn w:val="a"/>
    <w:uiPriority w:val="34"/>
    <w:qFormat/>
    <w:rsid w:val="008F4122"/>
    <w:pPr>
      <w:ind w:left="720"/>
      <w:contextualSpacing/>
    </w:pPr>
  </w:style>
  <w:style w:type="character" w:styleId="aa">
    <w:name w:val="Intense Emphasis"/>
    <w:basedOn w:val="a0"/>
    <w:uiPriority w:val="21"/>
    <w:qFormat/>
    <w:rsid w:val="008F4122"/>
    <w:rPr>
      <w:i/>
      <w:iCs/>
      <w:color w:val="365F91" w:themeColor="accent1" w:themeShade="BF"/>
    </w:rPr>
  </w:style>
  <w:style w:type="paragraph" w:styleId="ab">
    <w:name w:val="Intense Quote"/>
    <w:basedOn w:val="a"/>
    <w:next w:val="a"/>
    <w:link w:val="ac"/>
    <w:uiPriority w:val="30"/>
    <w:qFormat/>
    <w:rsid w:val="008F41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8F4122"/>
    <w:rPr>
      <w:i/>
      <w:iCs/>
      <w:color w:val="365F91" w:themeColor="accent1" w:themeShade="BF"/>
    </w:rPr>
  </w:style>
  <w:style w:type="character" w:styleId="ad">
    <w:name w:val="Intense Reference"/>
    <w:basedOn w:val="a0"/>
    <w:uiPriority w:val="32"/>
    <w:qFormat/>
    <w:rsid w:val="008F4122"/>
    <w:rPr>
      <w:b/>
      <w:bCs/>
      <w:smallCaps/>
      <w:color w:val="365F91" w:themeColor="accent1" w:themeShade="BF"/>
      <w:spacing w:val="5"/>
    </w:rPr>
  </w:style>
  <w:style w:type="paragraph" w:styleId="ae">
    <w:name w:val="caption"/>
    <w:basedOn w:val="a"/>
    <w:next w:val="a"/>
    <w:qFormat/>
    <w:rsid w:val="008F4122"/>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2025-10-21T07:25:00Z</dcterms:created>
  <dcterms:modified xsi:type="dcterms:W3CDTF">2025-10-21T10:07:00Z</dcterms:modified>
</cp:coreProperties>
</file>