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0476" w14:textId="1386011B" w:rsidR="00244245" w:rsidRDefault="00244245" w:rsidP="00244245">
      <w:pPr>
        <w:spacing w:beforeLines="150" w:before="468" w:afterLines="50" w:after="156" w:line="440" w:lineRule="exact"/>
        <w:jc w:val="center"/>
        <w:outlineLvl w:val="1"/>
        <w:rPr>
          <w:rFonts w:ascii="黑体" w:eastAsia="黑体"/>
          <w:bCs/>
          <w:sz w:val="32"/>
          <w:szCs w:val="32"/>
        </w:rPr>
      </w:pPr>
      <w:r w:rsidRPr="00800D22">
        <w:rPr>
          <w:rFonts w:ascii="黑体" w:eastAsia="黑体"/>
          <w:bCs/>
          <w:sz w:val="32"/>
          <w:szCs w:val="32"/>
        </w:rPr>
        <w:t>金融债券</w:t>
      </w:r>
      <w:r>
        <w:rPr>
          <w:rFonts w:ascii="黑体" w:eastAsia="黑体" w:hint="eastAsia"/>
          <w:bCs/>
          <w:sz w:val="32"/>
          <w:szCs w:val="32"/>
        </w:rPr>
        <w:t>市场</w:t>
      </w:r>
      <w:r w:rsidRPr="00800D22">
        <w:rPr>
          <w:rFonts w:ascii="黑体" w:eastAsia="黑体"/>
          <w:bCs/>
          <w:sz w:val="32"/>
          <w:szCs w:val="32"/>
        </w:rPr>
        <w:t>发展</w:t>
      </w:r>
      <w:r>
        <w:rPr>
          <w:rFonts w:ascii="黑体" w:eastAsia="黑体" w:hint="eastAsia"/>
          <w:bCs/>
          <w:sz w:val="32"/>
          <w:szCs w:val="32"/>
        </w:rPr>
        <w:t>与增信</w:t>
      </w:r>
      <w:r w:rsidRPr="00800D22">
        <w:rPr>
          <w:rFonts w:ascii="黑体" w:eastAsia="黑体"/>
          <w:bCs/>
          <w:sz w:val="32"/>
          <w:szCs w:val="32"/>
        </w:rPr>
        <w:t>概况</w:t>
      </w:r>
    </w:p>
    <w:p w14:paraId="1DCFF4D4" w14:textId="77777777" w:rsidR="00244245" w:rsidRPr="00244245" w:rsidRDefault="00244245" w:rsidP="00244245">
      <w:pPr>
        <w:spacing w:line="440" w:lineRule="exact"/>
        <w:ind w:firstLineChars="200" w:firstLine="480"/>
        <w:rPr>
          <w:rFonts w:hint="eastAsia"/>
          <w:sz w:val="24"/>
        </w:rPr>
      </w:pPr>
    </w:p>
    <w:p w14:paraId="1665F7B0" w14:textId="4E550F43" w:rsidR="00244245" w:rsidRPr="00800D22" w:rsidRDefault="00244245" w:rsidP="00244245">
      <w:pPr>
        <w:pStyle w:val="3"/>
        <w:adjustRightInd w:val="0"/>
        <w:spacing w:beforeLines="50" w:before="156" w:afterLines="50" w:after="156" w:line="440" w:lineRule="exact"/>
        <w:ind w:firstLineChars="200" w:firstLine="562"/>
        <w:jc w:val="left"/>
        <w:rPr>
          <w:rFonts w:ascii="黑体" w:eastAsia="黑体" w:hint="eastAsia"/>
          <w:b/>
          <w:sz w:val="28"/>
          <w:szCs w:val="28"/>
        </w:rPr>
      </w:pPr>
      <w:bookmarkStart w:id="0" w:name="_Toc256506350"/>
      <w:r>
        <w:rPr>
          <w:rFonts w:ascii="黑体" w:eastAsia="黑体" w:hint="eastAsia"/>
          <w:b/>
          <w:sz w:val="28"/>
          <w:szCs w:val="28"/>
        </w:rPr>
        <w:t>一、</w:t>
      </w:r>
      <w:r w:rsidRPr="00800D22">
        <w:rPr>
          <w:rFonts w:ascii="黑体" w:eastAsia="黑体" w:hint="eastAsia"/>
          <w:b/>
          <w:sz w:val="28"/>
          <w:szCs w:val="28"/>
        </w:rPr>
        <w:t>金融债券定义</w:t>
      </w:r>
      <w:bookmarkEnd w:id="0"/>
    </w:p>
    <w:p w14:paraId="60DBE617" w14:textId="77777777" w:rsidR="00244245" w:rsidRPr="00800D22" w:rsidRDefault="00244245" w:rsidP="00244245">
      <w:pPr>
        <w:spacing w:line="440" w:lineRule="exact"/>
        <w:ind w:firstLineChars="200" w:firstLine="480"/>
        <w:rPr>
          <w:rFonts w:hint="eastAsia"/>
          <w:sz w:val="24"/>
        </w:rPr>
      </w:pPr>
      <w:r w:rsidRPr="00800D22">
        <w:rPr>
          <w:sz w:val="24"/>
        </w:rPr>
        <w:t>金融债券是银行等</w:t>
      </w:r>
      <w:hyperlink r:id="rId4" w:tgtFrame="_blank" w:history="1">
        <w:r w:rsidRPr="00800D22">
          <w:rPr>
            <w:sz w:val="24"/>
          </w:rPr>
          <w:t>金融机构</w:t>
        </w:r>
      </w:hyperlink>
      <w:r w:rsidRPr="00800D22">
        <w:rPr>
          <w:sz w:val="24"/>
        </w:rPr>
        <w:t>作为筹资主体为筹措资金而面向个人发行的一种</w:t>
      </w:r>
      <w:hyperlink r:id="rId5" w:tgtFrame="_blank" w:history="1">
        <w:r w:rsidRPr="00800D22">
          <w:rPr>
            <w:sz w:val="24"/>
          </w:rPr>
          <w:t>有价证券</w:t>
        </w:r>
      </w:hyperlink>
      <w:r w:rsidRPr="00800D22">
        <w:rPr>
          <w:sz w:val="24"/>
        </w:rPr>
        <w:t>，是表明债务、债权关系的一种凭证。债券按法定发行手续，承诺按约定利率定期支付利息并到期偿还本金。它属于银行等金融机构的</w:t>
      </w:r>
      <w:hyperlink r:id="rId6" w:tgtFrame="_blank" w:history="1">
        <w:r w:rsidRPr="00800D22">
          <w:rPr>
            <w:sz w:val="24"/>
          </w:rPr>
          <w:t>主动负债</w:t>
        </w:r>
      </w:hyperlink>
      <w:r w:rsidRPr="00800D22">
        <w:rPr>
          <w:sz w:val="24"/>
        </w:rPr>
        <w:t>。</w:t>
      </w:r>
      <w:r w:rsidRPr="00800D22">
        <w:rPr>
          <w:rFonts w:hint="eastAsia"/>
          <w:sz w:val="24"/>
        </w:rPr>
        <w:t>我国的金融债券包括政策性银行债券、商业银行债券、特种金融债券、非银行金融机构债券、证券公司债券和证券公司短期融资</w:t>
      </w:r>
      <w:proofErr w:type="gramStart"/>
      <w:r w:rsidRPr="00800D22">
        <w:rPr>
          <w:rFonts w:hint="eastAsia"/>
          <w:sz w:val="24"/>
        </w:rPr>
        <w:t>券</w:t>
      </w:r>
      <w:proofErr w:type="gramEnd"/>
      <w:r w:rsidRPr="00800D22">
        <w:rPr>
          <w:rFonts w:hint="eastAsia"/>
          <w:sz w:val="24"/>
        </w:rPr>
        <w:t>，其中以政策性银行债券和商业银行债券为主。</w:t>
      </w:r>
    </w:p>
    <w:p w14:paraId="6F16E14F" w14:textId="77777777" w:rsidR="00244245" w:rsidRPr="00800D22" w:rsidRDefault="00244245" w:rsidP="00244245">
      <w:pPr>
        <w:spacing w:line="440" w:lineRule="exact"/>
        <w:ind w:firstLineChars="200" w:firstLine="480"/>
        <w:rPr>
          <w:rFonts w:hint="eastAsia"/>
          <w:sz w:val="24"/>
        </w:rPr>
      </w:pPr>
      <w:r w:rsidRPr="00800D22">
        <w:rPr>
          <w:sz w:val="24"/>
        </w:rPr>
        <w:t>金融债券能够较有效地解决银行等金融机构的资金来源不足和期限不匹配的矛盾。一般来说，银行等金融机构的资金有三个来源，即</w:t>
      </w:r>
      <w:hyperlink r:id="rId7" w:tgtFrame="_blank" w:history="1">
        <w:r w:rsidRPr="00800D22">
          <w:rPr>
            <w:sz w:val="24"/>
          </w:rPr>
          <w:t>吸收存款</w:t>
        </w:r>
      </w:hyperlink>
      <w:r w:rsidRPr="00800D22">
        <w:rPr>
          <w:sz w:val="24"/>
        </w:rPr>
        <w:t>、向其他机构借款和发行债券。存款资金的特点之一，是在经济发生动荡的时候，易发生储户争相提款的现象，从而造成资金来源不稳定；向其他商业银行或中央银行借款所得的资金主要是短期资金，而金融机构往往需要进行一些期限较长的投融资，这样就出现了资金来源和资金运用在期限上的矛盾，发行金融债券比较有效地解决了这个矛盾。债券在到期之前一般不能提前兑换，只能在市场上转让，从而保证了所筹集资金的稳定性。同时，金融机构发行债券时可以灵活规定期限，比如为了一些长期项目投资，可以发行期限较长的债券。因此，发行金融债券可以使金融机构筹措到稳定且期限灵活的资金，从而有利于优化资产结构，扩大长期投资业务。由于银行等金融机构在一国经济中占有较特殊的地位，政府对它们的运营又有严格的监管，因此，金融债券的</w:t>
      </w:r>
      <w:r w:rsidRPr="00800D22">
        <w:rPr>
          <w:rFonts w:hint="eastAsia"/>
          <w:sz w:val="24"/>
        </w:rPr>
        <w:t>信用等级</w:t>
      </w:r>
      <w:r w:rsidRPr="00800D22">
        <w:rPr>
          <w:sz w:val="24"/>
        </w:rPr>
        <w:t>通常高于其他非金融机构债券，违约风险相对较小，具有较高的安全性</w:t>
      </w:r>
      <w:r w:rsidRPr="00800D22">
        <w:rPr>
          <w:rFonts w:hint="eastAsia"/>
          <w:sz w:val="24"/>
        </w:rPr>
        <w:t>，</w:t>
      </w:r>
      <w:r w:rsidRPr="00800D22">
        <w:rPr>
          <w:sz w:val="24"/>
        </w:rPr>
        <w:t>所以，金融债券的利率通常低于一般的</w:t>
      </w:r>
      <w:hyperlink r:id="rId8" w:tgtFrame="_blank" w:history="1">
        <w:r w:rsidRPr="00800D22">
          <w:rPr>
            <w:sz w:val="24"/>
          </w:rPr>
          <w:t>企业债券</w:t>
        </w:r>
      </w:hyperlink>
      <w:r w:rsidRPr="00800D22">
        <w:rPr>
          <w:sz w:val="24"/>
        </w:rPr>
        <w:t>，但高于风险更小的</w:t>
      </w:r>
      <w:hyperlink r:id="rId9" w:tgtFrame="_blank" w:history="1">
        <w:r w:rsidRPr="00800D22">
          <w:rPr>
            <w:sz w:val="24"/>
          </w:rPr>
          <w:t>国债</w:t>
        </w:r>
      </w:hyperlink>
      <w:r w:rsidRPr="00800D22">
        <w:rPr>
          <w:sz w:val="24"/>
        </w:rPr>
        <w:t>和银行储蓄存款利率。</w:t>
      </w:r>
    </w:p>
    <w:p w14:paraId="5BCE958C" w14:textId="320B2077" w:rsidR="00244245" w:rsidRPr="00800D22" w:rsidRDefault="00244245" w:rsidP="00244245">
      <w:pPr>
        <w:pStyle w:val="3"/>
        <w:adjustRightInd w:val="0"/>
        <w:spacing w:beforeLines="50" w:before="156" w:afterLines="50" w:after="156" w:line="440" w:lineRule="exact"/>
        <w:ind w:firstLineChars="200" w:firstLine="562"/>
        <w:jc w:val="left"/>
        <w:rPr>
          <w:rFonts w:ascii="黑体" w:eastAsia="黑体" w:hint="eastAsia"/>
          <w:b/>
          <w:sz w:val="28"/>
          <w:szCs w:val="28"/>
        </w:rPr>
      </w:pPr>
      <w:bookmarkStart w:id="1" w:name="_Toc256506351"/>
      <w:r>
        <w:rPr>
          <w:rFonts w:ascii="黑体" w:eastAsia="黑体" w:hint="eastAsia"/>
          <w:b/>
          <w:sz w:val="28"/>
          <w:szCs w:val="28"/>
        </w:rPr>
        <w:t>二、</w:t>
      </w:r>
      <w:r w:rsidRPr="00800D22">
        <w:rPr>
          <w:rFonts w:ascii="黑体" w:eastAsia="黑体" w:hint="eastAsia"/>
          <w:b/>
          <w:sz w:val="28"/>
          <w:szCs w:val="28"/>
        </w:rPr>
        <w:t>我国金融债券市场发展概况</w:t>
      </w:r>
      <w:bookmarkEnd w:id="1"/>
    </w:p>
    <w:p w14:paraId="1F4C13D2" w14:textId="77777777" w:rsidR="00244245" w:rsidRPr="00800D22" w:rsidRDefault="00244245" w:rsidP="00244245">
      <w:pPr>
        <w:spacing w:line="440" w:lineRule="exact"/>
        <w:ind w:firstLineChars="200" w:firstLine="480"/>
        <w:rPr>
          <w:sz w:val="24"/>
        </w:rPr>
      </w:pPr>
      <w:r w:rsidRPr="00800D22">
        <w:rPr>
          <w:sz w:val="24"/>
        </w:rPr>
        <w:t>伴随着我国债券市场的快速发展，我国金融债券市场异军突起，市场规模从</w:t>
      </w:r>
      <w:r w:rsidRPr="00800D22">
        <w:rPr>
          <w:sz w:val="24"/>
        </w:rPr>
        <w:t>1997</w:t>
      </w:r>
      <w:r w:rsidRPr="00800D22">
        <w:rPr>
          <w:sz w:val="24"/>
        </w:rPr>
        <w:t>年的</w:t>
      </w:r>
      <w:r w:rsidRPr="00800D22">
        <w:rPr>
          <w:sz w:val="24"/>
        </w:rPr>
        <w:t>3</w:t>
      </w:r>
      <w:r w:rsidRPr="00800D22">
        <w:rPr>
          <w:sz w:val="24"/>
        </w:rPr>
        <w:t>，</w:t>
      </w:r>
      <w:r w:rsidRPr="00800D22">
        <w:rPr>
          <w:sz w:val="24"/>
        </w:rPr>
        <w:t>492</w:t>
      </w:r>
      <w:r w:rsidRPr="00800D22">
        <w:rPr>
          <w:sz w:val="24"/>
        </w:rPr>
        <w:t>亿元增加至</w:t>
      </w:r>
      <w:r w:rsidRPr="00800D22">
        <w:rPr>
          <w:sz w:val="24"/>
        </w:rPr>
        <w:t>200</w:t>
      </w:r>
      <w:r w:rsidRPr="00800D22">
        <w:rPr>
          <w:rFonts w:hint="eastAsia"/>
          <w:sz w:val="24"/>
        </w:rPr>
        <w:t>9</w:t>
      </w:r>
      <w:r w:rsidRPr="00800D22">
        <w:rPr>
          <w:sz w:val="24"/>
        </w:rPr>
        <w:t>年的</w:t>
      </w:r>
      <w:r w:rsidRPr="00800D22">
        <w:rPr>
          <w:rFonts w:hint="eastAsia"/>
          <w:sz w:val="24"/>
        </w:rPr>
        <w:t>5</w:t>
      </w:r>
      <w:r w:rsidRPr="00800D22">
        <w:rPr>
          <w:sz w:val="24"/>
        </w:rPr>
        <w:t>0</w:t>
      </w:r>
      <w:r w:rsidRPr="00800D22">
        <w:rPr>
          <w:sz w:val="24"/>
        </w:rPr>
        <w:t>，</w:t>
      </w:r>
      <w:r w:rsidRPr="00800D22">
        <w:rPr>
          <w:rFonts w:hint="eastAsia"/>
          <w:sz w:val="24"/>
        </w:rPr>
        <w:t>952</w:t>
      </w:r>
      <w:r w:rsidRPr="00800D22">
        <w:rPr>
          <w:sz w:val="24"/>
        </w:rPr>
        <w:t>亿元，年复合增长率达到</w:t>
      </w:r>
      <w:r w:rsidRPr="00800D22">
        <w:rPr>
          <w:sz w:val="24"/>
        </w:rPr>
        <w:t>25.0</w:t>
      </w:r>
      <w:r w:rsidRPr="00800D22">
        <w:rPr>
          <w:rFonts w:hint="eastAsia"/>
          <w:sz w:val="24"/>
        </w:rPr>
        <w:t>3</w:t>
      </w:r>
      <w:r w:rsidRPr="00800D22">
        <w:rPr>
          <w:sz w:val="24"/>
        </w:rPr>
        <w:t>%</w:t>
      </w:r>
      <w:r w:rsidRPr="00800D22">
        <w:rPr>
          <w:sz w:val="24"/>
        </w:rPr>
        <w:t>。金融债券余额占</w:t>
      </w:r>
      <w:r w:rsidRPr="00800D22">
        <w:rPr>
          <w:sz w:val="24"/>
        </w:rPr>
        <w:t>GDP</w:t>
      </w:r>
      <w:r w:rsidRPr="00800D22">
        <w:rPr>
          <w:sz w:val="24"/>
        </w:rPr>
        <w:t>的比重也逐步攀升，从</w:t>
      </w:r>
      <w:r w:rsidRPr="00800D22">
        <w:rPr>
          <w:sz w:val="24"/>
        </w:rPr>
        <w:t>1997</w:t>
      </w:r>
      <w:r w:rsidRPr="00800D22">
        <w:rPr>
          <w:sz w:val="24"/>
        </w:rPr>
        <w:t>年的</w:t>
      </w:r>
      <w:r w:rsidRPr="00800D22">
        <w:rPr>
          <w:sz w:val="24"/>
        </w:rPr>
        <w:t>4.42%</w:t>
      </w:r>
      <w:r w:rsidRPr="00800D22">
        <w:rPr>
          <w:sz w:val="24"/>
        </w:rPr>
        <w:t>上升至</w:t>
      </w:r>
      <w:r w:rsidRPr="00800D22">
        <w:rPr>
          <w:sz w:val="24"/>
        </w:rPr>
        <w:t>200</w:t>
      </w:r>
      <w:r w:rsidRPr="00800D22">
        <w:rPr>
          <w:rFonts w:hint="eastAsia"/>
          <w:sz w:val="24"/>
        </w:rPr>
        <w:t>9</w:t>
      </w:r>
      <w:r w:rsidRPr="00800D22">
        <w:rPr>
          <w:sz w:val="24"/>
        </w:rPr>
        <w:t>年的</w:t>
      </w:r>
      <w:r w:rsidRPr="00800D22">
        <w:rPr>
          <w:sz w:val="24"/>
        </w:rPr>
        <w:t>1</w:t>
      </w:r>
      <w:r w:rsidRPr="00800D22">
        <w:rPr>
          <w:rFonts w:hint="eastAsia"/>
          <w:sz w:val="24"/>
        </w:rPr>
        <w:t>5</w:t>
      </w:r>
      <w:r w:rsidRPr="00800D22">
        <w:rPr>
          <w:sz w:val="24"/>
        </w:rPr>
        <w:t>.</w:t>
      </w:r>
      <w:r w:rsidRPr="00800D22">
        <w:rPr>
          <w:rFonts w:hint="eastAsia"/>
          <w:sz w:val="24"/>
        </w:rPr>
        <w:t>19</w:t>
      </w:r>
      <w:r w:rsidRPr="00800D22">
        <w:rPr>
          <w:sz w:val="24"/>
        </w:rPr>
        <w:t>%</w:t>
      </w:r>
      <w:r w:rsidRPr="00800D22">
        <w:rPr>
          <w:sz w:val="24"/>
        </w:rPr>
        <w:t>。从金融债券市场构成来看，主要是以政策性金融债券为主，尤其是</w:t>
      </w:r>
      <w:r w:rsidRPr="00800D22">
        <w:rPr>
          <w:sz w:val="24"/>
        </w:rPr>
        <w:t>2002</w:t>
      </w:r>
      <w:r w:rsidRPr="00800D22">
        <w:rPr>
          <w:sz w:val="24"/>
        </w:rPr>
        <w:lastRenderedPageBreak/>
        <w:t>年之前，金融债券市场实质上就是政策性银行（国家开发银行、</w:t>
      </w:r>
      <w:r w:rsidRPr="00800D22">
        <w:rPr>
          <w:rFonts w:hint="eastAsia"/>
          <w:sz w:val="24"/>
        </w:rPr>
        <w:t>中</w:t>
      </w:r>
      <w:r w:rsidRPr="00800D22">
        <w:rPr>
          <w:sz w:val="24"/>
        </w:rPr>
        <w:t>国农业发展银行</w:t>
      </w:r>
      <w:r w:rsidRPr="00800D22">
        <w:rPr>
          <w:rFonts w:hint="eastAsia"/>
          <w:sz w:val="24"/>
        </w:rPr>
        <w:t>和中</w:t>
      </w:r>
      <w:r w:rsidRPr="00800D22">
        <w:rPr>
          <w:sz w:val="24"/>
        </w:rPr>
        <w:t>国进出口银行）的融资市场。</w:t>
      </w:r>
      <w:r w:rsidRPr="00800D22">
        <w:rPr>
          <w:sz w:val="24"/>
        </w:rPr>
        <w:t>2002</w:t>
      </w:r>
      <w:r w:rsidRPr="00800D22">
        <w:rPr>
          <w:sz w:val="24"/>
        </w:rPr>
        <w:t>年之后，非银行金融机构开始在金融债券市场进行融资</w:t>
      </w:r>
      <w:r w:rsidRPr="00800D22">
        <w:rPr>
          <w:rFonts w:hint="eastAsia"/>
          <w:sz w:val="24"/>
        </w:rPr>
        <w:t>。</w:t>
      </w:r>
      <w:r w:rsidRPr="00800D22">
        <w:rPr>
          <w:sz w:val="24"/>
        </w:rPr>
        <w:t>而</w:t>
      </w:r>
      <w:r w:rsidRPr="00800D22">
        <w:rPr>
          <w:sz w:val="24"/>
        </w:rPr>
        <w:t>2004</w:t>
      </w:r>
      <w:r w:rsidRPr="00800D22">
        <w:rPr>
          <w:sz w:val="24"/>
        </w:rPr>
        <w:t>年开始，商业银行债的发行进一步壮大了金融债券市场，商业银行债也成为了金融债券市场中的一支新生力量，但与政策性银行</w:t>
      </w:r>
      <w:r w:rsidRPr="00800D22">
        <w:rPr>
          <w:rFonts w:hint="eastAsia"/>
          <w:sz w:val="24"/>
        </w:rPr>
        <w:t>债</w:t>
      </w:r>
      <w:r w:rsidRPr="00800D22">
        <w:rPr>
          <w:sz w:val="24"/>
        </w:rPr>
        <w:t>相比，商业银行债券规模依然偏小。未来随着政策性银行向商业银行的逐步转型以及商业银行债的快速发展，商业银行债市场规模将逐步扩大。</w:t>
      </w:r>
    </w:p>
    <w:p w14:paraId="44A131B6" w14:textId="09E5A99F" w:rsidR="00244245" w:rsidRPr="00800D22" w:rsidRDefault="00244245" w:rsidP="00244245">
      <w:r w:rsidRPr="00800D22">
        <w:rPr>
          <w:noProof/>
        </w:rPr>
        <w:drawing>
          <wp:inline distT="0" distB="0" distL="0" distR="0" wp14:anchorId="65E745B7" wp14:editId="5C88DF26">
            <wp:extent cx="5272405" cy="2957195"/>
            <wp:effectExtent l="0" t="0" r="0" b="0"/>
            <wp:docPr id="14145763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2405" cy="2957195"/>
                    </a:xfrm>
                    <a:prstGeom prst="rect">
                      <a:avLst/>
                    </a:prstGeom>
                    <a:noFill/>
                    <a:ln>
                      <a:noFill/>
                    </a:ln>
                  </pic:spPr>
                </pic:pic>
              </a:graphicData>
            </a:graphic>
          </wp:inline>
        </w:drawing>
      </w:r>
    </w:p>
    <w:p w14:paraId="76FCE576" w14:textId="2EECDEFE" w:rsidR="00244245" w:rsidRPr="00800D22" w:rsidRDefault="00244245" w:rsidP="00244245">
      <w:pPr>
        <w:pStyle w:val="af"/>
        <w:jc w:val="center"/>
        <w:rPr>
          <w:rFonts w:ascii="Times New Roman" w:eastAsia="新宋体" w:hAnsi="新宋体" w:cs="Times New Roman" w:hint="eastAsia"/>
          <w:sz w:val="21"/>
          <w:szCs w:val="21"/>
        </w:rPr>
      </w:pPr>
      <w:bookmarkStart w:id="2" w:name="_Toc246425693"/>
      <w:bookmarkStart w:id="3" w:name="_Toc256507227"/>
      <w:r w:rsidRPr="00800D22">
        <w:rPr>
          <w:rFonts w:ascii="Times New Roman" w:eastAsia="新宋体" w:hAnsi="新宋体" w:cs="Times New Roman" w:hint="eastAsia"/>
          <w:sz w:val="21"/>
          <w:szCs w:val="21"/>
        </w:rPr>
        <w:t>图</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图</w:instrText>
      </w:r>
      <w:r w:rsidRPr="00800D22">
        <w:rPr>
          <w:rFonts w:ascii="Times New Roman" w:eastAsia="新宋体" w:hAnsi="新宋体" w:cs="Times New Roman" w:hint="eastAsia"/>
          <w:sz w:val="21"/>
          <w:szCs w:val="21"/>
        </w:rPr>
        <w:instrText>12.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1</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sz w:val="21"/>
          <w:szCs w:val="21"/>
        </w:rPr>
        <w:t xml:space="preserve"> </w:t>
      </w:r>
      <w:r w:rsidRPr="00800D22">
        <w:rPr>
          <w:rFonts w:ascii="Times New Roman" w:eastAsia="新宋体" w:hAnsi="新宋体" w:cs="Times New Roman" w:hint="eastAsia"/>
          <w:sz w:val="21"/>
          <w:szCs w:val="21"/>
        </w:rPr>
        <w:t xml:space="preserve"> 1997-2009</w:t>
      </w:r>
      <w:r w:rsidRPr="00800D22">
        <w:rPr>
          <w:rFonts w:ascii="Times New Roman" w:eastAsia="新宋体" w:hAnsi="新宋体" w:cs="Times New Roman" w:hint="eastAsia"/>
          <w:sz w:val="21"/>
          <w:szCs w:val="21"/>
        </w:rPr>
        <w:t>年我国金融债券市场规模及构成情况（单位：亿元）</w:t>
      </w:r>
      <w:bookmarkEnd w:id="2"/>
      <w:bookmarkEnd w:id="3"/>
    </w:p>
    <w:p w14:paraId="5EFBD19B" w14:textId="519A9DE5" w:rsidR="00244245" w:rsidRPr="00800D22" w:rsidRDefault="00244245" w:rsidP="00244245">
      <w:pPr>
        <w:jc w:val="center"/>
        <w:rPr>
          <w:rFonts w:hint="eastAsia"/>
          <w:szCs w:val="21"/>
        </w:rPr>
      </w:pPr>
      <w:r w:rsidRPr="00800D22">
        <w:rPr>
          <w:rFonts w:hint="eastAsia"/>
          <w:szCs w:val="21"/>
        </w:rPr>
        <w:t xml:space="preserve">Figure 1  market size and </w:t>
      </w:r>
      <w:r w:rsidRPr="00800D22">
        <w:rPr>
          <w:szCs w:val="21"/>
        </w:rPr>
        <w:t>structure</w:t>
      </w:r>
      <w:r w:rsidRPr="00800D22">
        <w:rPr>
          <w:rFonts w:hint="eastAsia"/>
          <w:szCs w:val="21"/>
        </w:rPr>
        <w:t xml:space="preserve"> of </w:t>
      </w:r>
      <w:r w:rsidRPr="00800D22">
        <w:rPr>
          <w:szCs w:val="21"/>
        </w:rPr>
        <w:t>Chinese</w:t>
      </w:r>
      <w:r w:rsidRPr="00800D22">
        <w:rPr>
          <w:rFonts w:hint="eastAsia"/>
          <w:szCs w:val="21"/>
        </w:rPr>
        <w:t xml:space="preserve"> financial bonds from </w:t>
      </w:r>
    </w:p>
    <w:p w14:paraId="7DA51D51" w14:textId="77777777" w:rsidR="00244245" w:rsidRPr="00800D22" w:rsidRDefault="00244245" w:rsidP="00244245">
      <w:pPr>
        <w:jc w:val="center"/>
        <w:rPr>
          <w:rFonts w:hint="eastAsia"/>
          <w:szCs w:val="21"/>
        </w:rPr>
      </w:pPr>
      <w:r w:rsidRPr="00800D22">
        <w:rPr>
          <w:rFonts w:hint="eastAsia"/>
          <w:szCs w:val="21"/>
        </w:rPr>
        <w:t>1997 to 2009 (Unit: 100 million)</w:t>
      </w:r>
    </w:p>
    <w:p w14:paraId="4262AFDA" w14:textId="77777777" w:rsidR="00244245" w:rsidRPr="00800D22" w:rsidRDefault="00244245" w:rsidP="00244245">
      <w:pPr>
        <w:spacing w:afterLines="100" w:after="312"/>
        <w:ind w:firstLineChars="100" w:firstLine="180"/>
        <w:rPr>
          <w:rFonts w:hint="eastAsia"/>
          <w:sz w:val="18"/>
          <w:szCs w:val="18"/>
        </w:rPr>
      </w:pPr>
      <w:r w:rsidRPr="00800D22">
        <w:rPr>
          <w:sz w:val="18"/>
          <w:szCs w:val="18"/>
        </w:rPr>
        <w:t>数据来源：</w:t>
      </w:r>
      <w:r w:rsidRPr="00800D22">
        <w:rPr>
          <w:rFonts w:hint="eastAsia"/>
          <w:sz w:val="18"/>
          <w:szCs w:val="18"/>
        </w:rPr>
        <w:t>中</w:t>
      </w:r>
      <w:r w:rsidRPr="00800D22">
        <w:rPr>
          <w:sz w:val="18"/>
          <w:szCs w:val="18"/>
        </w:rPr>
        <w:t>国债券信息网</w:t>
      </w:r>
    </w:p>
    <w:p w14:paraId="5F0108BF" w14:textId="49B110EF" w:rsidR="00244245" w:rsidRPr="00800D22" w:rsidRDefault="00244245" w:rsidP="00244245">
      <w:pPr>
        <w:spacing w:afterLines="50" w:after="156"/>
      </w:pPr>
      <w:r w:rsidRPr="00800D22">
        <w:rPr>
          <w:noProof/>
        </w:rPr>
        <w:drawing>
          <wp:inline distT="0" distB="0" distL="0" distR="0" wp14:anchorId="746A7D9B" wp14:editId="65069C8F">
            <wp:extent cx="5272405" cy="2672080"/>
            <wp:effectExtent l="0" t="0" r="0" b="0"/>
            <wp:docPr id="272763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2405" cy="2672080"/>
                    </a:xfrm>
                    <a:prstGeom prst="rect">
                      <a:avLst/>
                    </a:prstGeom>
                    <a:noFill/>
                    <a:ln>
                      <a:noFill/>
                    </a:ln>
                  </pic:spPr>
                </pic:pic>
              </a:graphicData>
            </a:graphic>
          </wp:inline>
        </w:drawing>
      </w:r>
    </w:p>
    <w:p w14:paraId="45B97D53" w14:textId="443BD871" w:rsidR="00244245" w:rsidRPr="00800D22" w:rsidRDefault="00244245" w:rsidP="00244245">
      <w:pPr>
        <w:pStyle w:val="af"/>
        <w:jc w:val="center"/>
        <w:rPr>
          <w:rFonts w:ascii="Times New Roman" w:eastAsia="新宋体" w:hAnsi="新宋体" w:cs="Times New Roman"/>
          <w:bCs/>
          <w:sz w:val="21"/>
          <w:szCs w:val="21"/>
        </w:rPr>
      </w:pPr>
      <w:bookmarkStart w:id="4" w:name="_Toc256507228"/>
      <w:r w:rsidRPr="00800D22">
        <w:rPr>
          <w:rFonts w:ascii="Times New Roman" w:eastAsia="新宋体" w:hAnsi="新宋体" w:cs="Times New Roman" w:hint="eastAsia"/>
          <w:sz w:val="21"/>
          <w:szCs w:val="21"/>
        </w:rPr>
        <w:t>图</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图</w:instrText>
      </w:r>
      <w:r w:rsidRPr="00800D22">
        <w:rPr>
          <w:rFonts w:ascii="Times New Roman" w:eastAsia="新宋体" w:hAnsi="新宋体" w:cs="Times New Roman" w:hint="eastAsia"/>
          <w:sz w:val="21"/>
          <w:szCs w:val="21"/>
        </w:rPr>
        <w:instrText>12.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2</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1997-2009</w:t>
      </w:r>
      <w:r w:rsidRPr="00800D22">
        <w:rPr>
          <w:rFonts w:ascii="Times New Roman" w:eastAsia="新宋体" w:hAnsi="新宋体" w:cs="Times New Roman" w:hint="eastAsia"/>
          <w:sz w:val="21"/>
          <w:szCs w:val="21"/>
        </w:rPr>
        <w:t>年我国金融债券余额占</w:t>
      </w:r>
      <w:r w:rsidRPr="00800D22">
        <w:rPr>
          <w:rFonts w:ascii="Times New Roman" w:eastAsia="新宋体" w:hAnsi="新宋体" w:cs="Times New Roman" w:hint="eastAsia"/>
          <w:sz w:val="21"/>
          <w:szCs w:val="21"/>
        </w:rPr>
        <w:t>GDP</w:t>
      </w:r>
      <w:r w:rsidRPr="00800D22">
        <w:rPr>
          <w:rFonts w:ascii="Times New Roman" w:eastAsia="新宋体" w:hAnsi="新宋体" w:cs="Times New Roman" w:hint="eastAsia"/>
          <w:sz w:val="21"/>
          <w:szCs w:val="21"/>
        </w:rPr>
        <w:t>比重情况</w:t>
      </w:r>
      <w:bookmarkEnd w:id="4"/>
    </w:p>
    <w:p w14:paraId="7809AF3E" w14:textId="52DF9D3E" w:rsidR="00244245" w:rsidRPr="00800D22" w:rsidRDefault="00244245" w:rsidP="00244245">
      <w:pPr>
        <w:jc w:val="center"/>
        <w:rPr>
          <w:rStyle w:val="ae"/>
          <w:rFonts w:hint="eastAsia"/>
          <w:b w:val="0"/>
          <w:bCs w:val="0"/>
        </w:rPr>
      </w:pPr>
      <w:r w:rsidRPr="00800D22">
        <w:rPr>
          <w:rStyle w:val="ae"/>
          <w:rFonts w:hint="eastAsia"/>
          <w:b w:val="0"/>
          <w:bCs w:val="0"/>
        </w:rPr>
        <w:t xml:space="preserve">Figure 2  </w:t>
      </w:r>
      <w:r w:rsidRPr="00800D22">
        <w:rPr>
          <w:rFonts w:eastAsia="新宋体" w:hint="eastAsia"/>
          <w:szCs w:val="21"/>
        </w:rPr>
        <w:t xml:space="preserve">Proportions of the balance of </w:t>
      </w:r>
      <w:r w:rsidRPr="00800D22">
        <w:rPr>
          <w:rFonts w:eastAsia="新宋体"/>
          <w:szCs w:val="21"/>
        </w:rPr>
        <w:t>Chinese</w:t>
      </w:r>
      <w:r w:rsidRPr="00800D22">
        <w:rPr>
          <w:rFonts w:eastAsia="新宋体" w:hint="eastAsia"/>
          <w:szCs w:val="21"/>
        </w:rPr>
        <w:t xml:space="preserve"> financial bonds to GDP from 1997 to 2009</w:t>
      </w:r>
    </w:p>
    <w:p w14:paraId="2694D26A" w14:textId="77777777" w:rsidR="00244245" w:rsidRPr="00800D22" w:rsidRDefault="00244245" w:rsidP="00244245">
      <w:pPr>
        <w:spacing w:afterLines="100" w:after="312"/>
        <w:ind w:firstLineChars="100" w:firstLine="180"/>
        <w:rPr>
          <w:rFonts w:hint="eastAsia"/>
          <w:sz w:val="18"/>
          <w:szCs w:val="18"/>
        </w:rPr>
      </w:pPr>
      <w:r w:rsidRPr="00800D22">
        <w:rPr>
          <w:sz w:val="18"/>
          <w:szCs w:val="18"/>
        </w:rPr>
        <w:t>数据来源：</w:t>
      </w:r>
      <w:r w:rsidRPr="00800D22">
        <w:rPr>
          <w:rFonts w:hint="eastAsia"/>
          <w:sz w:val="18"/>
          <w:szCs w:val="18"/>
        </w:rPr>
        <w:t>中</w:t>
      </w:r>
      <w:r w:rsidRPr="00800D22">
        <w:rPr>
          <w:sz w:val="18"/>
          <w:szCs w:val="18"/>
        </w:rPr>
        <w:t>国债券信息网</w:t>
      </w:r>
    </w:p>
    <w:p w14:paraId="3658EDC5" w14:textId="77777777" w:rsidR="00244245" w:rsidRPr="00800D22" w:rsidRDefault="00244245" w:rsidP="00244245">
      <w:pPr>
        <w:spacing w:afterLines="50" w:after="156" w:line="440" w:lineRule="exact"/>
        <w:rPr>
          <w:rFonts w:hint="eastAsia"/>
          <w:sz w:val="24"/>
        </w:rPr>
      </w:pPr>
    </w:p>
    <w:p w14:paraId="0CA6806D" w14:textId="7655588E" w:rsidR="00244245" w:rsidRPr="00244245" w:rsidRDefault="00244245" w:rsidP="00244245">
      <w:pPr>
        <w:pStyle w:val="3"/>
        <w:adjustRightInd w:val="0"/>
        <w:spacing w:beforeLines="50" w:before="156" w:afterLines="50" w:after="156" w:line="440" w:lineRule="exact"/>
        <w:ind w:firstLineChars="200" w:firstLine="562"/>
        <w:jc w:val="left"/>
        <w:rPr>
          <w:rFonts w:ascii="黑体" w:eastAsia="黑体"/>
          <w:b/>
          <w:sz w:val="28"/>
          <w:szCs w:val="28"/>
        </w:rPr>
      </w:pPr>
      <w:bookmarkStart w:id="5" w:name="_Toc243383342"/>
      <w:bookmarkStart w:id="6" w:name="_Toc256506352"/>
      <w:r w:rsidRPr="00244245">
        <w:rPr>
          <w:rFonts w:ascii="黑体" w:eastAsia="黑体" w:hint="eastAsia"/>
          <w:b/>
          <w:sz w:val="28"/>
          <w:szCs w:val="28"/>
        </w:rPr>
        <w:t>三、</w:t>
      </w:r>
      <w:r w:rsidRPr="00244245">
        <w:rPr>
          <w:rFonts w:ascii="黑体" w:eastAsia="黑体"/>
          <w:b/>
          <w:sz w:val="28"/>
          <w:szCs w:val="28"/>
        </w:rPr>
        <w:t>金融债券增信情况</w:t>
      </w:r>
      <w:bookmarkEnd w:id="5"/>
      <w:bookmarkEnd w:id="6"/>
    </w:p>
    <w:p w14:paraId="6A99919D" w14:textId="77777777" w:rsidR="00244245" w:rsidRPr="00800D22" w:rsidRDefault="00244245" w:rsidP="00244245">
      <w:pPr>
        <w:spacing w:line="440" w:lineRule="exact"/>
        <w:ind w:firstLine="480"/>
        <w:rPr>
          <w:sz w:val="24"/>
        </w:rPr>
      </w:pPr>
      <w:r w:rsidRPr="00800D22">
        <w:rPr>
          <w:sz w:val="24"/>
        </w:rPr>
        <w:t>由于我国政策性银行和国有</w:t>
      </w:r>
      <w:r w:rsidRPr="00800D22">
        <w:rPr>
          <w:rFonts w:hint="eastAsia"/>
          <w:sz w:val="24"/>
        </w:rPr>
        <w:t>大型</w:t>
      </w:r>
      <w:r w:rsidRPr="00800D22">
        <w:rPr>
          <w:sz w:val="24"/>
        </w:rPr>
        <w:t>商业银行</w:t>
      </w:r>
      <w:r w:rsidRPr="00800D22">
        <w:rPr>
          <w:rFonts w:hint="eastAsia"/>
          <w:sz w:val="24"/>
        </w:rPr>
        <w:t>本币</w:t>
      </w:r>
      <w:r w:rsidRPr="00800D22">
        <w:rPr>
          <w:sz w:val="24"/>
        </w:rPr>
        <w:t>信用级别均为最高级，</w:t>
      </w:r>
      <w:r w:rsidRPr="00800D22">
        <w:rPr>
          <w:rFonts w:hint="eastAsia"/>
          <w:sz w:val="24"/>
        </w:rPr>
        <w:t>很少进行增信。而</w:t>
      </w:r>
      <w:r w:rsidRPr="00800D22">
        <w:rPr>
          <w:sz w:val="24"/>
        </w:rPr>
        <w:t>目前我国</w:t>
      </w:r>
      <w:r w:rsidRPr="00800D22">
        <w:rPr>
          <w:rFonts w:hint="eastAsia"/>
          <w:sz w:val="24"/>
        </w:rPr>
        <w:t>也</w:t>
      </w:r>
      <w:r w:rsidRPr="00800D22">
        <w:rPr>
          <w:sz w:val="24"/>
        </w:rPr>
        <w:t>缺乏大型信用增级机构，难以对该类金融债券进行外部</w:t>
      </w:r>
      <w:r w:rsidRPr="00800D22">
        <w:rPr>
          <w:rFonts w:hint="eastAsia"/>
          <w:sz w:val="24"/>
        </w:rPr>
        <w:t>增信</w:t>
      </w:r>
      <w:r w:rsidRPr="00800D22">
        <w:rPr>
          <w:sz w:val="24"/>
        </w:rPr>
        <w:t>，</w:t>
      </w:r>
      <w:r w:rsidRPr="00800D22">
        <w:rPr>
          <w:rFonts w:hint="eastAsia"/>
          <w:sz w:val="24"/>
        </w:rPr>
        <w:t>这就使得</w:t>
      </w:r>
      <w:r w:rsidRPr="00800D22">
        <w:rPr>
          <w:sz w:val="24"/>
        </w:rPr>
        <w:t>大部分金融债券未采取</w:t>
      </w:r>
      <w:r w:rsidRPr="00800D22">
        <w:rPr>
          <w:rFonts w:hint="eastAsia"/>
          <w:sz w:val="24"/>
        </w:rPr>
        <w:t>外部</w:t>
      </w:r>
      <w:r w:rsidRPr="00800D22">
        <w:rPr>
          <w:sz w:val="24"/>
        </w:rPr>
        <w:t>增信的方式</w:t>
      </w:r>
      <w:r w:rsidRPr="00800D22">
        <w:rPr>
          <w:rFonts w:hint="eastAsia"/>
          <w:sz w:val="24"/>
        </w:rPr>
        <w:t>，只有少数</w:t>
      </w:r>
      <w:r w:rsidRPr="00800D22">
        <w:rPr>
          <w:sz w:val="24"/>
        </w:rPr>
        <w:t>金融债券采取了优先</w:t>
      </w:r>
      <w:r w:rsidRPr="00800D22">
        <w:rPr>
          <w:sz w:val="24"/>
        </w:rPr>
        <w:t>/</w:t>
      </w:r>
      <w:r w:rsidRPr="00800D22">
        <w:rPr>
          <w:sz w:val="24"/>
        </w:rPr>
        <w:t>次级结构的内部增信方式</w:t>
      </w:r>
      <w:r w:rsidRPr="00800D22">
        <w:rPr>
          <w:rFonts w:hint="eastAsia"/>
          <w:sz w:val="24"/>
        </w:rPr>
        <w:t>。</w:t>
      </w:r>
      <w:r w:rsidRPr="00800D22">
        <w:rPr>
          <w:sz w:val="24"/>
        </w:rPr>
        <w:t>总体而言，我国金融债券缺乏有效的增信方式。</w:t>
      </w:r>
    </w:p>
    <w:p w14:paraId="207420D5" w14:textId="09B35759" w:rsidR="00244245" w:rsidRPr="00800D22" w:rsidRDefault="00244245" w:rsidP="00244245">
      <w:pPr>
        <w:spacing w:afterLines="100" w:after="312" w:line="440" w:lineRule="exact"/>
        <w:ind w:firstLine="482"/>
        <w:rPr>
          <w:sz w:val="24"/>
        </w:rPr>
      </w:pPr>
      <w:r w:rsidRPr="00800D22">
        <w:rPr>
          <w:sz w:val="24"/>
        </w:rPr>
        <w:t>尽管国有商业银行信用等级已达到</w:t>
      </w:r>
      <w:r w:rsidRPr="00800D22">
        <w:rPr>
          <w:sz w:val="24"/>
        </w:rPr>
        <w:t>AAA</w:t>
      </w:r>
      <w:r w:rsidRPr="00800D22">
        <w:rPr>
          <w:sz w:val="24"/>
        </w:rPr>
        <w:t>，但债券发行利率远高于国债利率</w:t>
      </w:r>
      <w:r w:rsidRPr="00800D22">
        <w:rPr>
          <w:rFonts w:hint="eastAsia"/>
          <w:sz w:val="24"/>
        </w:rPr>
        <w:t>；</w:t>
      </w:r>
      <w:r w:rsidRPr="00800D22">
        <w:rPr>
          <w:sz w:val="24"/>
        </w:rPr>
        <w:t>同时由于政策性银行债</w:t>
      </w:r>
      <w:r w:rsidRPr="00800D22">
        <w:rPr>
          <w:rFonts w:hint="eastAsia"/>
          <w:sz w:val="24"/>
        </w:rPr>
        <w:t>券</w:t>
      </w:r>
      <w:r w:rsidRPr="00800D22">
        <w:rPr>
          <w:sz w:val="24"/>
        </w:rPr>
        <w:t>有政府信用的参与，因而国有商业银行债券发行利率也高于政策性银行债</w:t>
      </w:r>
      <w:r w:rsidRPr="00800D22">
        <w:rPr>
          <w:rFonts w:hint="eastAsia"/>
          <w:sz w:val="24"/>
        </w:rPr>
        <w:t>券</w:t>
      </w:r>
      <w:r w:rsidRPr="00800D22">
        <w:rPr>
          <w:sz w:val="24"/>
        </w:rPr>
        <w:t>发行利率</w:t>
      </w:r>
      <w:r w:rsidRPr="00800D22">
        <w:rPr>
          <w:rFonts w:hint="eastAsia"/>
          <w:sz w:val="24"/>
        </w:rPr>
        <w:t>。</w:t>
      </w:r>
      <w:r w:rsidRPr="00800D22">
        <w:rPr>
          <w:sz w:val="24"/>
        </w:rPr>
        <w:t>另外，从政策性银行债</w:t>
      </w:r>
      <w:r w:rsidRPr="00800D22">
        <w:rPr>
          <w:rFonts w:hint="eastAsia"/>
          <w:sz w:val="24"/>
        </w:rPr>
        <w:t>券</w:t>
      </w:r>
      <w:r w:rsidRPr="00800D22">
        <w:rPr>
          <w:sz w:val="24"/>
        </w:rPr>
        <w:t>角度来看，尽管其享有部分政府信用，但其发行利率依然远高于国债利率（如图</w:t>
      </w:r>
      <w:r w:rsidRPr="00800D22">
        <w:rPr>
          <w:rFonts w:hint="eastAsia"/>
          <w:sz w:val="24"/>
        </w:rPr>
        <w:t>3</w:t>
      </w:r>
      <w:r w:rsidRPr="00800D22">
        <w:rPr>
          <w:sz w:val="24"/>
        </w:rPr>
        <w:t>）。</w:t>
      </w:r>
      <w:r w:rsidRPr="00800D22">
        <w:rPr>
          <w:rFonts w:hint="eastAsia"/>
          <w:sz w:val="24"/>
        </w:rPr>
        <w:t>以</w:t>
      </w:r>
      <w:smartTag w:uri="urn:schemas-microsoft-com:office:smarttags" w:element="chsdate">
        <w:smartTagPr>
          <w:attr w:name="Year" w:val="2009"/>
          <w:attr w:name="Month" w:val="7"/>
          <w:attr w:name="Day" w:val="31"/>
          <w:attr w:name="IsLunarDate" w:val="False"/>
          <w:attr w:name="IsROCDate" w:val="False"/>
        </w:smartTagPr>
        <w:r w:rsidRPr="00800D22">
          <w:rPr>
            <w:sz w:val="24"/>
          </w:rPr>
          <w:t>2009</w:t>
        </w:r>
        <w:r w:rsidRPr="00800D22">
          <w:rPr>
            <w:sz w:val="24"/>
          </w:rPr>
          <w:t>年</w:t>
        </w:r>
        <w:r w:rsidRPr="00800D22">
          <w:rPr>
            <w:sz w:val="24"/>
          </w:rPr>
          <w:t>7</w:t>
        </w:r>
        <w:r w:rsidRPr="00800D22">
          <w:rPr>
            <w:sz w:val="24"/>
          </w:rPr>
          <w:t>月</w:t>
        </w:r>
        <w:r w:rsidRPr="00800D22">
          <w:rPr>
            <w:sz w:val="24"/>
          </w:rPr>
          <w:t>31</w:t>
        </w:r>
        <w:r w:rsidRPr="00800D22">
          <w:rPr>
            <w:sz w:val="24"/>
          </w:rPr>
          <w:t>日</w:t>
        </w:r>
      </w:smartTag>
      <w:r w:rsidRPr="00800D22">
        <w:rPr>
          <w:sz w:val="24"/>
        </w:rPr>
        <w:t>各类债券收益率</w:t>
      </w:r>
      <w:r w:rsidRPr="00800D22">
        <w:rPr>
          <w:rFonts w:hint="eastAsia"/>
          <w:sz w:val="24"/>
        </w:rPr>
        <w:t>为例</w:t>
      </w:r>
      <w:r w:rsidRPr="00800D22">
        <w:rPr>
          <w:sz w:val="24"/>
        </w:rPr>
        <w:t>，</w:t>
      </w:r>
      <w:r w:rsidRPr="00800D22">
        <w:rPr>
          <w:sz w:val="24"/>
        </w:rPr>
        <w:t>3</w:t>
      </w:r>
      <w:r w:rsidRPr="00800D22">
        <w:rPr>
          <w:sz w:val="24"/>
        </w:rPr>
        <w:t>年期、</w:t>
      </w:r>
      <w:r w:rsidRPr="00800D22">
        <w:rPr>
          <w:sz w:val="24"/>
        </w:rPr>
        <w:t>5</w:t>
      </w:r>
      <w:r w:rsidRPr="00800D22">
        <w:rPr>
          <w:sz w:val="24"/>
        </w:rPr>
        <w:t>年期</w:t>
      </w:r>
      <w:r w:rsidRPr="00800D22">
        <w:rPr>
          <w:rFonts w:hint="eastAsia"/>
          <w:sz w:val="24"/>
        </w:rPr>
        <w:t>和</w:t>
      </w:r>
      <w:r w:rsidRPr="00800D22">
        <w:rPr>
          <w:sz w:val="24"/>
        </w:rPr>
        <w:t>10</w:t>
      </w:r>
      <w:r w:rsidRPr="00800D22">
        <w:rPr>
          <w:sz w:val="24"/>
        </w:rPr>
        <w:t>年期商业银行债</w:t>
      </w:r>
      <w:r w:rsidRPr="00800D22">
        <w:rPr>
          <w:rFonts w:hint="eastAsia"/>
          <w:sz w:val="24"/>
        </w:rPr>
        <w:t>券</w:t>
      </w:r>
      <w:r w:rsidRPr="00800D22">
        <w:rPr>
          <w:sz w:val="24"/>
        </w:rPr>
        <w:t>到期收益率分别高于政策性银行债</w:t>
      </w:r>
      <w:r w:rsidRPr="00800D22">
        <w:rPr>
          <w:rFonts w:hint="eastAsia"/>
          <w:sz w:val="24"/>
        </w:rPr>
        <w:t>券</w:t>
      </w:r>
      <w:r w:rsidRPr="00800D22">
        <w:rPr>
          <w:sz w:val="24"/>
        </w:rPr>
        <w:t>到期收益率</w:t>
      </w:r>
      <w:r w:rsidRPr="00800D22">
        <w:rPr>
          <w:sz w:val="24"/>
        </w:rPr>
        <w:t>64.40BP</w:t>
      </w:r>
      <w:r w:rsidRPr="00800D22">
        <w:rPr>
          <w:sz w:val="24"/>
        </w:rPr>
        <w:t>、</w:t>
      </w:r>
      <w:r w:rsidRPr="00800D22">
        <w:rPr>
          <w:sz w:val="24"/>
        </w:rPr>
        <w:t>67.68BP</w:t>
      </w:r>
      <w:r w:rsidRPr="00800D22">
        <w:rPr>
          <w:rFonts w:hint="eastAsia"/>
          <w:sz w:val="24"/>
        </w:rPr>
        <w:t>和</w:t>
      </w:r>
      <w:r w:rsidRPr="00800D22">
        <w:rPr>
          <w:sz w:val="24"/>
        </w:rPr>
        <w:t>80.55BP</w:t>
      </w:r>
      <w:r w:rsidRPr="00800D22">
        <w:rPr>
          <w:sz w:val="24"/>
        </w:rPr>
        <w:t>，分别高于国债到期收益率</w:t>
      </w:r>
      <w:r w:rsidRPr="00800D22">
        <w:rPr>
          <w:sz w:val="24"/>
        </w:rPr>
        <w:t>103.61BP</w:t>
      </w:r>
      <w:r w:rsidRPr="00800D22">
        <w:rPr>
          <w:sz w:val="24"/>
        </w:rPr>
        <w:t>、</w:t>
      </w:r>
      <w:r w:rsidRPr="00800D22">
        <w:rPr>
          <w:sz w:val="24"/>
        </w:rPr>
        <w:t>109.63BP</w:t>
      </w:r>
      <w:r w:rsidRPr="00800D22">
        <w:rPr>
          <w:rFonts w:hint="eastAsia"/>
          <w:sz w:val="24"/>
        </w:rPr>
        <w:t>和</w:t>
      </w:r>
      <w:r w:rsidRPr="00800D22">
        <w:rPr>
          <w:sz w:val="24"/>
        </w:rPr>
        <w:t>123.20BP</w:t>
      </w:r>
      <w:r w:rsidRPr="00800D22">
        <w:rPr>
          <w:sz w:val="24"/>
        </w:rPr>
        <w:t>；而</w:t>
      </w:r>
      <w:r w:rsidRPr="00800D22">
        <w:rPr>
          <w:sz w:val="24"/>
        </w:rPr>
        <w:t>3</w:t>
      </w:r>
      <w:r w:rsidRPr="00800D22">
        <w:rPr>
          <w:sz w:val="24"/>
        </w:rPr>
        <w:t>年期、</w:t>
      </w:r>
      <w:r w:rsidRPr="00800D22">
        <w:rPr>
          <w:sz w:val="24"/>
        </w:rPr>
        <w:t>5</w:t>
      </w:r>
      <w:r w:rsidRPr="00800D22">
        <w:rPr>
          <w:sz w:val="24"/>
        </w:rPr>
        <w:t>年期</w:t>
      </w:r>
      <w:r w:rsidRPr="00800D22">
        <w:rPr>
          <w:rFonts w:hint="eastAsia"/>
          <w:sz w:val="24"/>
        </w:rPr>
        <w:t>和</w:t>
      </w:r>
      <w:r w:rsidRPr="00800D22">
        <w:rPr>
          <w:sz w:val="24"/>
        </w:rPr>
        <w:t>10</w:t>
      </w:r>
      <w:r w:rsidRPr="00800D22">
        <w:rPr>
          <w:sz w:val="24"/>
        </w:rPr>
        <w:t>年期政策性银行债</w:t>
      </w:r>
      <w:r w:rsidRPr="00800D22">
        <w:rPr>
          <w:rFonts w:hint="eastAsia"/>
          <w:sz w:val="24"/>
        </w:rPr>
        <w:t>券</w:t>
      </w:r>
      <w:r w:rsidRPr="00800D22">
        <w:rPr>
          <w:sz w:val="24"/>
        </w:rPr>
        <w:t>到期收益率分别高于国债到期收益率</w:t>
      </w:r>
      <w:r w:rsidRPr="00800D22">
        <w:rPr>
          <w:sz w:val="24"/>
        </w:rPr>
        <w:t>39.21BP</w:t>
      </w:r>
      <w:r w:rsidRPr="00800D22">
        <w:rPr>
          <w:sz w:val="24"/>
        </w:rPr>
        <w:t>、</w:t>
      </w:r>
      <w:r w:rsidRPr="00800D22">
        <w:rPr>
          <w:sz w:val="24"/>
        </w:rPr>
        <w:t>41.95BP</w:t>
      </w:r>
      <w:r w:rsidRPr="00800D22">
        <w:rPr>
          <w:rFonts w:hint="eastAsia"/>
          <w:sz w:val="24"/>
        </w:rPr>
        <w:t>和</w:t>
      </w:r>
      <w:r w:rsidRPr="00800D22">
        <w:rPr>
          <w:sz w:val="24"/>
        </w:rPr>
        <w:t>42.65BP</w:t>
      </w:r>
      <w:r w:rsidRPr="00800D22">
        <w:rPr>
          <w:sz w:val="24"/>
        </w:rPr>
        <w:t>。国有商业银行债</w:t>
      </w:r>
      <w:r w:rsidRPr="00800D22">
        <w:rPr>
          <w:rFonts w:hint="eastAsia"/>
          <w:sz w:val="24"/>
        </w:rPr>
        <w:t>券</w:t>
      </w:r>
      <w:r w:rsidRPr="00800D22">
        <w:rPr>
          <w:sz w:val="24"/>
        </w:rPr>
        <w:t>及政策性银行债</w:t>
      </w:r>
      <w:r w:rsidRPr="00800D22">
        <w:rPr>
          <w:rFonts w:hint="eastAsia"/>
          <w:sz w:val="24"/>
        </w:rPr>
        <w:t>券</w:t>
      </w:r>
      <w:r w:rsidRPr="00800D22">
        <w:rPr>
          <w:sz w:val="24"/>
        </w:rPr>
        <w:t>与国债之间的这种利差表明尽管信用等级已经达到最高信用等级，但发行利率依然偏高，因此，笔者认为商业银行债</w:t>
      </w:r>
      <w:r w:rsidRPr="00800D22">
        <w:rPr>
          <w:rFonts w:hint="eastAsia"/>
          <w:sz w:val="24"/>
        </w:rPr>
        <w:t>券</w:t>
      </w:r>
      <w:r w:rsidRPr="00800D22">
        <w:rPr>
          <w:sz w:val="24"/>
        </w:rPr>
        <w:t>也可以通过增信来降低发行成本，尽管增信后信用等级无法再得到提升，但由于给债券提供了进一步的保障措施，因而投资者要求的收益率会有所降低。</w:t>
      </w:r>
    </w:p>
    <w:p w14:paraId="221C5B54" w14:textId="77777777" w:rsidR="00244245" w:rsidRPr="00800D22" w:rsidRDefault="00244245" w:rsidP="00244245">
      <w:pPr>
        <w:spacing w:line="360" w:lineRule="auto"/>
        <w:jc w:val="center"/>
      </w:pPr>
      <w:r w:rsidRPr="00800D22">
        <w:fldChar w:fldCharType="begin"/>
      </w:r>
      <w:r w:rsidRPr="00800D22">
        <w:rPr>
          <w:rFonts w:hint="eastAsia"/>
        </w:rPr>
        <w:instrText xml:space="preserve"> INCLUDEPICTURE "../../</w:instrText>
      </w:r>
      <w:r w:rsidRPr="00800D22">
        <w:rPr>
          <w:rFonts w:hint="eastAsia"/>
        </w:rPr>
        <w:instrText>需上传服务器文件</w:instrText>
      </w:r>
      <w:r w:rsidRPr="00800D22">
        <w:rPr>
          <w:rFonts w:hint="eastAsia"/>
        </w:rPr>
        <w:instrText>/</w:instrText>
      </w:r>
      <w:r w:rsidRPr="00800D22">
        <w:rPr>
          <w:rFonts w:hint="eastAsia"/>
        </w:rPr>
        <w:instrText>课题</w:instrText>
      </w:r>
      <w:r w:rsidRPr="00800D22">
        <w:rPr>
          <w:rFonts w:hint="eastAsia"/>
        </w:rPr>
        <w:instrText>/</w:instrText>
      </w:r>
      <w:r w:rsidRPr="00800D22">
        <w:rPr>
          <w:rFonts w:hint="eastAsia"/>
        </w:rPr>
        <w:instrText>银行间债券市场担保体系设计</w:instrText>
      </w:r>
      <w:r w:rsidRPr="00800D22">
        <w:rPr>
          <w:rFonts w:hint="eastAsia"/>
        </w:rPr>
        <w:instrText>/</w:instrText>
      </w:r>
      <w:r w:rsidRPr="00800D22">
        <w:rPr>
          <w:rFonts w:hint="eastAsia"/>
        </w:rPr>
        <w:instrText>研发资料</w:instrText>
      </w:r>
      <w:r w:rsidRPr="00800D22">
        <w:rPr>
          <w:rFonts w:hint="eastAsia"/>
        </w:rPr>
        <w:instrText xml:space="preserve">/Local%20Settings/Temp/04ZM2DUDZIUQ_%5b5%5dJANBAOO.jpg" \* MERGEFORMAT </w:instrText>
      </w:r>
      <w:r w:rsidRPr="00800D22">
        <w:fldChar w:fldCharType="separate"/>
      </w:r>
      <w:r w:rsidRPr="00800D22">
        <w:pict w14:anchorId="34619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184.55pt">
            <v:imagedata r:id="rId12" r:href="rId13"/>
          </v:shape>
        </w:pict>
      </w:r>
      <w:r w:rsidRPr="00800D22">
        <w:fldChar w:fldCharType="end"/>
      </w:r>
    </w:p>
    <w:p w14:paraId="34E87816" w14:textId="42946726" w:rsidR="00244245" w:rsidRPr="00800D22" w:rsidRDefault="00244245" w:rsidP="00244245">
      <w:pPr>
        <w:pStyle w:val="af"/>
        <w:jc w:val="center"/>
        <w:rPr>
          <w:rFonts w:ascii="Times New Roman" w:eastAsia="新宋体" w:hAnsi="新宋体" w:cs="Times New Roman" w:hint="eastAsia"/>
          <w:sz w:val="21"/>
          <w:szCs w:val="21"/>
        </w:rPr>
      </w:pPr>
      <w:bookmarkStart w:id="7" w:name="_Toc246425695"/>
      <w:bookmarkStart w:id="8" w:name="_Toc256507229"/>
      <w:r w:rsidRPr="00800D22">
        <w:rPr>
          <w:rFonts w:ascii="Times New Roman" w:eastAsia="新宋体" w:hAnsi="新宋体" w:cs="Times New Roman" w:hint="eastAsia"/>
          <w:sz w:val="21"/>
          <w:szCs w:val="21"/>
        </w:rPr>
        <w:t>图</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图</w:instrText>
      </w:r>
      <w:r w:rsidRPr="00800D22">
        <w:rPr>
          <w:rFonts w:ascii="Times New Roman" w:eastAsia="新宋体" w:hAnsi="新宋体" w:cs="Times New Roman" w:hint="eastAsia"/>
          <w:sz w:val="21"/>
          <w:szCs w:val="21"/>
        </w:rPr>
        <w:instrText>12.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3</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09</w:t>
      </w:r>
      <w:r w:rsidRPr="00800D22">
        <w:rPr>
          <w:rFonts w:ascii="Times New Roman" w:eastAsia="新宋体" w:hAnsi="新宋体" w:cs="Times New Roman" w:hint="eastAsia"/>
          <w:sz w:val="21"/>
          <w:szCs w:val="21"/>
        </w:rPr>
        <w:t>年</w:t>
      </w:r>
      <w:r w:rsidRPr="00800D22">
        <w:rPr>
          <w:rFonts w:ascii="Times New Roman" w:eastAsia="新宋体" w:hAnsi="新宋体" w:cs="Times New Roman" w:hint="eastAsia"/>
          <w:sz w:val="21"/>
          <w:szCs w:val="21"/>
        </w:rPr>
        <w:t>7</w:t>
      </w:r>
      <w:r w:rsidRPr="00800D22">
        <w:rPr>
          <w:rFonts w:ascii="Times New Roman" w:eastAsia="新宋体" w:hAnsi="新宋体" w:cs="Times New Roman" w:hint="eastAsia"/>
          <w:sz w:val="21"/>
          <w:szCs w:val="21"/>
        </w:rPr>
        <w:t>月</w:t>
      </w:r>
      <w:r w:rsidRPr="00800D22">
        <w:rPr>
          <w:rFonts w:ascii="Times New Roman" w:eastAsia="新宋体" w:hAnsi="新宋体" w:cs="Times New Roman" w:hint="eastAsia"/>
          <w:sz w:val="21"/>
          <w:szCs w:val="21"/>
        </w:rPr>
        <w:t>31</w:t>
      </w:r>
      <w:r w:rsidRPr="00800D22">
        <w:rPr>
          <w:rFonts w:ascii="Times New Roman" w:eastAsia="新宋体" w:hAnsi="新宋体" w:cs="Times New Roman" w:hint="eastAsia"/>
          <w:sz w:val="21"/>
          <w:szCs w:val="21"/>
        </w:rPr>
        <w:t>日</w:t>
      </w:r>
      <w:r w:rsidRPr="00800D22">
        <w:rPr>
          <w:rFonts w:ascii="Times New Roman" w:eastAsia="新宋体" w:hAnsi="新宋体" w:cs="Times New Roman" w:hint="eastAsia"/>
          <w:sz w:val="21"/>
          <w:szCs w:val="21"/>
        </w:rPr>
        <w:t>AAA</w:t>
      </w:r>
      <w:r w:rsidRPr="00800D22">
        <w:rPr>
          <w:rFonts w:ascii="Times New Roman" w:eastAsia="新宋体" w:hAnsi="新宋体" w:cs="Times New Roman" w:hint="eastAsia"/>
          <w:sz w:val="21"/>
          <w:szCs w:val="21"/>
        </w:rPr>
        <w:t>级商业银行债券、政策性银行债券及国债到期收益率比较</w:t>
      </w:r>
      <w:bookmarkEnd w:id="8"/>
    </w:p>
    <w:p w14:paraId="5553C446" w14:textId="77777777" w:rsidR="00244245" w:rsidRPr="00800D22" w:rsidRDefault="00244245" w:rsidP="00244245">
      <w:pPr>
        <w:pStyle w:val="af"/>
        <w:jc w:val="center"/>
        <w:rPr>
          <w:rFonts w:ascii="Times New Roman" w:eastAsia="新宋体" w:hAnsi="Times New Roman" w:cs="Times New Roman"/>
          <w:sz w:val="21"/>
          <w:szCs w:val="21"/>
        </w:rPr>
      </w:pP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sz w:val="21"/>
          <w:szCs w:val="21"/>
        </w:rPr>
        <w:t>（单位：</w:t>
      </w:r>
      <w:r w:rsidRPr="00800D22">
        <w:rPr>
          <w:rFonts w:ascii="Times New Roman" w:eastAsia="新宋体" w:hAnsi="Times New Roman" w:cs="Times New Roman"/>
          <w:sz w:val="21"/>
          <w:szCs w:val="21"/>
        </w:rPr>
        <w:t>%</w:t>
      </w:r>
      <w:r w:rsidRPr="00800D22">
        <w:rPr>
          <w:rFonts w:ascii="Times New Roman" w:eastAsia="新宋体" w:hAnsi="新宋体" w:cs="Times New Roman"/>
          <w:sz w:val="21"/>
          <w:szCs w:val="21"/>
        </w:rPr>
        <w:t>）</w:t>
      </w:r>
      <w:bookmarkEnd w:id="7"/>
    </w:p>
    <w:p w14:paraId="099D9AEF" w14:textId="34D0469D" w:rsidR="00244245" w:rsidRPr="00800D22" w:rsidRDefault="00244245" w:rsidP="00244245">
      <w:pPr>
        <w:jc w:val="center"/>
        <w:rPr>
          <w:rFonts w:eastAsia="新宋体"/>
          <w:szCs w:val="21"/>
        </w:rPr>
      </w:pPr>
      <w:r w:rsidRPr="00800D22">
        <w:rPr>
          <w:rFonts w:eastAsia="新宋体"/>
          <w:szCs w:val="21"/>
        </w:rPr>
        <w:t>Figure</w:t>
      </w:r>
      <w:r w:rsidRPr="00800D22">
        <w:rPr>
          <w:rFonts w:eastAsia="新宋体" w:hint="eastAsia"/>
          <w:szCs w:val="21"/>
        </w:rPr>
        <w:t xml:space="preserve">3 </w:t>
      </w:r>
      <w:r w:rsidRPr="00800D22">
        <w:rPr>
          <w:rFonts w:eastAsia="新宋体"/>
          <w:szCs w:val="21"/>
        </w:rPr>
        <w:t xml:space="preserve"> Comparison of yield to maturity of commercial bank bonds</w:t>
      </w:r>
      <w:r w:rsidRPr="00800D22">
        <w:rPr>
          <w:rFonts w:eastAsia="新宋体" w:hAnsi="新宋体"/>
          <w:szCs w:val="21"/>
        </w:rPr>
        <w:t>、</w:t>
      </w:r>
      <w:r w:rsidRPr="00800D22">
        <w:rPr>
          <w:rFonts w:eastAsia="新宋体"/>
          <w:szCs w:val="21"/>
        </w:rPr>
        <w:t>policy bank bonds and treasury Bonds on July 31th of 2009  (Unit:%)</w:t>
      </w:r>
    </w:p>
    <w:p w14:paraId="7E4D6CB5" w14:textId="77777777" w:rsidR="00244245" w:rsidRPr="00800D22" w:rsidRDefault="00244245" w:rsidP="00244245">
      <w:pPr>
        <w:rPr>
          <w:sz w:val="18"/>
          <w:szCs w:val="18"/>
        </w:rPr>
      </w:pPr>
      <w:r w:rsidRPr="00800D22">
        <w:rPr>
          <w:sz w:val="18"/>
          <w:szCs w:val="18"/>
        </w:rPr>
        <w:t>注：曲线自上而下分别为</w:t>
      </w:r>
      <w:r w:rsidRPr="00800D22">
        <w:rPr>
          <w:sz w:val="18"/>
          <w:szCs w:val="18"/>
        </w:rPr>
        <w:t>AAA</w:t>
      </w:r>
      <w:r w:rsidRPr="00800D22">
        <w:rPr>
          <w:sz w:val="18"/>
          <w:szCs w:val="18"/>
        </w:rPr>
        <w:t>级商业银行债到期收益率曲线、政策性银行债到期收益率曲线和国债到期收益率曲线。</w:t>
      </w:r>
    </w:p>
    <w:p w14:paraId="1C22DA70" w14:textId="402AAE66" w:rsidR="00F900CB" w:rsidRPr="00244245" w:rsidRDefault="00244245" w:rsidP="00244245">
      <w:pPr>
        <w:spacing w:afterLines="100" w:after="312"/>
      </w:pPr>
      <w:r w:rsidRPr="00800D22">
        <w:rPr>
          <w:sz w:val="18"/>
          <w:szCs w:val="18"/>
        </w:rPr>
        <w:t>资料来源：</w:t>
      </w:r>
      <w:r w:rsidRPr="00800D22">
        <w:rPr>
          <w:rFonts w:hint="eastAsia"/>
          <w:sz w:val="18"/>
          <w:szCs w:val="18"/>
        </w:rPr>
        <w:t>中国</w:t>
      </w:r>
      <w:r w:rsidRPr="00800D22">
        <w:rPr>
          <w:sz w:val="18"/>
          <w:szCs w:val="18"/>
        </w:rPr>
        <w:t>债券信息网</w:t>
      </w:r>
    </w:p>
    <w:sectPr w:rsidR="00F900CB" w:rsidRPr="00244245" w:rsidSect="00F90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244245"/>
    <w:rsid w:val="00244245"/>
    <w:rsid w:val="00C7398C"/>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06FCF0B3"/>
  <w15:chartTrackingRefBased/>
  <w15:docId w15:val="{19EDC6B9-D3CF-49DE-ACA6-45B7817F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245"/>
    <w:pPr>
      <w:widowControl w:val="0"/>
      <w:spacing w:line="240" w:lineRule="auto"/>
    </w:pPr>
    <w:rPr>
      <w:rFonts w:ascii="Times New Roman" w:eastAsia="宋体" w:hAnsi="Times New Roman" w:cs="Times New Roman"/>
      <w:szCs w:val="24"/>
    </w:rPr>
  </w:style>
  <w:style w:type="paragraph" w:styleId="1">
    <w:name w:val="heading 1"/>
    <w:basedOn w:val="a"/>
    <w:next w:val="a"/>
    <w:link w:val="10"/>
    <w:uiPriority w:val="9"/>
    <w:qFormat/>
    <w:rsid w:val="00244245"/>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244245"/>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244245"/>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244245"/>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244245"/>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244245"/>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24424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24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4424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245"/>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244245"/>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244245"/>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244245"/>
    <w:rPr>
      <w:rFonts w:cstheme="majorBidi"/>
      <w:color w:val="365F91" w:themeColor="accent1" w:themeShade="BF"/>
      <w:sz w:val="28"/>
      <w:szCs w:val="28"/>
    </w:rPr>
  </w:style>
  <w:style w:type="character" w:customStyle="1" w:styleId="50">
    <w:name w:val="标题 5 字符"/>
    <w:basedOn w:val="a0"/>
    <w:link w:val="5"/>
    <w:uiPriority w:val="9"/>
    <w:semiHidden/>
    <w:rsid w:val="00244245"/>
    <w:rPr>
      <w:rFonts w:cstheme="majorBidi"/>
      <w:color w:val="365F91" w:themeColor="accent1" w:themeShade="BF"/>
      <w:sz w:val="24"/>
      <w:szCs w:val="24"/>
    </w:rPr>
  </w:style>
  <w:style w:type="character" w:customStyle="1" w:styleId="60">
    <w:name w:val="标题 6 字符"/>
    <w:basedOn w:val="a0"/>
    <w:link w:val="6"/>
    <w:uiPriority w:val="9"/>
    <w:semiHidden/>
    <w:rsid w:val="00244245"/>
    <w:rPr>
      <w:rFonts w:cstheme="majorBidi"/>
      <w:b/>
      <w:bCs/>
      <w:color w:val="365F91" w:themeColor="accent1" w:themeShade="BF"/>
    </w:rPr>
  </w:style>
  <w:style w:type="character" w:customStyle="1" w:styleId="70">
    <w:name w:val="标题 7 字符"/>
    <w:basedOn w:val="a0"/>
    <w:link w:val="7"/>
    <w:uiPriority w:val="9"/>
    <w:semiHidden/>
    <w:rsid w:val="00244245"/>
    <w:rPr>
      <w:rFonts w:cstheme="majorBidi"/>
      <w:b/>
      <w:bCs/>
      <w:color w:val="595959" w:themeColor="text1" w:themeTint="A6"/>
    </w:rPr>
  </w:style>
  <w:style w:type="character" w:customStyle="1" w:styleId="80">
    <w:name w:val="标题 8 字符"/>
    <w:basedOn w:val="a0"/>
    <w:link w:val="8"/>
    <w:uiPriority w:val="9"/>
    <w:semiHidden/>
    <w:rsid w:val="00244245"/>
    <w:rPr>
      <w:rFonts w:cstheme="majorBidi"/>
      <w:color w:val="595959" w:themeColor="text1" w:themeTint="A6"/>
    </w:rPr>
  </w:style>
  <w:style w:type="character" w:customStyle="1" w:styleId="90">
    <w:name w:val="标题 9 字符"/>
    <w:basedOn w:val="a0"/>
    <w:link w:val="9"/>
    <w:uiPriority w:val="9"/>
    <w:semiHidden/>
    <w:rsid w:val="00244245"/>
    <w:rPr>
      <w:rFonts w:eastAsiaTheme="majorEastAsia" w:cstheme="majorBidi"/>
      <w:color w:val="595959" w:themeColor="text1" w:themeTint="A6"/>
    </w:rPr>
  </w:style>
  <w:style w:type="paragraph" w:styleId="a3">
    <w:name w:val="Title"/>
    <w:basedOn w:val="a"/>
    <w:next w:val="a"/>
    <w:link w:val="a4"/>
    <w:uiPriority w:val="10"/>
    <w:qFormat/>
    <w:rsid w:val="002442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2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245"/>
    <w:pPr>
      <w:spacing w:before="160" w:after="160"/>
      <w:jc w:val="center"/>
    </w:pPr>
    <w:rPr>
      <w:i/>
      <w:iCs/>
      <w:color w:val="404040" w:themeColor="text1" w:themeTint="BF"/>
    </w:rPr>
  </w:style>
  <w:style w:type="character" w:customStyle="1" w:styleId="a8">
    <w:name w:val="引用 字符"/>
    <w:basedOn w:val="a0"/>
    <w:link w:val="a7"/>
    <w:uiPriority w:val="29"/>
    <w:rsid w:val="00244245"/>
    <w:rPr>
      <w:i/>
      <w:iCs/>
      <w:color w:val="404040" w:themeColor="text1" w:themeTint="BF"/>
    </w:rPr>
  </w:style>
  <w:style w:type="paragraph" w:styleId="a9">
    <w:name w:val="List Paragraph"/>
    <w:basedOn w:val="a"/>
    <w:uiPriority w:val="34"/>
    <w:qFormat/>
    <w:rsid w:val="00244245"/>
    <w:pPr>
      <w:ind w:left="720"/>
      <w:contextualSpacing/>
    </w:pPr>
  </w:style>
  <w:style w:type="character" w:styleId="aa">
    <w:name w:val="Intense Emphasis"/>
    <w:basedOn w:val="a0"/>
    <w:uiPriority w:val="21"/>
    <w:qFormat/>
    <w:rsid w:val="00244245"/>
    <w:rPr>
      <w:i/>
      <w:iCs/>
      <w:color w:val="365F91" w:themeColor="accent1" w:themeShade="BF"/>
    </w:rPr>
  </w:style>
  <w:style w:type="paragraph" w:styleId="ab">
    <w:name w:val="Intense Quote"/>
    <w:basedOn w:val="a"/>
    <w:next w:val="a"/>
    <w:link w:val="ac"/>
    <w:uiPriority w:val="30"/>
    <w:qFormat/>
    <w:rsid w:val="002442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244245"/>
    <w:rPr>
      <w:i/>
      <w:iCs/>
      <w:color w:val="365F91" w:themeColor="accent1" w:themeShade="BF"/>
    </w:rPr>
  </w:style>
  <w:style w:type="character" w:styleId="ad">
    <w:name w:val="Intense Reference"/>
    <w:basedOn w:val="a0"/>
    <w:uiPriority w:val="32"/>
    <w:qFormat/>
    <w:rsid w:val="00244245"/>
    <w:rPr>
      <w:b/>
      <w:bCs/>
      <w:smallCaps/>
      <w:color w:val="365F91" w:themeColor="accent1" w:themeShade="BF"/>
      <w:spacing w:val="5"/>
    </w:rPr>
  </w:style>
  <w:style w:type="character" w:customStyle="1" w:styleId="3Char">
    <w:name w:val="标题 3 Char"/>
    <w:rsid w:val="00244245"/>
    <w:rPr>
      <w:b/>
      <w:bCs/>
      <w:kern w:val="2"/>
      <w:sz w:val="32"/>
      <w:szCs w:val="32"/>
    </w:rPr>
  </w:style>
  <w:style w:type="character" w:styleId="ae">
    <w:name w:val="Strong"/>
    <w:qFormat/>
    <w:rsid w:val="00244245"/>
    <w:rPr>
      <w:b/>
      <w:bCs/>
    </w:rPr>
  </w:style>
  <w:style w:type="paragraph" w:styleId="af">
    <w:name w:val="caption"/>
    <w:basedOn w:val="a"/>
    <w:next w:val="a"/>
    <w:qFormat/>
    <w:rsid w:val="00244245"/>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0796.htm" TargetMode="External"/><Relationship Id="rId13" Type="http://schemas.openxmlformats.org/officeDocument/2006/relationships/image" Target="../../&#38656;&#19978;&#20256;&#26381;&#21153;&#22120;&#25991;&#20214;/&#35838;&#39064;/&#38134;&#34892;&#38388;&#20538;&#21048;&#24066;&#22330;&#25285;&#20445;&#20307;&#31995;&#35774;&#35745;/&#30740;&#21457;&#36164;&#26009;/Local%20Settings/Temp/04ZM2DUDZIUQ_%5b5%5dJANBAOO.jpg" TargetMode="External"/><Relationship Id="rId3" Type="http://schemas.openxmlformats.org/officeDocument/2006/relationships/webSettings" Target="webSettings.xml"/><Relationship Id="rId7" Type="http://schemas.openxmlformats.org/officeDocument/2006/relationships/hyperlink" Target="http://baike.baidu.com/view/1363170.htm"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437729.htm" TargetMode="External"/><Relationship Id="rId11" Type="http://schemas.openxmlformats.org/officeDocument/2006/relationships/image" Target="media/image2.emf"/><Relationship Id="rId5" Type="http://schemas.openxmlformats.org/officeDocument/2006/relationships/hyperlink" Target="http://baike.baidu.com/view/114393.htm" TargetMode="Externa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hyperlink" Target="http://baike.baidu.com/view/56260.htm" TargetMode="External"/><Relationship Id="rId9" Type="http://schemas.openxmlformats.org/officeDocument/2006/relationships/hyperlink" Target="http://baike.baidu.com/view/43705.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2025-10-21T09:36:00Z</dcterms:created>
  <dcterms:modified xsi:type="dcterms:W3CDTF">2025-10-21T09:39:00Z</dcterms:modified>
</cp:coreProperties>
</file>