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3001" w14:textId="5D4778AB" w:rsidR="008D0AC4" w:rsidRPr="002E2F38" w:rsidRDefault="002E2F38" w:rsidP="002E2F38">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2E2F38">
        <w:rPr>
          <w:rFonts w:ascii="黑体" w:eastAsia="黑体" w:hAnsi="Times New Roman" w:cs="Times New Roman"/>
          <w:bCs/>
          <w:color w:val="auto"/>
          <w:sz w:val="44"/>
          <w:szCs w:val="44"/>
        </w:rPr>
        <w:t>韩国债券市场增信体系研究</w:t>
      </w:r>
    </w:p>
    <w:p w14:paraId="1BC8D7A4" w14:textId="77777777" w:rsidR="002E2F38" w:rsidRDefault="002E2F38"/>
    <w:p w14:paraId="3F97C090" w14:textId="6F1D488F" w:rsidR="002E2F38" w:rsidRPr="00800D22" w:rsidRDefault="002E2F38" w:rsidP="002E2F38">
      <w:pPr>
        <w:pStyle w:val="3"/>
        <w:adjustRightInd w:val="0"/>
        <w:spacing w:beforeLines="50" w:before="156" w:afterLines="50" w:after="156" w:line="440" w:lineRule="exact"/>
        <w:jc w:val="left"/>
        <w:rPr>
          <w:rFonts w:ascii="黑体" w:eastAsia="黑体"/>
          <w:b/>
          <w:sz w:val="28"/>
          <w:szCs w:val="28"/>
        </w:rPr>
      </w:pPr>
      <w:bookmarkStart w:id="0" w:name="_Toc238267518"/>
      <w:bookmarkStart w:id="1" w:name="_Toc238270161"/>
      <w:bookmarkStart w:id="2" w:name="_Toc238701454"/>
      <w:bookmarkStart w:id="3" w:name="_Toc239689227"/>
      <w:bookmarkStart w:id="4" w:name="_Toc247869846"/>
      <w:bookmarkStart w:id="5" w:name="_Toc256506281"/>
      <w:r>
        <w:rPr>
          <w:rFonts w:ascii="黑体" w:eastAsia="黑体" w:hint="eastAsia"/>
          <w:b/>
          <w:sz w:val="28"/>
          <w:szCs w:val="28"/>
        </w:rPr>
        <w:t>一、</w:t>
      </w:r>
      <w:r w:rsidRPr="00800D22">
        <w:rPr>
          <w:rFonts w:ascii="黑体" w:eastAsia="黑体"/>
          <w:b/>
          <w:sz w:val="28"/>
          <w:szCs w:val="28"/>
        </w:rPr>
        <w:t>韩国债券市场发展及现状</w:t>
      </w:r>
      <w:bookmarkEnd w:id="0"/>
      <w:bookmarkEnd w:id="1"/>
      <w:bookmarkEnd w:id="2"/>
      <w:bookmarkEnd w:id="3"/>
      <w:bookmarkEnd w:id="4"/>
      <w:bookmarkEnd w:id="5"/>
    </w:p>
    <w:p w14:paraId="3BC322FD" w14:textId="77777777" w:rsidR="002E2F38" w:rsidRPr="00800D22" w:rsidRDefault="002E2F38" w:rsidP="002E2F38">
      <w:pPr>
        <w:pStyle w:val="af2"/>
        <w:spacing w:before="0" w:beforeAutospacing="0" w:after="0" w:afterAutospacing="0" w:line="440" w:lineRule="exact"/>
        <w:ind w:firstLineChars="200" w:firstLine="480"/>
        <w:jc w:val="both"/>
        <w:rPr>
          <w:rStyle w:val="af6"/>
          <w:rFonts w:ascii="Times New Roman" w:hAnsi="Times New Roman" w:cs="Times New Roman"/>
          <w:b w:val="0"/>
        </w:rPr>
      </w:pPr>
      <w:r w:rsidRPr="00800D22">
        <w:rPr>
          <w:rStyle w:val="af6"/>
          <w:rFonts w:ascii="Times New Roman" w:hAnsi="Times New Roman" w:cs="Times New Roman"/>
          <w:b w:val="0"/>
        </w:rPr>
        <w:t>韩国债券市场的发展主要经历了初始阶段（</w:t>
      </w:r>
      <w:r w:rsidRPr="00800D22">
        <w:rPr>
          <w:rStyle w:val="af6"/>
          <w:rFonts w:ascii="Times New Roman" w:hAnsi="Times New Roman" w:cs="Times New Roman"/>
          <w:b w:val="0"/>
        </w:rPr>
        <w:t>1949</w:t>
      </w:r>
      <w:r w:rsidRPr="00800D22">
        <w:rPr>
          <w:rStyle w:val="af6"/>
          <w:rFonts w:ascii="Times New Roman" w:hAnsi="Times New Roman" w:cs="Times New Roman" w:hint="eastAsia"/>
          <w:b w:val="0"/>
        </w:rPr>
        <w:t>年</w:t>
      </w:r>
      <w:r w:rsidRPr="00800D22">
        <w:rPr>
          <w:rStyle w:val="af6"/>
          <w:rFonts w:ascii="Times New Roman" w:hAnsi="Times New Roman" w:cs="Times New Roman"/>
          <w:b w:val="0"/>
        </w:rPr>
        <w:t>～</w:t>
      </w:r>
      <w:r w:rsidRPr="00800D22">
        <w:rPr>
          <w:rStyle w:val="af6"/>
          <w:rFonts w:ascii="Times New Roman" w:hAnsi="Times New Roman" w:cs="Times New Roman"/>
          <w:b w:val="0"/>
        </w:rPr>
        <w:t>1971</w:t>
      </w:r>
      <w:r w:rsidRPr="00800D22">
        <w:rPr>
          <w:rStyle w:val="af6"/>
          <w:rFonts w:ascii="Times New Roman" w:hAnsi="Times New Roman" w:cs="Times New Roman"/>
          <w:b w:val="0"/>
        </w:rPr>
        <w:t>年）、发展开放阶段（</w:t>
      </w:r>
      <w:r w:rsidRPr="00800D22">
        <w:rPr>
          <w:rStyle w:val="af6"/>
          <w:rFonts w:ascii="Times New Roman" w:hAnsi="Times New Roman" w:cs="Times New Roman"/>
          <w:b w:val="0"/>
        </w:rPr>
        <w:t>1972</w:t>
      </w:r>
      <w:r w:rsidRPr="00800D22">
        <w:rPr>
          <w:rStyle w:val="af6"/>
          <w:rFonts w:ascii="Times New Roman" w:hAnsi="Times New Roman" w:cs="Times New Roman" w:hint="eastAsia"/>
          <w:b w:val="0"/>
        </w:rPr>
        <w:t>年</w:t>
      </w:r>
      <w:r w:rsidRPr="00800D22">
        <w:rPr>
          <w:rStyle w:val="af6"/>
          <w:rFonts w:ascii="Times New Roman" w:hAnsi="Times New Roman" w:cs="Times New Roman"/>
          <w:b w:val="0"/>
        </w:rPr>
        <w:t>～</w:t>
      </w:r>
      <w:r w:rsidRPr="00800D22">
        <w:rPr>
          <w:rStyle w:val="af6"/>
          <w:rFonts w:ascii="Times New Roman" w:hAnsi="Times New Roman" w:cs="Times New Roman"/>
          <w:b w:val="0"/>
        </w:rPr>
        <w:t>1997</w:t>
      </w:r>
      <w:r w:rsidRPr="00800D22">
        <w:rPr>
          <w:rStyle w:val="af6"/>
          <w:rFonts w:ascii="Times New Roman" w:hAnsi="Times New Roman" w:cs="Times New Roman"/>
          <w:b w:val="0"/>
        </w:rPr>
        <w:t>年）和繁荣阶段（</w:t>
      </w:r>
      <w:r w:rsidRPr="00800D22">
        <w:rPr>
          <w:rStyle w:val="af6"/>
          <w:rFonts w:ascii="Times New Roman" w:hAnsi="Times New Roman" w:cs="Times New Roman"/>
          <w:b w:val="0"/>
        </w:rPr>
        <w:t>1997</w:t>
      </w:r>
      <w:r w:rsidRPr="00800D22">
        <w:rPr>
          <w:rStyle w:val="af6"/>
          <w:rFonts w:ascii="Times New Roman" w:hAnsi="Times New Roman" w:cs="Times New Roman"/>
          <w:b w:val="0"/>
        </w:rPr>
        <w:t>年至今）三个阶段。</w:t>
      </w:r>
    </w:p>
    <w:p w14:paraId="4822131C" w14:textId="77777777" w:rsidR="002E2F38" w:rsidRPr="00800D22" w:rsidRDefault="002E2F38" w:rsidP="002E2F38">
      <w:pPr>
        <w:pStyle w:val="af2"/>
        <w:spacing w:before="0" w:beforeAutospacing="0" w:after="0" w:afterAutospacing="0" w:line="440" w:lineRule="exact"/>
        <w:ind w:firstLineChars="200" w:firstLine="480"/>
        <w:jc w:val="both"/>
        <w:rPr>
          <w:rStyle w:val="af6"/>
          <w:rFonts w:ascii="Times New Roman" w:hAnsi="Times New Roman" w:cs="Times New Roman"/>
          <w:b w:val="0"/>
        </w:rPr>
      </w:pPr>
      <w:r w:rsidRPr="00800D22">
        <w:rPr>
          <w:rStyle w:val="af6"/>
          <w:rFonts w:ascii="Times New Roman" w:hAnsi="Times New Roman" w:cs="Times New Roman"/>
          <w:b w:val="0"/>
        </w:rPr>
        <w:t>在债券市场发展初始阶段，由于公司债券尚未出现，因此当时在市场上交易的主要是政府债券。</w:t>
      </w:r>
      <w:r w:rsidRPr="00800D22">
        <w:rPr>
          <w:rStyle w:val="af6"/>
          <w:rFonts w:ascii="Times New Roman" w:hAnsi="Times New Roman" w:cs="Times New Roman"/>
          <w:b w:val="0"/>
        </w:rPr>
        <w:t>1962</w:t>
      </w:r>
      <w:r w:rsidRPr="00800D22">
        <w:rPr>
          <w:rStyle w:val="af6"/>
          <w:rFonts w:ascii="Times New Roman" w:hAnsi="Times New Roman" w:cs="Times New Roman"/>
          <w:b w:val="0"/>
        </w:rPr>
        <w:t>年，韩国实行第一个经济发展五年计划，需要筹措资金，使得债券市场（都是政府债券）繁荣起来，但是当时的韩国政府对债券市场管制较为严格，限制了债券市场的发展空间。</w:t>
      </w:r>
    </w:p>
    <w:p w14:paraId="5E43F2C9" w14:textId="77777777" w:rsidR="002E2F38" w:rsidRPr="00800D22" w:rsidRDefault="002E2F38" w:rsidP="002E2F38">
      <w:pPr>
        <w:pStyle w:val="af2"/>
        <w:spacing w:before="0" w:beforeAutospacing="0" w:after="0" w:afterAutospacing="0" w:line="440" w:lineRule="exact"/>
        <w:ind w:firstLineChars="200" w:firstLine="480"/>
        <w:jc w:val="both"/>
        <w:rPr>
          <w:rStyle w:val="af6"/>
          <w:rFonts w:ascii="Times New Roman" w:hAnsi="Times New Roman" w:cs="Times New Roman"/>
          <w:b w:val="0"/>
        </w:rPr>
      </w:pPr>
      <w:r w:rsidRPr="00800D22">
        <w:rPr>
          <w:rStyle w:val="af6"/>
          <w:rFonts w:ascii="Times New Roman" w:hAnsi="Times New Roman" w:cs="Times New Roman"/>
          <w:b w:val="0"/>
        </w:rPr>
        <w:t>在发展开发阶段，韩国债券市场得到了进一步的发展。</w:t>
      </w:r>
      <w:r w:rsidRPr="00800D22">
        <w:rPr>
          <w:rStyle w:val="af6"/>
          <w:rFonts w:ascii="Times New Roman" w:hAnsi="Times New Roman" w:cs="Times New Roman"/>
          <w:b w:val="0"/>
        </w:rPr>
        <w:t>20</w:t>
      </w:r>
      <w:r w:rsidRPr="00800D22">
        <w:rPr>
          <w:rStyle w:val="af6"/>
          <w:rFonts w:ascii="Times New Roman" w:hAnsi="Times New Roman" w:cs="Times New Roman"/>
          <w:b w:val="0"/>
        </w:rPr>
        <w:t>世纪</w:t>
      </w:r>
      <w:r w:rsidRPr="00800D22">
        <w:rPr>
          <w:rStyle w:val="af6"/>
          <w:rFonts w:ascii="Times New Roman" w:hAnsi="Times New Roman" w:cs="Times New Roman"/>
          <w:b w:val="0"/>
        </w:rPr>
        <w:t>70</w:t>
      </w:r>
      <w:r w:rsidRPr="00800D22">
        <w:rPr>
          <w:rStyle w:val="af6"/>
          <w:rFonts w:ascii="Times New Roman" w:hAnsi="Times New Roman" w:cs="Times New Roman"/>
          <w:b w:val="0"/>
        </w:rPr>
        <w:t>年代以来，韩国政府开始实行长期金融战略，采取了一系列促进债券市场发展的政策措施：相继制定了《公司债券登录法》、《企业公开促进法》和《短期融资法》等，引进了公司债券并实施了</w:t>
      </w:r>
      <w:r w:rsidRPr="00800D22">
        <w:rPr>
          <w:rStyle w:val="af6"/>
          <w:rFonts w:ascii="Times New Roman" w:hAnsi="Times New Roman" w:cs="Times New Roman" w:hint="eastAsia"/>
          <w:b w:val="0"/>
        </w:rPr>
        <w:t>“</w:t>
      </w:r>
      <w:r w:rsidRPr="00800D22">
        <w:rPr>
          <w:rStyle w:val="af6"/>
          <w:rFonts w:ascii="Times New Roman" w:hAnsi="Times New Roman" w:cs="Times New Roman"/>
          <w:b w:val="0"/>
        </w:rPr>
        <w:t>公司债券保证制度</w:t>
      </w:r>
      <w:r w:rsidRPr="00800D22">
        <w:rPr>
          <w:rStyle w:val="af6"/>
          <w:rFonts w:ascii="Times New Roman" w:hAnsi="Times New Roman" w:cs="Times New Roman" w:hint="eastAsia"/>
          <w:b w:val="0"/>
        </w:rPr>
        <w:t>”</w:t>
      </w:r>
      <w:r w:rsidRPr="00800D22">
        <w:rPr>
          <w:rStyle w:val="af6"/>
          <w:rFonts w:ascii="Times New Roman" w:hAnsi="Times New Roman" w:cs="Times New Roman"/>
          <w:b w:val="0"/>
        </w:rPr>
        <w:t>，为公司债券建立了银行担保制度，大力促进了公司债券市场的发展。但是该阶段韩国公司债券的发行一直受到控制，利率完全由政府决定。另外，由于大多数公司债券都由商业银行担保，使得公司债券市场和银行部门高度地绑在了一起。虽然这种做法增强了政府通过银行体系的优越机制来实现工业化战略的能力，但却加剧了</w:t>
      </w:r>
      <w:r w:rsidRPr="00800D22">
        <w:rPr>
          <w:rStyle w:val="af6"/>
          <w:rFonts w:ascii="Times New Roman" w:hAnsi="Times New Roman" w:cs="Times New Roman"/>
          <w:b w:val="0"/>
        </w:rPr>
        <w:t>1997</w:t>
      </w:r>
      <w:r w:rsidRPr="00800D22">
        <w:rPr>
          <w:rStyle w:val="af6"/>
          <w:rFonts w:ascii="Times New Roman" w:hAnsi="Times New Roman" w:cs="Times New Roman"/>
          <w:b w:val="0"/>
        </w:rPr>
        <w:t>年韩国的金融危机。</w:t>
      </w:r>
    </w:p>
    <w:p w14:paraId="6FC5EC26" w14:textId="77777777" w:rsidR="002E2F38" w:rsidRPr="00800D22" w:rsidRDefault="002E2F38" w:rsidP="002E2F38">
      <w:pPr>
        <w:pStyle w:val="af2"/>
        <w:spacing w:before="0" w:beforeAutospacing="0" w:after="0" w:afterAutospacing="0" w:line="440" w:lineRule="exact"/>
        <w:ind w:firstLineChars="200" w:firstLine="480"/>
        <w:jc w:val="both"/>
        <w:rPr>
          <w:rStyle w:val="af6"/>
          <w:b w:val="0"/>
        </w:rPr>
      </w:pPr>
      <w:r w:rsidRPr="00800D22">
        <w:rPr>
          <w:rStyle w:val="af6"/>
          <w:rFonts w:ascii="Times New Roman" w:hAnsi="Times New Roman" w:cs="Times New Roman"/>
          <w:b w:val="0"/>
        </w:rPr>
        <w:t>亚洲金融风暴</w:t>
      </w:r>
      <w:r w:rsidRPr="00800D22">
        <w:rPr>
          <w:rFonts w:ascii="Times New Roman" w:cs="Times New Roman"/>
        </w:rPr>
        <w:t>过后，韩国政府开始实行金融自由化，逐步减少政府对金融市场的干预，韩国债券市场也开始迅速发展，</w:t>
      </w:r>
      <w:r w:rsidRPr="00800D22">
        <w:rPr>
          <w:rStyle w:val="af6"/>
          <w:rFonts w:ascii="Times New Roman" w:hAnsi="Times New Roman" w:cs="Times New Roman"/>
          <w:b w:val="0"/>
        </w:rPr>
        <w:t>债券市场规模（不含</w:t>
      </w:r>
      <w:r w:rsidRPr="00800D22">
        <w:rPr>
          <w:rStyle w:val="af6"/>
          <w:rFonts w:ascii="Times New Roman" w:hAnsi="Times New Roman" w:cs="Times New Roman" w:hint="eastAsia"/>
          <w:b w:val="0"/>
        </w:rPr>
        <w:t>资产</w:t>
      </w:r>
      <w:r w:rsidRPr="00800D22">
        <w:rPr>
          <w:rStyle w:val="af6"/>
          <w:rFonts w:ascii="Times New Roman" w:hAnsi="Times New Roman" w:cs="Times New Roman"/>
          <w:b w:val="0"/>
        </w:rPr>
        <w:t>证券化产品）从</w:t>
      </w:r>
      <w:r w:rsidRPr="00800D22">
        <w:rPr>
          <w:rStyle w:val="af6"/>
          <w:rFonts w:ascii="Times New Roman" w:hAnsi="Times New Roman" w:cs="Times New Roman"/>
          <w:b w:val="0"/>
        </w:rPr>
        <w:t>1997</w:t>
      </w:r>
      <w:r w:rsidRPr="00800D22">
        <w:rPr>
          <w:rStyle w:val="af6"/>
          <w:rFonts w:ascii="Times New Roman" w:hAnsi="Times New Roman" w:cs="Times New Roman"/>
          <w:b w:val="0"/>
        </w:rPr>
        <w:t>年的</w:t>
      </w:r>
      <w:r w:rsidRPr="00800D22">
        <w:rPr>
          <w:rStyle w:val="af6"/>
          <w:rFonts w:ascii="Times New Roman" w:hAnsi="Times New Roman" w:cs="Times New Roman"/>
          <w:b w:val="0"/>
        </w:rPr>
        <w:t>1,531</w:t>
      </w:r>
      <w:r w:rsidRPr="00800D22">
        <w:rPr>
          <w:rStyle w:val="af6"/>
          <w:rFonts w:ascii="Times New Roman" w:hAnsi="Times New Roman" w:cs="Times New Roman"/>
          <w:b w:val="0"/>
        </w:rPr>
        <w:t>亿美元增长到</w:t>
      </w:r>
      <w:r w:rsidRPr="00800D22">
        <w:rPr>
          <w:rStyle w:val="af6"/>
          <w:rFonts w:ascii="Times New Roman" w:hAnsi="Times New Roman" w:cs="Times New Roman"/>
          <w:b w:val="0"/>
        </w:rPr>
        <w:t>2008</w:t>
      </w:r>
      <w:r w:rsidRPr="00800D22">
        <w:rPr>
          <w:rStyle w:val="af6"/>
          <w:rFonts w:ascii="Times New Roman" w:hAnsi="Times New Roman" w:cs="Times New Roman"/>
          <w:b w:val="0"/>
        </w:rPr>
        <w:t>年的</w:t>
      </w:r>
      <w:r w:rsidRPr="00800D22">
        <w:rPr>
          <w:rStyle w:val="af6"/>
          <w:rFonts w:ascii="Times New Roman" w:hAnsi="Times New Roman" w:cs="Times New Roman"/>
          <w:b w:val="0"/>
        </w:rPr>
        <w:t>8,635</w:t>
      </w:r>
      <w:r w:rsidRPr="00800D22">
        <w:rPr>
          <w:rStyle w:val="af6"/>
          <w:rFonts w:ascii="Times New Roman" w:hAnsi="Times New Roman" w:cs="Times New Roman"/>
          <w:b w:val="0"/>
        </w:rPr>
        <w:t>亿美元，年复合增长率为</w:t>
      </w:r>
      <w:r w:rsidRPr="00800D22">
        <w:rPr>
          <w:rStyle w:val="af6"/>
          <w:rFonts w:ascii="Times New Roman" w:hAnsi="Times New Roman" w:cs="Times New Roman"/>
          <w:b w:val="0"/>
        </w:rPr>
        <w:t>17.02%</w:t>
      </w:r>
      <w:r w:rsidRPr="00800D22">
        <w:rPr>
          <w:rStyle w:val="af6"/>
          <w:rFonts w:ascii="Times New Roman" w:hAnsi="Times New Roman" w:cs="Times New Roman"/>
          <w:b w:val="0"/>
        </w:rPr>
        <w:t>。</w:t>
      </w:r>
      <w:r w:rsidRPr="00800D22">
        <w:rPr>
          <w:rStyle w:val="af6"/>
          <w:rFonts w:ascii="Times New Roman" w:cs="Times New Roman"/>
          <w:b w:val="0"/>
        </w:rPr>
        <w:t>从债券市场结构来看，截至</w:t>
      </w:r>
      <w:r w:rsidRPr="00800D22">
        <w:rPr>
          <w:rStyle w:val="af6"/>
          <w:rFonts w:ascii="Times New Roman" w:hAnsi="Times New Roman" w:cs="Times New Roman"/>
          <w:b w:val="0"/>
        </w:rPr>
        <w:t>2008</w:t>
      </w:r>
      <w:r w:rsidRPr="00800D22">
        <w:rPr>
          <w:rStyle w:val="af6"/>
          <w:rFonts w:ascii="Times New Roman" w:cs="Times New Roman"/>
          <w:b w:val="0"/>
        </w:rPr>
        <w:t>年末，政府债券、金融债券和公司债券分别为</w:t>
      </w:r>
      <w:r w:rsidRPr="00800D22">
        <w:rPr>
          <w:rStyle w:val="af6"/>
          <w:rFonts w:ascii="Times New Roman" w:hAnsi="Times New Roman" w:cs="Times New Roman"/>
          <w:b w:val="0"/>
        </w:rPr>
        <w:t>3,375</w:t>
      </w:r>
      <w:r w:rsidRPr="00800D22">
        <w:rPr>
          <w:rStyle w:val="af6"/>
          <w:rFonts w:ascii="Times New Roman" w:cs="Times New Roman"/>
          <w:b w:val="0"/>
        </w:rPr>
        <w:t>亿美元、</w:t>
      </w:r>
      <w:r w:rsidRPr="00800D22">
        <w:rPr>
          <w:rStyle w:val="af6"/>
          <w:rFonts w:ascii="Times New Roman" w:hAnsi="Times New Roman" w:cs="Times New Roman"/>
          <w:b w:val="0"/>
        </w:rPr>
        <w:t>3,079</w:t>
      </w:r>
      <w:r w:rsidRPr="00800D22">
        <w:rPr>
          <w:rStyle w:val="af6"/>
          <w:rFonts w:ascii="Times New Roman" w:cs="Times New Roman"/>
          <w:b w:val="0"/>
        </w:rPr>
        <w:t>亿美元和</w:t>
      </w:r>
      <w:r w:rsidRPr="00800D22">
        <w:rPr>
          <w:rStyle w:val="af6"/>
          <w:rFonts w:ascii="Times New Roman" w:hAnsi="Times New Roman" w:cs="Times New Roman"/>
          <w:b w:val="0"/>
        </w:rPr>
        <w:t>2,181</w:t>
      </w:r>
      <w:r w:rsidRPr="00800D22">
        <w:rPr>
          <w:rStyle w:val="af6"/>
          <w:rFonts w:ascii="Times New Roman" w:cs="Times New Roman"/>
          <w:b w:val="0"/>
        </w:rPr>
        <w:t>亿美元，分别占债券余额的</w:t>
      </w:r>
      <w:r w:rsidRPr="00800D22">
        <w:rPr>
          <w:rStyle w:val="af6"/>
          <w:rFonts w:ascii="Times New Roman" w:hAnsi="Times New Roman" w:cs="Times New Roman"/>
          <w:b w:val="0"/>
        </w:rPr>
        <w:t>39.08%</w:t>
      </w:r>
      <w:r w:rsidRPr="00800D22">
        <w:rPr>
          <w:rStyle w:val="af6"/>
          <w:rFonts w:ascii="Times New Roman" w:cs="Times New Roman"/>
          <w:b w:val="0"/>
        </w:rPr>
        <w:t>、</w:t>
      </w:r>
      <w:r w:rsidRPr="00800D22">
        <w:rPr>
          <w:rStyle w:val="af6"/>
          <w:rFonts w:ascii="Times New Roman" w:hAnsi="Times New Roman" w:cs="Times New Roman"/>
          <w:b w:val="0"/>
        </w:rPr>
        <w:t>35.66%</w:t>
      </w:r>
      <w:r w:rsidRPr="00800D22">
        <w:rPr>
          <w:rStyle w:val="af6"/>
          <w:rFonts w:ascii="Times New Roman" w:cs="Times New Roman"/>
          <w:b w:val="0"/>
        </w:rPr>
        <w:t>和</w:t>
      </w:r>
      <w:r w:rsidRPr="00800D22">
        <w:rPr>
          <w:rStyle w:val="af6"/>
          <w:rFonts w:ascii="Times New Roman" w:hAnsi="Times New Roman" w:cs="Times New Roman"/>
          <w:b w:val="0"/>
        </w:rPr>
        <w:t>25.26%</w:t>
      </w:r>
      <w:r w:rsidRPr="00800D22">
        <w:rPr>
          <w:rStyle w:val="af6"/>
          <w:rFonts w:ascii="Times New Roman" w:cs="Times New Roman"/>
          <w:b w:val="0"/>
        </w:rPr>
        <w:t>。韩国</w:t>
      </w:r>
      <w:r w:rsidRPr="00800D22">
        <w:rPr>
          <w:rStyle w:val="af6"/>
          <w:rFonts w:ascii="Times New Roman" w:cs="Times New Roman" w:hint="eastAsia"/>
          <w:b w:val="0"/>
        </w:rPr>
        <w:t>资产</w:t>
      </w:r>
      <w:r w:rsidRPr="00800D22">
        <w:rPr>
          <w:rStyle w:val="af6"/>
          <w:rFonts w:ascii="Times New Roman" w:cs="Times New Roman"/>
          <w:b w:val="0"/>
        </w:rPr>
        <w:t>证券化产品近些年也发展迅速，截至</w:t>
      </w:r>
      <w:r w:rsidRPr="00800D22">
        <w:rPr>
          <w:rStyle w:val="af6"/>
          <w:rFonts w:ascii="Times New Roman" w:hAnsi="Times New Roman" w:cs="Times New Roman"/>
          <w:b w:val="0"/>
        </w:rPr>
        <w:t>2008</w:t>
      </w:r>
      <w:r w:rsidRPr="00800D22">
        <w:rPr>
          <w:rStyle w:val="af6"/>
          <w:rFonts w:ascii="Times New Roman" w:cs="Times New Roman"/>
          <w:b w:val="0"/>
        </w:rPr>
        <w:t>年末，抵押支持证券和资产支持证券分别达到</w:t>
      </w:r>
      <w:r w:rsidRPr="00800D22">
        <w:rPr>
          <w:rStyle w:val="af6"/>
          <w:rFonts w:ascii="Times New Roman" w:hAnsi="Times New Roman" w:cs="Times New Roman"/>
          <w:b w:val="0"/>
        </w:rPr>
        <w:t>1,5</w:t>
      </w:r>
      <w:r w:rsidRPr="00800D22">
        <w:rPr>
          <w:rStyle w:val="af6"/>
          <w:rFonts w:ascii="Times New Roman" w:hAnsi="Times New Roman" w:cs="Times New Roman" w:hint="eastAsia"/>
          <w:b w:val="0"/>
        </w:rPr>
        <w:t>5</w:t>
      </w:r>
      <w:r w:rsidRPr="00800D22">
        <w:rPr>
          <w:rStyle w:val="af6"/>
          <w:rFonts w:ascii="Times New Roman" w:hAnsi="Times New Roman" w:cs="Times New Roman"/>
          <w:b w:val="0"/>
        </w:rPr>
        <w:t>0</w:t>
      </w:r>
      <w:r w:rsidRPr="00800D22">
        <w:rPr>
          <w:rStyle w:val="af6"/>
          <w:rFonts w:ascii="Times New Roman" w:cs="Times New Roman"/>
          <w:b w:val="0"/>
        </w:rPr>
        <w:t>亿美元和</w:t>
      </w:r>
      <w:r w:rsidRPr="00800D22">
        <w:rPr>
          <w:rStyle w:val="af6"/>
          <w:rFonts w:ascii="Times New Roman" w:hAnsi="Times New Roman" w:cs="Times New Roman"/>
          <w:b w:val="0"/>
        </w:rPr>
        <w:t>400</w:t>
      </w:r>
      <w:r w:rsidRPr="00800D22">
        <w:rPr>
          <w:rStyle w:val="af6"/>
          <w:rFonts w:ascii="Times New Roman" w:cs="Times New Roman"/>
          <w:b w:val="0"/>
        </w:rPr>
        <w:t>亿美元。</w:t>
      </w:r>
      <w:r w:rsidRPr="00800D22">
        <w:rPr>
          <w:rStyle w:val="af6"/>
          <w:rFonts w:ascii="Times New Roman" w:hAnsi="Times New Roman" w:cs="Times New Roman"/>
          <w:b w:val="0"/>
        </w:rPr>
        <w:t>2006</w:t>
      </w:r>
      <w:r w:rsidRPr="00800D22">
        <w:rPr>
          <w:rStyle w:val="af6"/>
          <w:rFonts w:ascii="Times New Roman" w:hAnsi="Times New Roman" w:cs="Times New Roman"/>
          <w:b w:val="0"/>
        </w:rPr>
        <w:t>年末韩国债券余额与</w:t>
      </w:r>
      <w:r w:rsidRPr="00800D22">
        <w:rPr>
          <w:rStyle w:val="af6"/>
          <w:rFonts w:ascii="Times New Roman" w:hAnsi="Times New Roman" w:cs="Times New Roman"/>
          <w:b w:val="0"/>
        </w:rPr>
        <w:t>GDP</w:t>
      </w:r>
      <w:r w:rsidRPr="00800D22">
        <w:rPr>
          <w:rStyle w:val="af6"/>
          <w:rFonts w:ascii="Times New Roman" w:hAnsi="Times New Roman" w:cs="Times New Roman"/>
          <w:b w:val="0"/>
        </w:rPr>
        <w:t>的比值达到</w:t>
      </w:r>
      <w:r w:rsidRPr="00800D22">
        <w:rPr>
          <w:rStyle w:val="af6"/>
          <w:rFonts w:ascii="Times New Roman" w:hAnsi="Times New Roman" w:cs="Times New Roman"/>
          <w:b w:val="0"/>
        </w:rPr>
        <w:t>1</w:t>
      </w:r>
      <w:r w:rsidRPr="00800D22">
        <w:rPr>
          <w:rStyle w:val="af6"/>
          <w:rFonts w:ascii="Times New Roman" w:hAnsi="Times New Roman" w:cs="Times New Roman" w:hint="eastAsia"/>
          <w:b w:val="0"/>
        </w:rPr>
        <w:t>53.78</w:t>
      </w:r>
      <w:r w:rsidRPr="00800D22">
        <w:rPr>
          <w:rStyle w:val="af6"/>
          <w:rFonts w:ascii="Times New Roman" w:hAnsi="Times New Roman" w:cs="Times New Roman"/>
          <w:b w:val="0"/>
        </w:rPr>
        <w:t>%</w:t>
      </w:r>
      <w:r w:rsidRPr="00800D22">
        <w:rPr>
          <w:rStyle w:val="af6"/>
          <w:rFonts w:ascii="Times New Roman" w:hAnsi="Times New Roman" w:cs="Times New Roman"/>
          <w:b w:val="0"/>
        </w:rPr>
        <w:t>，该比值近两年有所下降（如图</w:t>
      </w:r>
      <w:r w:rsidRPr="00800D22">
        <w:rPr>
          <w:rStyle w:val="af6"/>
          <w:rFonts w:ascii="Times New Roman" w:hAnsi="Times New Roman" w:cs="Times New Roman" w:hint="eastAsia"/>
          <w:b w:val="0"/>
        </w:rPr>
        <w:t>5</w:t>
      </w:r>
      <w:r w:rsidRPr="00800D22">
        <w:rPr>
          <w:rStyle w:val="af6"/>
          <w:rFonts w:ascii="Times New Roman" w:hAnsi="Times New Roman" w:cs="Times New Roman"/>
          <w:b w:val="0"/>
        </w:rPr>
        <w:t>.</w:t>
      </w:r>
      <w:r w:rsidRPr="00800D22">
        <w:rPr>
          <w:rStyle w:val="af6"/>
          <w:rFonts w:ascii="Times New Roman" w:hAnsi="Times New Roman" w:cs="Times New Roman" w:hint="eastAsia"/>
          <w:b w:val="0"/>
        </w:rPr>
        <w:t>39</w:t>
      </w:r>
      <w:r w:rsidRPr="00800D22">
        <w:rPr>
          <w:rStyle w:val="af6"/>
          <w:rFonts w:ascii="Times New Roman" w:hAnsi="Times New Roman" w:cs="Times New Roman"/>
          <w:b w:val="0"/>
        </w:rPr>
        <w:t>）。</w:t>
      </w:r>
    </w:p>
    <w:p w14:paraId="1701538F" w14:textId="4005631E" w:rsidR="002E2F38" w:rsidRPr="00800D22" w:rsidRDefault="002E2F38" w:rsidP="002E2F38">
      <w:pPr>
        <w:keepNext/>
        <w:spacing w:line="360" w:lineRule="auto"/>
      </w:pPr>
      <w:r w:rsidRPr="00800D22">
        <w:rPr>
          <w:rStyle w:val="af6"/>
          <w:b w:val="0"/>
          <w:bCs w:val="0"/>
          <w:noProof/>
        </w:rPr>
        <w:lastRenderedPageBreak/>
        <w:drawing>
          <wp:inline distT="0" distB="0" distL="0" distR="0" wp14:anchorId="768439CB" wp14:editId="20D5AAC7">
            <wp:extent cx="5274310" cy="2493645"/>
            <wp:effectExtent l="0" t="0" r="0" b="1905"/>
            <wp:docPr id="17658810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493645"/>
                    </a:xfrm>
                    <a:prstGeom prst="rect">
                      <a:avLst/>
                    </a:prstGeom>
                    <a:noFill/>
                    <a:ln>
                      <a:noFill/>
                    </a:ln>
                  </pic:spPr>
                </pic:pic>
              </a:graphicData>
            </a:graphic>
          </wp:inline>
        </w:drawing>
      </w:r>
    </w:p>
    <w:p w14:paraId="28EF6234" w14:textId="77777777" w:rsidR="002E2F38" w:rsidRPr="00800D22" w:rsidRDefault="002E2F38" w:rsidP="002E2F38">
      <w:pPr>
        <w:keepNext/>
        <w:jc w:val="center"/>
        <w:rPr>
          <w:rStyle w:val="af6"/>
          <w:rFonts w:hint="eastAsia"/>
          <w:b w:val="0"/>
          <w:szCs w:val="21"/>
        </w:rPr>
      </w:pPr>
      <w:bookmarkStart w:id="6" w:name="_Toc246337944"/>
      <w:bookmarkStart w:id="7" w:name="_Toc246425460"/>
      <w:bookmarkStart w:id="8" w:name="_Toc256507101"/>
      <w:r w:rsidRPr="00800D22">
        <w:rPr>
          <w:rStyle w:val="af6"/>
          <w:rFonts w:hint="eastAsia"/>
          <w:b w:val="0"/>
          <w:szCs w:val="21"/>
        </w:rPr>
        <w:t>图</w:t>
      </w:r>
      <w:r w:rsidRPr="00800D22">
        <w:rPr>
          <w:rStyle w:val="af6"/>
          <w:rFonts w:hint="eastAsia"/>
          <w:b w:val="0"/>
          <w:szCs w:val="21"/>
        </w:rPr>
        <w:t>5.</w:t>
      </w:r>
      <w:r w:rsidRPr="00800D22">
        <w:rPr>
          <w:rStyle w:val="af6"/>
          <w:b w:val="0"/>
          <w:szCs w:val="21"/>
        </w:rPr>
        <w:fldChar w:fldCharType="begin"/>
      </w:r>
      <w:r w:rsidRPr="00800D22">
        <w:rPr>
          <w:rStyle w:val="af6"/>
          <w:b w:val="0"/>
          <w:szCs w:val="21"/>
        </w:rPr>
        <w:instrText xml:space="preserve"> </w:instrText>
      </w:r>
      <w:r w:rsidRPr="00800D22">
        <w:rPr>
          <w:rStyle w:val="af6"/>
          <w:rFonts w:hint="eastAsia"/>
          <w:b w:val="0"/>
          <w:szCs w:val="21"/>
        </w:rPr>
        <w:instrText xml:space="preserve">SEQ </w:instrText>
      </w:r>
      <w:r w:rsidRPr="00800D22">
        <w:rPr>
          <w:rStyle w:val="af6"/>
          <w:rFonts w:hint="eastAsia"/>
          <w:b w:val="0"/>
          <w:szCs w:val="21"/>
        </w:rPr>
        <w:instrText>图</w:instrText>
      </w:r>
      <w:r w:rsidRPr="00800D22">
        <w:rPr>
          <w:rStyle w:val="af6"/>
          <w:rFonts w:hint="eastAsia"/>
          <w:b w:val="0"/>
          <w:szCs w:val="21"/>
        </w:rPr>
        <w:instrText>5. \* ARABIC</w:instrText>
      </w:r>
      <w:r w:rsidRPr="00800D22">
        <w:rPr>
          <w:rStyle w:val="af6"/>
          <w:b w:val="0"/>
          <w:szCs w:val="21"/>
        </w:rPr>
        <w:instrText xml:space="preserve"> </w:instrText>
      </w:r>
      <w:r w:rsidRPr="00800D22">
        <w:rPr>
          <w:rStyle w:val="af6"/>
          <w:b w:val="0"/>
          <w:szCs w:val="21"/>
        </w:rPr>
        <w:fldChar w:fldCharType="separate"/>
      </w:r>
      <w:r w:rsidRPr="00800D22">
        <w:rPr>
          <w:rStyle w:val="af6"/>
          <w:b w:val="0"/>
          <w:noProof/>
          <w:szCs w:val="21"/>
        </w:rPr>
        <w:t>37</w:t>
      </w:r>
      <w:r w:rsidRPr="00800D22">
        <w:rPr>
          <w:rStyle w:val="af6"/>
          <w:b w:val="0"/>
          <w:szCs w:val="21"/>
        </w:rPr>
        <w:fldChar w:fldCharType="end"/>
      </w:r>
      <w:r w:rsidRPr="00800D22">
        <w:rPr>
          <w:rStyle w:val="af6"/>
          <w:rFonts w:hint="eastAsia"/>
          <w:b w:val="0"/>
          <w:szCs w:val="21"/>
        </w:rPr>
        <w:t xml:space="preserve">  1996-2008</w:t>
      </w:r>
      <w:r w:rsidRPr="00800D22">
        <w:rPr>
          <w:rStyle w:val="af6"/>
          <w:rFonts w:hint="eastAsia"/>
          <w:b w:val="0"/>
          <w:szCs w:val="21"/>
        </w:rPr>
        <w:t>年韩国债券市场结构（单位：</w:t>
      </w:r>
      <w:r w:rsidRPr="00800D22">
        <w:rPr>
          <w:rStyle w:val="af6"/>
          <w:rFonts w:hint="eastAsia"/>
          <w:b w:val="0"/>
          <w:szCs w:val="21"/>
        </w:rPr>
        <w:t>10</w:t>
      </w:r>
      <w:r w:rsidRPr="00800D22">
        <w:rPr>
          <w:rStyle w:val="af6"/>
          <w:rFonts w:hint="eastAsia"/>
          <w:b w:val="0"/>
          <w:szCs w:val="21"/>
        </w:rPr>
        <w:t>亿美元）</w:t>
      </w:r>
      <w:bookmarkEnd w:id="6"/>
      <w:bookmarkEnd w:id="7"/>
      <w:bookmarkEnd w:id="8"/>
    </w:p>
    <w:p w14:paraId="029722C9" w14:textId="77777777" w:rsidR="002E2F38" w:rsidRPr="00800D22" w:rsidRDefault="002E2F38" w:rsidP="002E2F38">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 xml:space="preserve">5.37  </w:t>
      </w:r>
      <w:r w:rsidRPr="00800D22">
        <w:rPr>
          <w:rFonts w:eastAsia="新宋体"/>
          <w:szCs w:val="21"/>
        </w:rPr>
        <w:t>Structure</w:t>
      </w:r>
      <w:proofErr w:type="gramEnd"/>
      <w:r w:rsidRPr="00800D22">
        <w:rPr>
          <w:rFonts w:eastAsia="新宋体" w:hint="eastAsia"/>
          <w:szCs w:val="21"/>
        </w:rPr>
        <w:t xml:space="preserve"> of </w:t>
      </w:r>
      <w:smartTag w:uri="urn:schemas-microsoft-com:office:smarttags" w:element="place">
        <w:smartTag w:uri="urn:schemas-microsoft-com:office:smarttags" w:element="country-region">
          <w:r w:rsidRPr="00800D22">
            <w:rPr>
              <w:rFonts w:eastAsia="新宋体"/>
              <w:szCs w:val="21"/>
            </w:rPr>
            <w:t>Korea</w:t>
          </w:r>
        </w:smartTag>
      </w:smartTag>
      <w:r w:rsidRPr="00800D22">
        <w:rPr>
          <w:rFonts w:eastAsia="新宋体" w:hint="eastAsia"/>
          <w:szCs w:val="21"/>
        </w:rPr>
        <w:t xml:space="preserve"> bond market from 1996 to </w:t>
      </w:r>
      <w:proofErr w:type="gramStart"/>
      <w:r w:rsidRPr="00800D22">
        <w:rPr>
          <w:rFonts w:eastAsia="新宋体" w:hint="eastAsia"/>
          <w:szCs w:val="21"/>
        </w:rPr>
        <w:t>2008  (</w:t>
      </w:r>
      <w:proofErr w:type="gramEnd"/>
      <w:r w:rsidRPr="00800D22">
        <w:rPr>
          <w:rFonts w:eastAsia="新宋体" w:hint="eastAsia"/>
          <w:szCs w:val="21"/>
        </w:rPr>
        <w:t>Unit: billion dollar)</w:t>
      </w:r>
    </w:p>
    <w:p w14:paraId="7B1E2DD7" w14:textId="77777777" w:rsidR="002E2F38" w:rsidRPr="00800D22" w:rsidRDefault="002E2F38" w:rsidP="002E2F38">
      <w:pPr>
        <w:ind w:firstLineChars="200" w:firstLine="360"/>
        <w:rPr>
          <w:rStyle w:val="af6"/>
          <w:b w:val="0"/>
          <w:bCs w:val="0"/>
          <w:sz w:val="18"/>
          <w:szCs w:val="18"/>
        </w:rPr>
      </w:pPr>
      <w:r w:rsidRPr="00800D22">
        <w:rPr>
          <w:rStyle w:val="af6"/>
          <w:b w:val="0"/>
          <w:bCs w:val="0"/>
          <w:sz w:val="18"/>
          <w:szCs w:val="18"/>
        </w:rPr>
        <w:t>注：不含</w:t>
      </w:r>
      <w:r w:rsidRPr="00800D22">
        <w:rPr>
          <w:sz w:val="18"/>
          <w:szCs w:val="18"/>
        </w:rPr>
        <w:t>资产证券</w:t>
      </w:r>
      <w:r w:rsidRPr="00800D22">
        <w:rPr>
          <w:rFonts w:hint="eastAsia"/>
          <w:sz w:val="18"/>
          <w:szCs w:val="18"/>
        </w:rPr>
        <w:t>化产品</w:t>
      </w:r>
      <w:r w:rsidRPr="00800D22">
        <w:rPr>
          <w:sz w:val="18"/>
          <w:szCs w:val="18"/>
        </w:rPr>
        <w:t>；地方债、特殊（法人）债、金融债券</w:t>
      </w:r>
      <w:r w:rsidRPr="00800D22">
        <w:rPr>
          <w:rFonts w:hint="eastAsia"/>
          <w:sz w:val="18"/>
          <w:szCs w:val="18"/>
        </w:rPr>
        <w:t>和</w:t>
      </w:r>
      <w:r w:rsidRPr="00800D22">
        <w:rPr>
          <w:sz w:val="18"/>
          <w:szCs w:val="18"/>
        </w:rPr>
        <w:t>货币稳定债计入政府债券</w:t>
      </w:r>
    </w:p>
    <w:p w14:paraId="4FD1937B" w14:textId="77777777" w:rsidR="002E2F38" w:rsidRPr="00800D22" w:rsidRDefault="002E2F38" w:rsidP="002E2F38">
      <w:pPr>
        <w:spacing w:afterLines="50" w:after="156"/>
        <w:ind w:firstLineChars="200" w:firstLine="360"/>
        <w:rPr>
          <w:rStyle w:val="af6"/>
          <w:b w:val="0"/>
          <w:bCs w:val="0"/>
          <w:sz w:val="18"/>
          <w:szCs w:val="18"/>
        </w:rPr>
      </w:pPr>
      <w:r w:rsidRPr="00800D22">
        <w:rPr>
          <w:rStyle w:val="af6"/>
          <w:b w:val="0"/>
          <w:bCs w:val="0"/>
          <w:sz w:val="18"/>
          <w:szCs w:val="18"/>
        </w:rPr>
        <w:t>数据来源：</w:t>
      </w:r>
      <w:r w:rsidRPr="00800D22">
        <w:rPr>
          <w:rStyle w:val="af6"/>
          <w:b w:val="0"/>
          <w:bCs w:val="0"/>
          <w:sz w:val="18"/>
          <w:szCs w:val="18"/>
        </w:rPr>
        <w:t>The Bank for International Settlements</w:t>
      </w:r>
    </w:p>
    <w:p w14:paraId="3613C8B3" w14:textId="4A3432DA" w:rsidR="002E2F38" w:rsidRPr="00800D22" w:rsidRDefault="002E2F38" w:rsidP="002E2F38">
      <w:pPr>
        <w:keepNext/>
        <w:jc w:val="center"/>
      </w:pPr>
      <w:r w:rsidRPr="00800D22">
        <w:rPr>
          <w:rStyle w:val="af6"/>
          <w:noProof/>
        </w:rPr>
        <w:drawing>
          <wp:inline distT="0" distB="0" distL="0" distR="0" wp14:anchorId="49AA0F7D" wp14:editId="148B9733">
            <wp:extent cx="4972050" cy="2647950"/>
            <wp:effectExtent l="0" t="0" r="0" b="0"/>
            <wp:docPr id="5200041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2647950"/>
                    </a:xfrm>
                    <a:prstGeom prst="rect">
                      <a:avLst/>
                    </a:prstGeom>
                    <a:noFill/>
                    <a:ln>
                      <a:noFill/>
                    </a:ln>
                  </pic:spPr>
                </pic:pic>
              </a:graphicData>
            </a:graphic>
          </wp:inline>
        </w:drawing>
      </w:r>
    </w:p>
    <w:p w14:paraId="30074DE6" w14:textId="77777777" w:rsidR="002E2F38" w:rsidRPr="00800D22" w:rsidRDefault="002E2F38" w:rsidP="002E2F38">
      <w:pPr>
        <w:keepNext/>
        <w:ind w:firstLineChars="200" w:firstLine="420"/>
        <w:jc w:val="center"/>
        <w:rPr>
          <w:rStyle w:val="af6"/>
          <w:rFonts w:hint="eastAsia"/>
          <w:b w:val="0"/>
        </w:rPr>
      </w:pPr>
      <w:bookmarkStart w:id="9" w:name="_Toc246337945"/>
      <w:bookmarkStart w:id="10" w:name="_Toc246425461"/>
      <w:bookmarkStart w:id="11" w:name="_Toc256507102"/>
      <w:r w:rsidRPr="00800D22">
        <w:rPr>
          <w:rStyle w:val="af6"/>
          <w:rFonts w:hint="eastAsia"/>
          <w:b w:val="0"/>
        </w:rPr>
        <w:t>图</w:t>
      </w:r>
      <w:r w:rsidRPr="00800D22">
        <w:rPr>
          <w:rStyle w:val="af6"/>
          <w:rFonts w:hint="eastAsia"/>
          <w:b w:val="0"/>
        </w:rPr>
        <w:t>5.</w:t>
      </w:r>
      <w:r w:rsidRPr="00800D22">
        <w:rPr>
          <w:rStyle w:val="af6"/>
          <w:b w:val="0"/>
        </w:rPr>
        <w:fldChar w:fldCharType="begin"/>
      </w:r>
      <w:r w:rsidRPr="00800D22">
        <w:rPr>
          <w:rStyle w:val="af6"/>
          <w:b w:val="0"/>
        </w:rPr>
        <w:instrText xml:space="preserve"> </w:instrText>
      </w:r>
      <w:r w:rsidRPr="00800D22">
        <w:rPr>
          <w:rStyle w:val="af6"/>
          <w:rFonts w:hint="eastAsia"/>
          <w:b w:val="0"/>
        </w:rPr>
        <w:instrText xml:space="preserve">SEQ </w:instrText>
      </w:r>
      <w:r w:rsidRPr="00800D22">
        <w:rPr>
          <w:rStyle w:val="af6"/>
          <w:rFonts w:hint="eastAsia"/>
          <w:b w:val="0"/>
        </w:rPr>
        <w:instrText>图</w:instrText>
      </w:r>
      <w:r w:rsidRPr="00800D22">
        <w:rPr>
          <w:rStyle w:val="af6"/>
          <w:rFonts w:hint="eastAsia"/>
          <w:b w:val="0"/>
        </w:rPr>
        <w:instrText>5. \* ARABIC</w:instrText>
      </w:r>
      <w:r w:rsidRPr="00800D22">
        <w:rPr>
          <w:rStyle w:val="af6"/>
          <w:b w:val="0"/>
        </w:rPr>
        <w:instrText xml:space="preserve"> </w:instrText>
      </w:r>
      <w:r w:rsidRPr="00800D22">
        <w:rPr>
          <w:rStyle w:val="af6"/>
          <w:b w:val="0"/>
        </w:rPr>
        <w:fldChar w:fldCharType="separate"/>
      </w:r>
      <w:r w:rsidRPr="00800D22">
        <w:rPr>
          <w:rStyle w:val="af6"/>
          <w:b w:val="0"/>
          <w:noProof/>
        </w:rPr>
        <w:t>38</w:t>
      </w:r>
      <w:r w:rsidRPr="00800D22">
        <w:rPr>
          <w:rStyle w:val="af6"/>
          <w:b w:val="0"/>
        </w:rPr>
        <w:fldChar w:fldCharType="end"/>
      </w:r>
      <w:r w:rsidRPr="00800D22">
        <w:rPr>
          <w:rStyle w:val="af6"/>
          <w:rFonts w:hint="eastAsia"/>
          <w:b w:val="0"/>
        </w:rPr>
        <w:t xml:space="preserve">  </w:t>
      </w:r>
      <w:r w:rsidRPr="00800D22">
        <w:rPr>
          <w:rStyle w:val="af6"/>
          <w:rFonts w:hint="eastAsia"/>
          <w:b w:val="0"/>
        </w:rPr>
        <w:t>韩国</w:t>
      </w:r>
      <w:r w:rsidRPr="00800D22">
        <w:rPr>
          <w:rStyle w:val="af6"/>
          <w:rFonts w:hint="eastAsia"/>
          <w:b w:val="0"/>
        </w:rPr>
        <w:t>2000-2008</w:t>
      </w:r>
      <w:r w:rsidRPr="00800D22">
        <w:rPr>
          <w:rStyle w:val="af6"/>
          <w:rFonts w:hint="eastAsia"/>
          <w:b w:val="0"/>
        </w:rPr>
        <w:t>年资产支持证券与抵押支持证券余额情况（单位：</w:t>
      </w:r>
      <w:r w:rsidRPr="00800D22">
        <w:rPr>
          <w:rStyle w:val="af6"/>
          <w:rFonts w:hint="eastAsia"/>
          <w:b w:val="0"/>
        </w:rPr>
        <w:t>10</w:t>
      </w:r>
      <w:r w:rsidRPr="00800D22">
        <w:rPr>
          <w:rStyle w:val="af6"/>
          <w:rFonts w:hint="eastAsia"/>
          <w:b w:val="0"/>
        </w:rPr>
        <w:t>亿美元）</w:t>
      </w:r>
      <w:bookmarkEnd w:id="9"/>
      <w:bookmarkEnd w:id="10"/>
      <w:bookmarkEnd w:id="11"/>
    </w:p>
    <w:p w14:paraId="2344465A" w14:textId="77777777" w:rsidR="002E2F38" w:rsidRPr="00800D22" w:rsidRDefault="002E2F38" w:rsidP="002E2F38">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5.38  B</w:t>
      </w:r>
      <w:r w:rsidRPr="00800D22">
        <w:rPr>
          <w:rFonts w:eastAsia="新宋体"/>
          <w:szCs w:val="21"/>
        </w:rPr>
        <w:t>alance</w:t>
      </w:r>
      <w:proofErr w:type="gramEnd"/>
      <w:r w:rsidRPr="00800D22">
        <w:rPr>
          <w:rFonts w:eastAsia="新宋体" w:hint="eastAsia"/>
          <w:szCs w:val="21"/>
        </w:rPr>
        <w:t xml:space="preserve"> of </w:t>
      </w:r>
      <w:smartTag w:uri="urn:schemas-microsoft-com:office:smarttags" w:element="place">
        <w:smartTag w:uri="urn:schemas-microsoft-com:office:smarttags" w:element="country-region">
          <w:r w:rsidRPr="00800D22">
            <w:rPr>
              <w:rFonts w:eastAsia="新宋体"/>
              <w:szCs w:val="21"/>
            </w:rPr>
            <w:t>Korea</w:t>
          </w:r>
        </w:smartTag>
      </w:smartTag>
      <w:r w:rsidRPr="00800D22">
        <w:rPr>
          <w:rFonts w:eastAsia="新宋体" w:hint="eastAsia"/>
          <w:szCs w:val="21"/>
        </w:rPr>
        <w:t xml:space="preserve"> </w:t>
      </w:r>
      <w:r w:rsidRPr="00800D22">
        <w:rPr>
          <w:rFonts w:eastAsia="新宋体"/>
          <w:szCs w:val="21"/>
        </w:rPr>
        <w:t xml:space="preserve">Asset Backed Securities </w:t>
      </w:r>
      <w:r w:rsidRPr="00800D22">
        <w:rPr>
          <w:rFonts w:eastAsia="新宋体" w:hint="eastAsia"/>
          <w:szCs w:val="21"/>
        </w:rPr>
        <w:t>and</w:t>
      </w:r>
      <w:r w:rsidRPr="00800D22">
        <w:rPr>
          <w:rFonts w:eastAsia="新宋体"/>
          <w:szCs w:val="21"/>
        </w:rPr>
        <w:t xml:space="preserve"> Mortgage-Backed Securities</w:t>
      </w:r>
    </w:p>
    <w:p w14:paraId="0D4B9D5A" w14:textId="77777777" w:rsidR="002E2F38" w:rsidRPr="00800D22" w:rsidRDefault="002E2F38" w:rsidP="002E2F38">
      <w:pPr>
        <w:jc w:val="center"/>
        <w:rPr>
          <w:rStyle w:val="af6"/>
          <w:rFonts w:eastAsia="新宋体" w:hint="eastAsia"/>
          <w:b w:val="0"/>
          <w:bCs w:val="0"/>
          <w:szCs w:val="21"/>
        </w:rPr>
      </w:pPr>
      <w:r w:rsidRPr="00800D22">
        <w:rPr>
          <w:rFonts w:eastAsia="新宋体" w:hint="eastAsia"/>
          <w:szCs w:val="21"/>
        </w:rPr>
        <w:t xml:space="preserve">from 2000 to </w:t>
      </w:r>
      <w:proofErr w:type="gramStart"/>
      <w:r w:rsidRPr="00800D22">
        <w:rPr>
          <w:rFonts w:eastAsia="新宋体" w:hint="eastAsia"/>
          <w:szCs w:val="21"/>
        </w:rPr>
        <w:t>2008  (</w:t>
      </w:r>
      <w:proofErr w:type="gramEnd"/>
      <w:r w:rsidRPr="00800D22">
        <w:rPr>
          <w:rFonts w:eastAsia="新宋体" w:hint="eastAsia"/>
          <w:szCs w:val="21"/>
        </w:rPr>
        <w:t>Unit: billion dollar)</w:t>
      </w:r>
    </w:p>
    <w:p w14:paraId="28E03115" w14:textId="77777777" w:rsidR="002E2F38" w:rsidRPr="00800D22" w:rsidRDefault="002E2F38" w:rsidP="002E2F38">
      <w:pPr>
        <w:ind w:firstLineChars="200" w:firstLine="360"/>
        <w:rPr>
          <w:rStyle w:val="af6"/>
          <w:rFonts w:hint="eastAsia"/>
          <w:b w:val="0"/>
          <w:bCs w:val="0"/>
          <w:sz w:val="18"/>
          <w:szCs w:val="18"/>
        </w:rPr>
      </w:pPr>
      <w:r w:rsidRPr="00800D22">
        <w:rPr>
          <w:rStyle w:val="af6"/>
          <w:b w:val="0"/>
          <w:bCs w:val="0"/>
          <w:sz w:val="18"/>
          <w:szCs w:val="18"/>
        </w:rPr>
        <w:t>数据来源：韩国证券交易商协会</w:t>
      </w:r>
    </w:p>
    <w:p w14:paraId="3BC7ACA0" w14:textId="77777777" w:rsidR="002E2F38" w:rsidRPr="00800D22" w:rsidRDefault="002E2F38" w:rsidP="002E2F38">
      <w:pPr>
        <w:ind w:firstLineChars="200" w:firstLine="360"/>
        <w:rPr>
          <w:rStyle w:val="af6"/>
          <w:rFonts w:hint="eastAsia"/>
          <w:b w:val="0"/>
          <w:bCs w:val="0"/>
          <w:sz w:val="18"/>
          <w:szCs w:val="18"/>
        </w:rPr>
      </w:pPr>
    </w:p>
    <w:p w14:paraId="7636403A" w14:textId="0C7B315E" w:rsidR="002E2F38" w:rsidRPr="00800D22" w:rsidRDefault="002E2F38" w:rsidP="002E2F38">
      <w:pPr>
        <w:keepNext/>
        <w:jc w:val="center"/>
      </w:pPr>
      <w:r w:rsidRPr="00800D22">
        <w:rPr>
          <w:rStyle w:val="af6"/>
          <w:b w:val="0"/>
          <w:bCs w:val="0"/>
          <w:noProof/>
        </w:rPr>
        <w:lastRenderedPageBreak/>
        <w:drawing>
          <wp:inline distT="0" distB="0" distL="0" distR="0" wp14:anchorId="1C211A3C" wp14:editId="5A2304C7">
            <wp:extent cx="5270500" cy="2552700"/>
            <wp:effectExtent l="0" t="0" r="0" b="0"/>
            <wp:docPr id="3351474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552700"/>
                    </a:xfrm>
                    <a:prstGeom prst="rect">
                      <a:avLst/>
                    </a:prstGeom>
                    <a:noFill/>
                    <a:ln>
                      <a:noFill/>
                    </a:ln>
                  </pic:spPr>
                </pic:pic>
              </a:graphicData>
            </a:graphic>
          </wp:inline>
        </w:drawing>
      </w:r>
    </w:p>
    <w:p w14:paraId="1A4AE390" w14:textId="77777777" w:rsidR="002E2F38" w:rsidRPr="00800D22" w:rsidRDefault="002E2F38" w:rsidP="002E2F38">
      <w:pPr>
        <w:keepNext/>
        <w:ind w:firstLineChars="200" w:firstLine="420"/>
        <w:jc w:val="center"/>
        <w:rPr>
          <w:rStyle w:val="af6"/>
          <w:rFonts w:hint="eastAsia"/>
          <w:b w:val="0"/>
        </w:rPr>
      </w:pPr>
      <w:bookmarkStart w:id="12" w:name="_Toc256507103"/>
      <w:r w:rsidRPr="00800D22">
        <w:rPr>
          <w:rStyle w:val="af6"/>
          <w:rFonts w:hint="eastAsia"/>
          <w:b w:val="0"/>
        </w:rPr>
        <w:t>图</w:t>
      </w:r>
      <w:r w:rsidRPr="00800D22">
        <w:rPr>
          <w:rStyle w:val="af6"/>
          <w:rFonts w:hint="eastAsia"/>
          <w:b w:val="0"/>
        </w:rPr>
        <w:t>5.</w:t>
      </w:r>
      <w:r w:rsidRPr="00800D22">
        <w:rPr>
          <w:rStyle w:val="af6"/>
          <w:b w:val="0"/>
        </w:rPr>
        <w:fldChar w:fldCharType="begin"/>
      </w:r>
      <w:r w:rsidRPr="00800D22">
        <w:rPr>
          <w:rStyle w:val="af6"/>
          <w:b w:val="0"/>
        </w:rPr>
        <w:instrText xml:space="preserve"> </w:instrText>
      </w:r>
      <w:r w:rsidRPr="00800D22">
        <w:rPr>
          <w:rStyle w:val="af6"/>
          <w:rFonts w:hint="eastAsia"/>
          <w:b w:val="0"/>
        </w:rPr>
        <w:instrText xml:space="preserve">SEQ </w:instrText>
      </w:r>
      <w:r w:rsidRPr="00800D22">
        <w:rPr>
          <w:rStyle w:val="af6"/>
          <w:rFonts w:hint="eastAsia"/>
          <w:b w:val="0"/>
        </w:rPr>
        <w:instrText>图</w:instrText>
      </w:r>
      <w:r w:rsidRPr="00800D22">
        <w:rPr>
          <w:rStyle w:val="af6"/>
          <w:rFonts w:hint="eastAsia"/>
          <w:b w:val="0"/>
        </w:rPr>
        <w:instrText>5. \* ARABIC</w:instrText>
      </w:r>
      <w:r w:rsidRPr="00800D22">
        <w:rPr>
          <w:rStyle w:val="af6"/>
          <w:b w:val="0"/>
        </w:rPr>
        <w:instrText xml:space="preserve"> </w:instrText>
      </w:r>
      <w:r w:rsidRPr="00800D22">
        <w:rPr>
          <w:rStyle w:val="af6"/>
          <w:b w:val="0"/>
        </w:rPr>
        <w:fldChar w:fldCharType="separate"/>
      </w:r>
      <w:r w:rsidRPr="00800D22">
        <w:rPr>
          <w:rStyle w:val="af6"/>
          <w:b w:val="0"/>
          <w:noProof/>
        </w:rPr>
        <w:t>39</w:t>
      </w:r>
      <w:r w:rsidRPr="00800D22">
        <w:rPr>
          <w:rStyle w:val="af6"/>
          <w:b w:val="0"/>
        </w:rPr>
        <w:fldChar w:fldCharType="end"/>
      </w:r>
      <w:r w:rsidRPr="00800D22">
        <w:rPr>
          <w:rStyle w:val="af6"/>
          <w:rFonts w:hint="eastAsia"/>
          <w:b w:val="0"/>
        </w:rPr>
        <w:t xml:space="preserve">  2000-2008</w:t>
      </w:r>
      <w:r w:rsidRPr="00800D22">
        <w:rPr>
          <w:rStyle w:val="af6"/>
          <w:rFonts w:hint="eastAsia"/>
          <w:b w:val="0"/>
        </w:rPr>
        <w:t>年韩国债券余额占</w:t>
      </w:r>
      <w:r w:rsidRPr="00800D22">
        <w:rPr>
          <w:rStyle w:val="af6"/>
          <w:rFonts w:hint="eastAsia"/>
          <w:b w:val="0"/>
        </w:rPr>
        <w:t>GDP</w:t>
      </w:r>
      <w:r w:rsidRPr="00800D22">
        <w:rPr>
          <w:rStyle w:val="af6"/>
          <w:rFonts w:hint="eastAsia"/>
          <w:b w:val="0"/>
        </w:rPr>
        <w:t>比重情况</w:t>
      </w:r>
      <w:bookmarkEnd w:id="12"/>
    </w:p>
    <w:p w14:paraId="4608D3C5" w14:textId="77777777" w:rsidR="002E2F38" w:rsidRPr="00800D22" w:rsidRDefault="002E2F38" w:rsidP="002E2F38">
      <w:pPr>
        <w:ind w:firstLineChars="200" w:firstLine="420"/>
        <w:jc w:val="center"/>
        <w:rPr>
          <w:rStyle w:val="af6"/>
          <w:b w:val="0"/>
          <w:bCs w:val="0"/>
        </w:rPr>
      </w:pPr>
      <w:r w:rsidRPr="00800D22">
        <w:rPr>
          <w:rFonts w:eastAsia="新宋体" w:hint="eastAsia"/>
          <w:szCs w:val="21"/>
        </w:rPr>
        <w:t xml:space="preserve">Figure </w:t>
      </w:r>
      <w:proofErr w:type="gramStart"/>
      <w:r w:rsidRPr="00800D22">
        <w:rPr>
          <w:rFonts w:eastAsia="新宋体" w:hint="eastAsia"/>
          <w:szCs w:val="21"/>
        </w:rPr>
        <w:t>5.39  Proportions</w:t>
      </w:r>
      <w:proofErr w:type="gramEnd"/>
      <w:r w:rsidRPr="00800D22">
        <w:rPr>
          <w:rFonts w:eastAsia="新宋体" w:hint="eastAsia"/>
          <w:szCs w:val="21"/>
        </w:rPr>
        <w:t xml:space="preserve"> of the balance of </w:t>
      </w:r>
      <w:smartTag w:uri="urn:schemas-microsoft-com:office:smarttags" w:element="place">
        <w:smartTag w:uri="urn:schemas-microsoft-com:office:smarttags" w:element="country-region">
          <w:r w:rsidRPr="00800D22">
            <w:rPr>
              <w:rFonts w:eastAsia="新宋体"/>
              <w:szCs w:val="21"/>
            </w:rPr>
            <w:t>Korea</w:t>
          </w:r>
        </w:smartTag>
      </w:smartTag>
      <w:r w:rsidRPr="00800D22">
        <w:rPr>
          <w:rFonts w:eastAsia="新宋体" w:hint="eastAsia"/>
          <w:szCs w:val="21"/>
        </w:rPr>
        <w:t xml:space="preserve"> bonds to GDP from 2000 to 2008</w:t>
      </w:r>
    </w:p>
    <w:p w14:paraId="5BB0F8D8" w14:textId="77777777" w:rsidR="002E2F38" w:rsidRPr="00800D22" w:rsidRDefault="002E2F38" w:rsidP="002E2F38">
      <w:pPr>
        <w:spacing w:afterLines="50" w:after="156"/>
        <w:ind w:firstLineChars="200" w:firstLine="360"/>
        <w:rPr>
          <w:rFonts w:hint="eastAsia"/>
          <w:sz w:val="18"/>
          <w:szCs w:val="18"/>
        </w:rPr>
      </w:pPr>
      <w:r w:rsidRPr="00800D22">
        <w:rPr>
          <w:rStyle w:val="af6"/>
          <w:b w:val="0"/>
          <w:bCs w:val="0"/>
          <w:sz w:val="18"/>
          <w:szCs w:val="18"/>
        </w:rPr>
        <w:t>数据来源：</w:t>
      </w:r>
      <w:r w:rsidRPr="00800D22">
        <w:rPr>
          <w:rStyle w:val="af6"/>
          <w:b w:val="0"/>
          <w:bCs w:val="0"/>
          <w:sz w:val="18"/>
          <w:szCs w:val="18"/>
        </w:rPr>
        <w:t>The Bank for International Settlements</w:t>
      </w:r>
      <w:r w:rsidRPr="00800D22">
        <w:rPr>
          <w:rStyle w:val="af6"/>
          <w:b w:val="0"/>
          <w:bCs w:val="0"/>
          <w:sz w:val="18"/>
          <w:szCs w:val="18"/>
        </w:rPr>
        <w:t>，韩国证券交易商协会</w:t>
      </w:r>
      <w:r w:rsidRPr="00800D22">
        <w:rPr>
          <w:rStyle w:val="af6"/>
          <w:rFonts w:hint="eastAsia"/>
          <w:b w:val="0"/>
          <w:bCs w:val="0"/>
          <w:sz w:val="18"/>
          <w:szCs w:val="18"/>
        </w:rPr>
        <w:t>，</w:t>
      </w:r>
      <w:r w:rsidRPr="00800D22">
        <w:rPr>
          <w:sz w:val="18"/>
          <w:szCs w:val="18"/>
        </w:rPr>
        <w:t xml:space="preserve">The World Bank </w:t>
      </w:r>
    </w:p>
    <w:p w14:paraId="2F474CDD" w14:textId="77777777" w:rsidR="002E2F38" w:rsidRPr="00800D22" w:rsidRDefault="002E2F38" w:rsidP="002E2F38">
      <w:pPr>
        <w:pStyle w:val="af2"/>
        <w:spacing w:before="0" w:beforeAutospacing="0" w:after="0" w:afterAutospacing="0" w:line="440" w:lineRule="exact"/>
        <w:ind w:firstLineChars="200" w:firstLine="480"/>
        <w:rPr>
          <w:rStyle w:val="af6"/>
          <w:rFonts w:ascii="Times New Roman" w:hAnsi="Times New Roman" w:cs="Times New Roman"/>
          <w:b w:val="0"/>
        </w:rPr>
      </w:pPr>
      <w:r w:rsidRPr="00800D22">
        <w:rPr>
          <w:rStyle w:val="af6"/>
          <w:rFonts w:ascii="Times New Roman" w:hAnsi="Times New Roman" w:cs="Times New Roman"/>
          <w:b w:val="0"/>
        </w:rPr>
        <w:t>目前韩国债券市场在东亚主要国家债券市场中占据举足轻重的地位。从绝对规模来看，截至</w:t>
      </w:r>
      <w:r w:rsidRPr="00800D22">
        <w:rPr>
          <w:rStyle w:val="af6"/>
          <w:rFonts w:ascii="Times New Roman" w:hAnsi="Times New Roman" w:cs="Times New Roman"/>
          <w:b w:val="0"/>
        </w:rPr>
        <w:t>2008</w:t>
      </w:r>
      <w:r w:rsidRPr="00800D22">
        <w:rPr>
          <w:rStyle w:val="af6"/>
          <w:rFonts w:ascii="Times New Roman" w:hAnsi="Times New Roman" w:cs="Times New Roman"/>
          <w:b w:val="0"/>
        </w:rPr>
        <w:t>年底，韩国的东亚债券市场总量排名第三。</w:t>
      </w:r>
    </w:p>
    <w:p w14:paraId="5D5C7E52" w14:textId="77777777" w:rsidR="002E2F38" w:rsidRPr="00800D22" w:rsidRDefault="002E2F38" w:rsidP="002E2F38">
      <w:pPr>
        <w:pStyle w:val="af7"/>
        <w:spacing w:beforeLines="100" w:before="312"/>
        <w:jc w:val="center"/>
        <w:rPr>
          <w:rFonts w:ascii="Times New Roman" w:eastAsia="新宋体" w:hAnsi="Times New Roman" w:cs="Times New Roman"/>
          <w:bCs/>
          <w:sz w:val="21"/>
          <w:szCs w:val="21"/>
        </w:rPr>
      </w:pPr>
      <w:bookmarkStart w:id="13" w:name="_Toc256506445"/>
      <w:r w:rsidRPr="00800D22">
        <w:rPr>
          <w:rFonts w:ascii="Times New Roman" w:eastAsia="新宋体" w:hAnsi="Times New Roman" w:cs="Times New Roman"/>
          <w:bCs/>
          <w:sz w:val="21"/>
          <w:szCs w:val="21"/>
        </w:rPr>
        <w:t>表</w:t>
      </w:r>
      <w:r w:rsidRPr="00800D22">
        <w:rPr>
          <w:rFonts w:ascii="Times New Roman" w:eastAsia="新宋体" w:hAnsi="Times New Roman" w:cs="Times New Roman"/>
          <w:bCs/>
          <w:sz w:val="21"/>
          <w:szCs w:val="21"/>
        </w:rPr>
        <w:t>5.</w:t>
      </w:r>
      <w:r w:rsidRPr="00800D22">
        <w:rPr>
          <w:rFonts w:ascii="Times New Roman" w:eastAsia="新宋体" w:hAnsi="Times New Roman" w:cs="Times New Roman"/>
          <w:bCs/>
          <w:sz w:val="21"/>
          <w:szCs w:val="21"/>
        </w:rPr>
        <w:fldChar w:fldCharType="begin"/>
      </w:r>
      <w:r w:rsidRPr="00800D22">
        <w:rPr>
          <w:rFonts w:ascii="Times New Roman" w:eastAsia="新宋体" w:hAnsi="Times New Roman" w:cs="Times New Roman"/>
          <w:bCs/>
          <w:sz w:val="21"/>
          <w:szCs w:val="21"/>
        </w:rPr>
        <w:instrText xml:space="preserve"> SEQ </w:instrText>
      </w:r>
      <w:r w:rsidRPr="00800D22">
        <w:rPr>
          <w:rFonts w:ascii="Times New Roman" w:eastAsia="新宋体" w:hAnsi="Times New Roman" w:cs="Times New Roman"/>
          <w:bCs/>
          <w:sz w:val="21"/>
          <w:szCs w:val="21"/>
        </w:rPr>
        <w:instrText>表</w:instrText>
      </w:r>
      <w:r w:rsidRPr="00800D22">
        <w:rPr>
          <w:rFonts w:ascii="Times New Roman" w:eastAsia="新宋体" w:hAnsi="Times New Roman" w:cs="Times New Roman"/>
          <w:bCs/>
          <w:sz w:val="21"/>
          <w:szCs w:val="21"/>
        </w:rPr>
        <w:instrText xml:space="preserve">5. \* ARABIC </w:instrText>
      </w:r>
      <w:r w:rsidRPr="00800D22">
        <w:rPr>
          <w:rFonts w:ascii="Times New Roman" w:eastAsia="新宋体" w:hAnsi="Times New Roman" w:cs="Times New Roman"/>
          <w:bCs/>
          <w:sz w:val="21"/>
          <w:szCs w:val="21"/>
        </w:rPr>
        <w:fldChar w:fldCharType="separate"/>
      </w:r>
      <w:r w:rsidRPr="00800D22">
        <w:rPr>
          <w:rFonts w:ascii="Times New Roman" w:eastAsia="新宋体" w:hAnsi="Times New Roman" w:cs="Times New Roman"/>
          <w:bCs/>
          <w:sz w:val="21"/>
          <w:szCs w:val="21"/>
        </w:rPr>
        <w:t>8</w:t>
      </w:r>
      <w:r w:rsidRPr="00800D22">
        <w:rPr>
          <w:rFonts w:ascii="Times New Roman" w:eastAsia="新宋体" w:hAnsi="Times New Roman" w:cs="Times New Roman"/>
          <w:bCs/>
          <w:sz w:val="21"/>
          <w:szCs w:val="21"/>
        </w:rPr>
        <w:fldChar w:fldCharType="end"/>
      </w:r>
      <w:r w:rsidRPr="00800D22">
        <w:rPr>
          <w:rFonts w:ascii="Times New Roman" w:eastAsia="新宋体" w:hAnsi="Times New Roman" w:cs="Times New Roman"/>
          <w:bCs/>
          <w:sz w:val="21"/>
          <w:szCs w:val="21"/>
        </w:rPr>
        <w:t xml:space="preserve">  2003-2008</w:t>
      </w:r>
      <w:r w:rsidRPr="00800D22">
        <w:rPr>
          <w:rFonts w:ascii="Times New Roman" w:eastAsia="新宋体" w:hAnsi="Times New Roman" w:cs="Times New Roman"/>
          <w:bCs/>
          <w:sz w:val="21"/>
          <w:szCs w:val="21"/>
        </w:rPr>
        <w:t>年东亚主要国家及地区债券市场总量（单位：</w:t>
      </w:r>
      <w:r w:rsidRPr="00800D22">
        <w:rPr>
          <w:rFonts w:ascii="Times New Roman" w:eastAsia="新宋体" w:hAnsi="Times New Roman" w:cs="Times New Roman"/>
          <w:bCs/>
          <w:sz w:val="21"/>
          <w:szCs w:val="21"/>
        </w:rPr>
        <w:t>10</w:t>
      </w:r>
      <w:r w:rsidRPr="00800D22">
        <w:rPr>
          <w:rFonts w:ascii="Times New Roman" w:eastAsia="新宋体" w:hAnsi="Times New Roman" w:cs="Times New Roman"/>
          <w:bCs/>
          <w:sz w:val="21"/>
          <w:szCs w:val="21"/>
        </w:rPr>
        <w:t>亿美元）</w:t>
      </w:r>
      <w:bookmarkEnd w:id="13"/>
    </w:p>
    <w:p w14:paraId="4066E6EE" w14:textId="77777777" w:rsidR="002E2F38" w:rsidRPr="00800D22" w:rsidRDefault="002E2F38" w:rsidP="002E2F38">
      <w:pPr>
        <w:pStyle w:val="af2"/>
        <w:keepNext/>
        <w:spacing w:before="0" w:beforeAutospacing="0" w:after="0" w:afterAutospacing="0"/>
        <w:jc w:val="center"/>
        <w:rPr>
          <w:rStyle w:val="af6"/>
          <w:rFonts w:ascii="Times New Roman" w:hAnsi="Times New Roman" w:cs="Times New Roman"/>
          <w:b w:val="0"/>
          <w:sz w:val="21"/>
          <w:szCs w:val="21"/>
        </w:rPr>
      </w:pPr>
      <w:r w:rsidRPr="00800D22">
        <w:rPr>
          <w:rStyle w:val="af6"/>
          <w:rFonts w:ascii="Times New Roman" w:hAnsi="Times New Roman" w:cs="Times New Roman"/>
          <w:b w:val="0"/>
          <w:sz w:val="21"/>
          <w:szCs w:val="21"/>
        </w:rPr>
        <w:t xml:space="preserve">Table </w:t>
      </w:r>
      <w:proofErr w:type="gramStart"/>
      <w:r w:rsidRPr="00800D22">
        <w:rPr>
          <w:rStyle w:val="af6"/>
          <w:rFonts w:ascii="Times New Roman" w:hAnsi="Times New Roman" w:cs="Times New Roman"/>
          <w:b w:val="0"/>
          <w:sz w:val="21"/>
          <w:szCs w:val="21"/>
        </w:rPr>
        <w:t xml:space="preserve">5.8 </w:t>
      </w:r>
      <w:r w:rsidRPr="00800D22">
        <w:rPr>
          <w:rStyle w:val="af6"/>
          <w:rFonts w:ascii="Times New Roman" w:hAnsi="Times New Roman" w:cs="Times New Roman" w:hint="eastAsia"/>
          <w:b w:val="0"/>
          <w:sz w:val="21"/>
          <w:szCs w:val="21"/>
        </w:rPr>
        <w:t xml:space="preserve"> </w:t>
      </w:r>
      <w:r w:rsidRPr="00800D22">
        <w:rPr>
          <w:rStyle w:val="af6"/>
          <w:rFonts w:ascii="Times New Roman" w:hAnsi="Times New Roman" w:cs="Times New Roman"/>
          <w:b w:val="0"/>
          <w:sz w:val="21"/>
          <w:szCs w:val="21"/>
        </w:rPr>
        <w:t>Total</w:t>
      </w:r>
      <w:proofErr w:type="gramEnd"/>
      <w:r w:rsidRPr="00800D22">
        <w:rPr>
          <w:rStyle w:val="af6"/>
          <w:rFonts w:ascii="Times New Roman" w:hAnsi="Times New Roman" w:cs="Times New Roman"/>
          <w:b w:val="0"/>
          <w:sz w:val="21"/>
          <w:szCs w:val="21"/>
        </w:rPr>
        <w:t xml:space="preserve"> bond market volume of major countries and regions in </w:t>
      </w:r>
      <w:smartTag w:uri="urn:schemas-microsoft-com:office:smarttags" w:element="place">
        <w:r w:rsidRPr="00800D22">
          <w:rPr>
            <w:rStyle w:val="af6"/>
            <w:rFonts w:ascii="Times New Roman" w:hAnsi="Times New Roman" w:cs="Times New Roman"/>
            <w:b w:val="0"/>
            <w:sz w:val="21"/>
            <w:szCs w:val="21"/>
          </w:rPr>
          <w:t>East Asia</w:t>
        </w:r>
      </w:smartTag>
      <w:r w:rsidRPr="00800D22">
        <w:rPr>
          <w:rStyle w:val="af6"/>
          <w:rFonts w:ascii="Times New Roman" w:hAnsi="Times New Roman" w:cs="Times New Roman"/>
          <w:b w:val="0"/>
          <w:sz w:val="21"/>
          <w:szCs w:val="21"/>
        </w:rPr>
        <w:t xml:space="preserve"> from 2003 to 2008 (Unit: billion dollar)</w:t>
      </w:r>
    </w:p>
    <w:tbl>
      <w:tblPr>
        <w:tblW w:w="5000" w:type="pct"/>
        <w:tblBorders>
          <w:top w:val="single" w:sz="4" w:space="0" w:color="auto"/>
          <w:bottom w:val="single" w:sz="4" w:space="0" w:color="auto"/>
        </w:tblBorders>
        <w:tblLook w:val="01E0" w:firstRow="1" w:lastRow="1" w:firstColumn="1" w:lastColumn="1" w:noHBand="0" w:noVBand="0"/>
      </w:tblPr>
      <w:tblGrid>
        <w:gridCol w:w="1783"/>
        <w:gridCol w:w="1120"/>
        <w:gridCol w:w="1062"/>
        <w:gridCol w:w="985"/>
        <w:gridCol w:w="1120"/>
        <w:gridCol w:w="1120"/>
        <w:gridCol w:w="1116"/>
      </w:tblGrid>
      <w:tr w:rsidR="002E2F38" w:rsidRPr="00800D22" w14:paraId="0ECC39F6" w14:textId="77777777" w:rsidTr="00DB24B0">
        <w:trPr>
          <w:trHeight w:val="844"/>
        </w:trPr>
        <w:tc>
          <w:tcPr>
            <w:tcW w:w="1074" w:type="pct"/>
            <w:tcBorders>
              <w:bottom w:val="single" w:sz="4" w:space="0" w:color="auto"/>
            </w:tcBorders>
            <w:vAlign w:val="center"/>
          </w:tcPr>
          <w:p w14:paraId="46B61BD1" w14:textId="09A7773D"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Fonts w:ascii="Times New Roman" w:hAnsi="Times New Roman" w:cs="Times New Roman"/>
                <w:bCs/>
                <w:noProof/>
                <w:sz w:val="18"/>
                <w:szCs w:val="18"/>
              </w:rPr>
              <mc:AlternateContent>
                <mc:Choice Requires="wpg">
                  <w:drawing>
                    <wp:anchor distT="0" distB="0" distL="114300" distR="114300" simplePos="0" relativeHeight="251659264" behindDoc="0" locked="0" layoutInCell="1" allowOverlap="1" wp14:anchorId="5419A2B7" wp14:editId="4AF73B37">
                      <wp:simplePos x="0" y="0"/>
                      <wp:positionH relativeFrom="column">
                        <wp:posOffset>-68580</wp:posOffset>
                      </wp:positionH>
                      <wp:positionV relativeFrom="paragraph">
                        <wp:posOffset>0</wp:posOffset>
                      </wp:positionV>
                      <wp:extent cx="1162050" cy="527050"/>
                      <wp:effectExtent l="7620" t="6985" r="11430" b="8890"/>
                      <wp:wrapNone/>
                      <wp:docPr id="305829409"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27050"/>
                                <a:chOff x="1692" y="7248"/>
                                <a:chExt cx="1830" cy="830"/>
                              </a:xfrm>
                            </wpg:grpSpPr>
                            <wps:wsp>
                              <wps:cNvPr id="1109542404" name="__TH_L191"/>
                              <wps:cNvCnPr>
                                <a:cxnSpLocks noChangeShapeType="1"/>
                              </wps:cNvCnPr>
                              <wps:spPr bwMode="auto">
                                <a:xfrm>
                                  <a:off x="1692" y="7248"/>
                                  <a:ext cx="1830" cy="8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462734" name="__TH_B11192"/>
                              <wps:cNvSpPr txBox="1">
                                <a:spLocks noChangeArrowheads="1"/>
                              </wps:cNvSpPr>
                              <wps:spPr bwMode="auto">
                                <a:xfrm>
                                  <a:off x="2603" y="7322"/>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8F9584" w14:textId="77777777" w:rsidR="002E2F38" w:rsidRPr="00B7036D" w:rsidRDefault="002E2F38" w:rsidP="002E2F38">
                                    <w:pPr>
                                      <w:snapToGrid w:val="0"/>
                                    </w:pPr>
                                    <w:r w:rsidRPr="00B7036D">
                                      <w:rPr>
                                        <w:rFonts w:hint="eastAsia"/>
                                      </w:rPr>
                                      <w:t>年</w:t>
                                    </w:r>
                                  </w:p>
                                </w:txbxContent>
                              </wps:txbx>
                              <wps:bodyPr rot="0" vert="horz" wrap="square" lIns="0" tIns="0" rIns="0" bIns="0" anchor="t" anchorCtr="0" upright="1">
                                <a:noAutofit/>
                              </wps:bodyPr>
                            </wps:wsp>
                            <wps:wsp>
                              <wps:cNvPr id="1451538593" name="__TH_B12193"/>
                              <wps:cNvSpPr txBox="1">
                                <a:spLocks noChangeArrowheads="1"/>
                              </wps:cNvSpPr>
                              <wps:spPr bwMode="auto">
                                <a:xfrm>
                                  <a:off x="3047" y="7524"/>
                                  <a:ext cx="253"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5E51CC" w14:textId="77777777" w:rsidR="002E2F38" w:rsidRPr="00B7036D" w:rsidRDefault="002E2F38" w:rsidP="002E2F38">
                                    <w:pPr>
                                      <w:snapToGrid w:val="0"/>
                                    </w:pPr>
                                    <w:r w:rsidRPr="00B7036D">
                                      <w:rPr>
                                        <w:rFonts w:hint="eastAsia"/>
                                      </w:rPr>
                                      <w:t>份</w:t>
                                    </w:r>
                                  </w:p>
                                </w:txbxContent>
                              </wps:txbx>
                              <wps:bodyPr rot="0" vert="horz" wrap="square" lIns="0" tIns="0" rIns="0" bIns="0" anchor="t" anchorCtr="0" upright="1">
                                <a:noAutofit/>
                              </wps:bodyPr>
                            </wps:wsp>
                            <wps:wsp>
                              <wps:cNvPr id="548818876" name="__TH_B21194"/>
                              <wps:cNvSpPr txBox="1">
                                <a:spLocks noChangeArrowheads="1"/>
                              </wps:cNvSpPr>
                              <wps:spPr bwMode="auto">
                                <a:xfrm>
                                  <a:off x="1898" y="7568"/>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E3B834" w14:textId="77777777" w:rsidR="002E2F38" w:rsidRPr="00B7036D" w:rsidRDefault="002E2F38" w:rsidP="002E2F38">
                                    <w:pPr>
                                      <w:snapToGrid w:val="0"/>
                                    </w:pPr>
                                    <w:r w:rsidRPr="00B7036D">
                                      <w:rPr>
                                        <w:rFonts w:hint="eastAsia"/>
                                      </w:rPr>
                                      <w:t>国</w:t>
                                    </w:r>
                                  </w:p>
                                </w:txbxContent>
                              </wps:txbx>
                              <wps:bodyPr rot="0" vert="horz" wrap="square" lIns="0" tIns="0" rIns="0" bIns="0" anchor="t" anchorCtr="0" upright="1">
                                <a:noAutofit/>
                              </wps:bodyPr>
                            </wps:wsp>
                            <wps:wsp>
                              <wps:cNvPr id="449913541" name="__TH_B22195"/>
                              <wps:cNvSpPr txBox="1">
                                <a:spLocks noChangeArrowheads="1"/>
                              </wps:cNvSpPr>
                              <wps:spPr bwMode="auto">
                                <a:xfrm>
                                  <a:off x="2300" y="7751"/>
                                  <a:ext cx="253"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F50E06" w14:textId="77777777" w:rsidR="002E2F38" w:rsidRPr="00B7036D" w:rsidRDefault="002E2F38" w:rsidP="002E2F38">
                                    <w:pPr>
                                      <w:snapToGrid w:val="0"/>
                                    </w:pPr>
                                    <w:r w:rsidRPr="00B7036D">
                                      <w:rPr>
                                        <w:rFonts w:hint="eastAsia"/>
                                      </w:rPr>
                                      <w:t>家</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9A2B7" id="组合 6" o:spid="_x0000_s1026" style="position:absolute;left:0;text-align:left;margin-left:-5.4pt;margin-top:0;width:91.5pt;height:41.5pt;z-index:251659264" coordorigin="1692,7248" coordsize="183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">
                      <v:line id="__TH_L191" o:spid="_x0000_s1027" style="position:absolute;visibility:visible;mso-wrap-style:square" from="1692,7248" to="3522,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" strokeweight=".25pt"/>
                      <v:shapetype id="_x0000_t202" coordsize="21600,21600" o:spt="202" path="m,l,21600r21600,l21600,xe">
                        <v:stroke joinstyle="miter"/>
                        <v:path gradientshapeok="t" o:connecttype="rect"/>
                      </v:shapetype>
                      <v:shape id="__TH_B11192" o:spid="_x0000_s1028" type="#_x0000_t202" style="position:absolute;left:2603;top:73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" filled="f" stroked="f" strokeweight=".25pt">
                        <v:textbox inset="0,0,0,0">
                          <w:txbxContent>
                            <w:p w14:paraId="158F9584" w14:textId="77777777" w:rsidR="002E2F38" w:rsidRPr="00B7036D" w:rsidRDefault="002E2F38" w:rsidP="002E2F38">
                              <w:pPr>
                                <w:snapToGrid w:val="0"/>
                              </w:pPr>
                              <w:r w:rsidRPr="00B7036D">
                                <w:rPr>
                                  <w:rFonts w:hint="eastAsia"/>
                                </w:rPr>
                                <w:t>年</w:t>
                              </w:r>
                            </w:p>
                          </w:txbxContent>
                        </v:textbox>
                      </v:shape>
                      <v:shape id="__TH_B12193" o:spid="_x0000_s1029" type="#_x0000_t202" style="position:absolute;left:3047;top:7524;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" filled="f" stroked="f" strokeweight=".25pt">
                        <v:textbox inset="0,0,0,0">
                          <w:txbxContent>
                            <w:p w14:paraId="655E51CC" w14:textId="77777777" w:rsidR="002E2F38" w:rsidRPr="00B7036D" w:rsidRDefault="002E2F38" w:rsidP="002E2F38">
                              <w:pPr>
                                <w:snapToGrid w:val="0"/>
                              </w:pPr>
                              <w:r w:rsidRPr="00B7036D">
                                <w:rPr>
                                  <w:rFonts w:hint="eastAsia"/>
                                </w:rPr>
                                <w:t>份</w:t>
                              </w:r>
                            </w:p>
                          </w:txbxContent>
                        </v:textbox>
                      </v:shape>
                      <v:shape id="__TH_B21194" o:spid="_x0000_s1030" type="#_x0000_t202" style="position:absolute;left:1898;top:7568;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" filled="f" stroked="f" strokeweight=".25pt">
                        <v:textbox inset="0,0,0,0">
                          <w:txbxContent>
                            <w:p w14:paraId="18E3B834" w14:textId="77777777" w:rsidR="002E2F38" w:rsidRPr="00B7036D" w:rsidRDefault="002E2F38" w:rsidP="002E2F38">
                              <w:pPr>
                                <w:snapToGrid w:val="0"/>
                              </w:pPr>
                              <w:r w:rsidRPr="00B7036D">
                                <w:rPr>
                                  <w:rFonts w:hint="eastAsia"/>
                                </w:rPr>
                                <w:t>国</w:t>
                              </w:r>
                            </w:p>
                          </w:txbxContent>
                        </v:textbox>
                      </v:shape>
                      <v:shape id="__TH_B22195" o:spid="_x0000_s1031" type="#_x0000_t202" style="position:absolute;left:2300;top:7751;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" filled="f" stroked="f" strokeweight=".25pt">
                        <v:textbox inset="0,0,0,0">
                          <w:txbxContent>
                            <w:p w14:paraId="6FF50E06" w14:textId="77777777" w:rsidR="002E2F38" w:rsidRPr="00B7036D" w:rsidRDefault="002E2F38" w:rsidP="002E2F38">
                              <w:pPr>
                                <w:snapToGrid w:val="0"/>
                              </w:pPr>
                              <w:r w:rsidRPr="00B7036D">
                                <w:rPr>
                                  <w:rFonts w:hint="eastAsia"/>
                                </w:rPr>
                                <w:t>家</w:t>
                              </w:r>
                            </w:p>
                          </w:txbxContent>
                        </v:textbox>
                      </v:shape>
                    </v:group>
                  </w:pict>
                </mc:Fallback>
              </mc:AlternateContent>
            </w:r>
          </w:p>
        </w:tc>
        <w:tc>
          <w:tcPr>
            <w:tcW w:w="674" w:type="pct"/>
            <w:tcBorders>
              <w:bottom w:val="single" w:sz="4" w:space="0" w:color="auto"/>
            </w:tcBorders>
            <w:vAlign w:val="center"/>
          </w:tcPr>
          <w:p w14:paraId="5355F538"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2003</w:t>
            </w:r>
            <w:r w:rsidRPr="00800D22">
              <w:rPr>
                <w:rStyle w:val="af6"/>
                <w:rFonts w:ascii="Times New Roman" w:hAnsi="Times New Roman" w:cs="Times New Roman"/>
                <w:b w:val="0"/>
                <w:sz w:val="18"/>
                <w:szCs w:val="18"/>
              </w:rPr>
              <w:t>年</w:t>
            </w:r>
          </w:p>
        </w:tc>
        <w:tc>
          <w:tcPr>
            <w:tcW w:w="639" w:type="pct"/>
            <w:tcBorders>
              <w:bottom w:val="single" w:sz="4" w:space="0" w:color="auto"/>
            </w:tcBorders>
            <w:vAlign w:val="center"/>
          </w:tcPr>
          <w:p w14:paraId="23AD4C72"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2004</w:t>
            </w:r>
            <w:r w:rsidRPr="00800D22">
              <w:rPr>
                <w:rStyle w:val="af6"/>
                <w:rFonts w:ascii="Times New Roman" w:hAnsi="Times New Roman" w:cs="Times New Roman"/>
                <w:b w:val="0"/>
                <w:sz w:val="18"/>
                <w:szCs w:val="18"/>
              </w:rPr>
              <w:t>年</w:t>
            </w:r>
          </w:p>
        </w:tc>
        <w:tc>
          <w:tcPr>
            <w:tcW w:w="593" w:type="pct"/>
            <w:tcBorders>
              <w:bottom w:val="single" w:sz="4" w:space="0" w:color="auto"/>
            </w:tcBorders>
            <w:vAlign w:val="center"/>
          </w:tcPr>
          <w:p w14:paraId="4A5A88DB"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2005</w:t>
            </w:r>
            <w:r w:rsidRPr="00800D22">
              <w:rPr>
                <w:rStyle w:val="af6"/>
                <w:rFonts w:ascii="Times New Roman" w:hAnsi="Times New Roman" w:cs="Times New Roman"/>
                <w:b w:val="0"/>
                <w:sz w:val="18"/>
                <w:szCs w:val="18"/>
              </w:rPr>
              <w:t>年</w:t>
            </w:r>
          </w:p>
        </w:tc>
        <w:tc>
          <w:tcPr>
            <w:tcW w:w="674" w:type="pct"/>
            <w:tcBorders>
              <w:bottom w:val="single" w:sz="4" w:space="0" w:color="auto"/>
            </w:tcBorders>
            <w:vAlign w:val="center"/>
          </w:tcPr>
          <w:p w14:paraId="0E41126D"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2006</w:t>
            </w:r>
            <w:r w:rsidRPr="00800D22">
              <w:rPr>
                <w:rStyle w:val="af6"/>
                <w:rFonts w:ascii="Times New Roman" w:hAnsi="Times New Roman" w:cs="Times New Roman"/>
                <w:b w:val="0"/>
                <w:sz w:val="18"/>
                <w:szCs w:val="18"/>
              </w:rPr>
              <w:t>年</w:t>
            </w:r>
          </w:p>
        </w:tc>
        <w:tc>
          <w:tcPr>
            <w:tcW w:w="674" w:type="pct"/>
            <w:tcBorders>
              <w:bottom w:val="single" w:sz="4" w:space="0" w:color="auto"/>
            </w:tcBorders>
            <w:vAlign w:val="center"/>
          </w:tcPr>
          <w:p w14:paraId="716CA368"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2007</w:t>
            </w:r>
            <w:r w:rsidRPr="00800D22">
              <w:rPr>
                <w:rStyle w:val="af6"/>
                <w:rFonts w:ascii="Times New Roman" w:hAnsi="Times New Roman" w:cs="Times New Roman"/>
                <w:b w:val="0"/>
                <w:sz w:val="18"/>
                <w:szCs w:val="18"/>
              </w:rPr>
              <w:t>年</w:t>
            </w:r>
          </w:p>
        </w:tc>
        <w:tc>
          <w:tcPr>
            <w:tcW w:w="672" w:type="pct"/>
            <w:tcBorders>
              <w:bottom w:val="single" w:sz="4" w:space="0" w:color="auto"/>
            </w:tcBorders>
            <w:vAlign w:val="center"/>
          </w:tcPr>
          <w:p w14:paraId="6FC5B561"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2008</w:t>
            </w:r>
            <w:r w:rsidRPr="00800D22">
              <w:rPr>
                <w:rStyle w:val="af6"/>
                <w:rFonts w:ascii="Times New Roman" w:hAnsi="Times New Roman" w:cs="Times New Roman"/>
                <w:b w:val="0"/>
                <w:sz w:val="18"/>
                <w:szCs w:val="18"/>
              </w:rPr>
              <w:t>年</w:t>
            </w:r>
          </w:p>
        </w:tc>
      </w:tr>
      <w:tr w:rsidR="002E2F38" w:rsidRPr="00800D22" w14:paraId="06D81EE5" w14:textId="77777777" w:rsidTr="00DB24B0">
        <w:tc>
          <w:tcPr>
            <w:tcW w:w="1074" w:type="pct"/>
            <w:tcBorders>
              <w:top w:val="single" w:sz="4" w:space="0" w:color="auto"/>
              <w:bottom w:val="nil"/>
            </w:tcBorders>
            <w:vAlign w:val="center"/>
          </w:tcPr>
          <w:p w14:paraId="4BD83F40"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日本</w:t>
            </w:r>
          </w:p>
        </w:tc>
        <w:tc>
          <w:tcPr>
            <w:tcW w:w="674" w:type="pct"/>
            <w:tcBorders>
              <w:top w:val="single" w:sz="4" w:space="0" w:color="auto"/>
              <w:bottom w:val="nil"/>
            </w:tcBorders>
            <w:vAlign w:val="center"/>
          </w:tcPr>
          <w:p w14:paraId="41FF4C85" w14:textId="77777777" w:rsidR="002E2F38" w:rsidRPr="00800D22" w:rsidRDefault="002E2F38" w:rsidP="00DB24B0">
            <w:pPr>
              <w:rPr>
                <w:sz w:val="18"/>
                <w:szCs w:val="18"/>
              </w:rPr>
            </w:pPr>
            <w:r w:rsidRPr="00800D22">
              <w:rPr>
                <w:sz w:val="18"/>
                <w:szCs w:val="18"/>
              </w:rPr>
              <w:t xml:space="preserve">7,818.18 </w:t>
            </w:r>
          </w:p>
        </w:tc>
        <w:tc>
          <w:tcPr>
            <w:tcW w:w="639" w:type="pct"/>
            <w:tcBorders>
              <w:top w:val="single" w:sz="4" w:space="0" w:color="auto"/>
              <w:bottom w:val="nil"/>
            </w:tcBorders>
            <w:vAlign w:val="center"/>
          </w:tcPr>
          <w:p w14:paraId="7A277516" w14:textId="77777777" w:rsidR="002E2F38" w:rsidRPr="00800D22" w:rsidRDefault="002E2F38" w:rsidP="00DB24B0">
            <w:pPr>
              <w:rPr>
                <w:sz w:val="18"/>
                <w:szCs w:val="18"/>
              </w:rPr>
            </w:pPr>
            <w:r w:rsidRPr="00800D22">
              <w:rPr>
                <w:sz w:val="18"/>
                <w:szCs w:val="18"/>
              </w:rPr>
              <w:t xml:space="preserve">8,858.07 </w:t>
            </w:r>
          </w:p>
        </w:tc>
        <w:tc>
          <w:tcPr>
            <w:tcW w:w="593" w:type="pct"/>
            <w:tcBorders>
              <w:top w:val="single" w:sz="4" w:space="0" w:color="auto"/>
              <w:bottom w:val="nil"/>
            </w:tcBorders>
            <w:vAlign w:val="center"/>
          </w:tcPr>
          <w:p w14:paraId="56C3C6F9" w14:textId="77777777" w:rsidR="002E2F38" w:rsidRPr="00800D22" w:rsidRDefault="002E2F38" w:rsidP="00DB24B0">
            <w:pPr>
              <w:rPr>
                <w:sz w:val="18"/>
                <w:szCs w:val="18"/>
              </w:rPr>
            </w:pPr>
            <w:r w:rsidRPr="00800D22">
              <w:rPr>
                <w:sz w:val="18"/>
                <w:szCs w:val="18"/>
              </w:rPr>
              <w:t xml:space="preserve">8,370.65 </w:t>
            </w:r>
          </w:p>
        </w:tc>
        <w:tc>
          <w:tcPr>
            <w:tcW w:w="674" w:type="pct"/>
            <w:tcBorders>
              <w:top w:val="single" w:sz="4" w:space="0" w:color="auto"/>
              <w:bottom w:val="nil"/>
            </w:tcBorders>
            <w:vAlign w:val="center"/>
          </w:tcPr>
          <w:p w14:paraId="2FB53392" w14:textId="77777777" w:rsidR="002E2F38" w:rsidRPr="00800D22" w:rsidRDefault="002E2F38" w:rsidP="00DB24B0">
            <w:pPr>
              <w:rPr>
                <w:sz w:val="18"/>
                <w:szCs w:val="18"/>
              </w:rPr>
            </w:pPr>
            <w:r w:rsidRPr="00800D22">
              <w:rPr>
                <w:sz w:val="18"/>
                <w:szCs w:val="18"/>
              </w:rPr>
              <w:t xml:space="preserve">8,406.52 </w:t>
            </w:r>
          </w:p>
        </w:tc>
        <w:tc>
          <w:tcPr>
            <w:tcW w:w="674" w:type="pct"/>
            <w:tcBorders>
              <w:top w:val="single" w:sz="4" w:space="0" w:color="auto"/>
              <w:bottom w:val="nil"/>
            </w:tcBorders>
            <w:vAlign w:val="center"/>
          </w:tcPr>
          <w:p w14:paraId="55883E35" w14:textId="77777777" w:rsidR="002E2F38" w:rsidRPr="00800D22" w:rsidRDefault="002E2F38" w:rsidP="00DB24B0">
            <w:pPr>
              <w:rPr>
                <w:sz w:val="18"/>
                <w:szCs w:val="18"/>
              </w:rPr>
            </w:pPr>
            <w:r w:rsidRPr="00800D22">
              <w:rPr>
                <w:sz w:val="18"/>
                <w:szCs w:val="18"/>
              </w:rPr>
              <w:t xml:space="preserve">8,855.73 </w:t>
            </w:r>
          </w:p>
        </w:tc>
        <w:tc>
          <w:tcPr>
            <w:tcW w:w="672" w:type="pct"/>
            <w:tcBorders>
              <w:top w:val="single" w:sz="4" w:space="0" w:color="auto"/>
              <w:bottom w:val="nil"/>
            </w:tcBorders>
            <w:vAlign w:val="center"/>
          </w:tcPr>
          <w:p w14:paraId="66C74CBF" w14:textId="77777777" w:rsidR="002E2F38" w:rsidRPr="00800D22" w:rsidRDefault="002E2F38" w:rsidP="00DB24B0">
            <w:pPr>
              <w:rPr>
                <w:sz w:val="18"/>
                <w:szCs w:val="18"/>
              </w:rPr>
            </w:pPr>
            <w:r w:rsidRPr="00800D22">
              <w:rPr>
                <w:sz w:val="18"/>
                <w:szCs w:val="18"/>
              </w:rPr>
              <w:t xml:space="preserve">11,076.84 </w:t>
            </w:r>
          </w:p>
        </w:tc>
      </w:tr>
      <w:tr w:rsidR="002E2F38" w:rsidRPr="00800D22" w14:paraId="3BD2D9D2" w14:textId="77777777" w:rsidTr="00DB24B0">
        <w:tc>
          <w:tcPr>
            <w:tcW w:w="1074" w:type="pct"/>
            <w:tcBorders>
              <w:top w:val="nil"/>
            </w:tcBorders>
            <w:vAlign w:val="center"/>
          </w:tcPr>
          <w:p w14:paraId="2C25F310"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中国</w:t>
            </w:r>
          </w:p>
        </w:tc>
        <w:tc>
          <w:tcPr>
            <w:tcW w:w="674" w:type="pct"/>
            <w:tcBorders>
              <w:top w:val="nil"/>
            </w:tcBorders>
            <w:vAlign w:val="center"/>
          </w:tcPr>
          <w:p w14:paraId="46EA654F" w14:textId="77777777" w:rsidR="002E2F38" w:rsidRPr="00800D22" w:rsidRDefault="002E2F38" w:rsidP="00DB24B0">
            <w:pPr>
              <w:rPr>
                <w:sz w:val="18"/>
                <w:szCs w:val="18"/>
              </w:rPr>
            </w:pPr>
            <w:r w:rsidRPr="00800D22">
              <w:rPr>
                <w:sz w:val="18"/>
                <w:szCs w:val="18"/>
              </w:rPr>
              <w:t xml:space="preserve">448.47 </w:t>
            </w:r>
          </w:p>
        </w:tc>
        <w:tc>
          <w:tcPr>
            <w:tcW w:w="639" w:type="pct"/>
            <w:tcBorders>
              <w:top w:val="nil"/>
            </w:tcBorders>
            <w:vAlign w:val="center"/>
          </w:tcPr>
          <w:p w14:paraId="293D5FE4" w14:textId="77777777" w:rsidR="002E2F38" w:rsidRPr="00800D22" w:rsidRDefault="002E2F38" w:rsidP="00DB24B0">
            <w:pPr>
              <w:rPr>
                <w:sz w:val="18"/>
                <w:szCs w:val="18"/>
              </w:rPr>
            </w:pPr>
            <w:r w:rsidRPr="00800D22">
              <w:rPr>
                <w:sz w:val="18"/>
                <w:szCs w:val="18"/>
              </w:rPr>
              <w:t xml:space="preserve">623.76 </w:t>
            </w:r>
          </w:p>
        </w:tc>
        <w:tc>
          <w:tcPr>
            <w:tcW w:w="593" w:type="pct"/>
            <w:tcBorders>
              <w:top w:val="nil"/>
            </w:tcBorders>
            <w:vAlign w:val="center"/>
          </w:tcPr>
          <w:p w14:paraId="32947FA7" w14:textId="77777777" w:rsidR="002E2F38" w:rsidRPr="00800D22" w:rsidRDefault="002E2F38" w:rsidP="00DB24B0">
            <w:pPr>
              <w:rPr>
                <w:sz w:val="18"/>
                <w:szCs w:val="18"/>
              </w:rPr>
            </w:pPr>
            <w:r w:rsidRPr="00800D22">
              <w:rPr>
                <w:sz w:val="18"/>
                <w:szCs w:val="18"/>
              </w:rPr>
              <w:t xml:space="preserve">899.24 </w:t>
            </w:r>
          </w:p>
        </w:tc>
        <w:tc>
          <w:tcPr>
            <w:tcW w:w="674" w:type="pct"/>
            <w:tcBorders>
              <w:top w:val="nil"/>
            </w:tcBorders>
            <w:vAlign w:val="center"/>
          </w:tcPr>
          <w:p w14:paraId="05F1EAA2" w14:textId="77777777" w:rsidR="002E2F38" w:rsidRPr="00800D22" w:rsidRDefault="002E2F38" w:rsidP="00DB24B0">
            <w:pPr>
              <w:rPr>
                <w:sz w:val="18"/>
                <w:szCs w:val="18"/>
              </w:rPr>
            </w:pPr>
            <w:r w:rsidRPr="00800D22">
              <w:rPr>
                <w:sz w:val="18"/>
                <w:szCs w:val="18"/>
              </w:rPr>
              <w:t xml:space="preserve">1,183.58 </w:t>
            </w:r>
          </w:p>
        </w:tc>
        <w:tc>
          <w:tcPr>
            <w:tcW w:w="674" w:type="pct"/>
            <w:tcBorders>
              <w:top w:val="nil"/>
            </w:tcBorders>
            <w:vAlign w:val="center"/>
          </w:tcPr>
          <w:p w14:paraId="2CC30ED6" w14:textId="77777777" w:rsidR="002E2F38" w:rsidRPr="00800D22" w:rsidRDefault="002E2F38" w:rsidP="00DB24B0">
            <w:pPr>
              <w:rPr>
                <w:sz w:val="18"/>
                <w:szCs w:val="18"/>
              </w:rPr>
            </w:pPr>
            <w:r w:rsidRPr="00800D22">
              <w:rPr>
                <w:sz w:val="18"/>
                <w:szCs w:val="18"/>
              </w:rPr>
              <w:t xml:space="preserve">1,687.28 </w:t>
            </w:r>
          </w:p>
        </w:tc>
        <w:tc>
          <w:tcPr>
            <w:tcW w:w="672" w:type="pct"/>
            <w:tcBorders>
              <w:top w:val="nil"/>
            </w:tcBorders>
            <w:vAlign w:val="center"/>
          </w:tcPr>
          <w:p w14:paraId="521CF43E" w14:textId="77777777" w:rsidR="002E2F38" w:rsidRPr="00800D22" w:rsidRDefault="002E2F38" w:rsidP="00DB24B0">
            <w:pPr>
              <w:rPr>
                <w:sz w:val="18"/>
                <w:szCs w:val="18"/>
              </w:rPr>
            </w:pPr>
            <w:r w:rsidRPr="00800D22">
              <w:rPr>
                <w:sz w:val="18"/>
                <w:szCs w:val="18"/>
              </w:rPr>
              <w:t xml:space="preserve">2,209.53 </w:t>
            </w:r>
          </w:p>
        </w:tc>
      </w:tr>
      <w:tr w:rsidR="002E2F38" w:rsidRPr="00800D22" w14:paraId="7E8B65CE" w14:textId="77777777" w:rsidTr="00DB24B0">
        <w:tc>
          <w:tcPr>
            <w:tcW w:w="1074" w:type="pct"/>
            <w:vAlign w:val="center"/>
          </w:tcPr>
          <w:p w14:paraId="22FB2B53"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韩国</w:t>
            </w:r>
          </w:p>
        </w:tc>
        <w:tc>
          <w:tcPr>
            <w:tcW w:w="674" w:type="pct"/>
            <w:vAlign w:val="center"/>
          </w:tcPr>
          <w:p w14:paraId="18B9E76C" w14:textId="77777777" w:rsidR="002E2F38" w:rsidRPr="00800D22" w:rsidRDefault="002E2F38" w:rsidP="00DB24B0">
            <w:pPr>
              <w:rPr>
                <w:sz w:val="18"/>
                <w:szCs w:val="18"/>
              </w:rPr>
            </w:pPr>
            <w:r w:rsidRPr="00800D22">
              <w:rPr>
                <w:sz w:val="18"/>
                <w:szCs w:val="18"/>
              </w:rPr>
              <w:t xml:space="preserve">574.83 </w:t>
            </w:r>
          </w:p>
        </w:tc>
        <w:tc>
          <w:tcPr>
            <w:tcW w:w="639" w:type="pct"/>
            <w:vAlign w:val="center"/>
          </w:tcPr>
          <w:p w14:paraId="2EEFCCAA" w14:textId="77777777" w:rsidR="002E2F38" w:rsidRPr="00800D22" w:rsidRDefault="002E2F38" w:rsidP="00DB24B0">
            <w:pPr>
              <w:rPr>
                <w:sz w:val="18"/>
                <w:szCs w:val="18"/>
              </w:rPr>
            </w:pPr>
            <w:r w:rsidRPr="00800D22">
              <w:rPr>
                <w:sz w:val="18"/>
                <w:szCs w:val="18"/>
              </w:rPr>
              <w:t xml:space="preserve">727.90 </w:t>
            </w:r>
          </w:p>
        </w:tc>
        <w:tc>
          <w:tcPr>
            <w:tcW w:w="593" w:type="pct"/>
            <w:vAlign w:val="center"/>
          </w:tcPr>
          <w:p w14:paraId="408B529A" w14:textId="77777777" w:rsidR="002E2F38" w:rsidRPr="00800D22" w:rsidRDefault="002E2F38" w:rsidP="00DB24B0">
            <w:pPr>
              <w:rPr>
                <w:sz w:val="18"/>
                <w:szCs w:val="18"/>
              </w:rPr>
            </w:pPr>
            <w:r w:rsidRPr="00800D22">
              <w:rPr>
                <w:sz w:val="18"/>
                <w:szCs w:val="18"/>
              </w:rPr>
              <w:t xml:space="preserve">816.10 </w:t>
            </w:r>
          </w:p>
        </w:tc>
        <w:tc>
          <w:tcPr>
            <w:tcW w:w="674" w:type="pct"/>
            <w:vAlign w:val="center"/>
          </w:tcPr>
          <w:p w14:paraId="3BECA44E" w14:textId="77777777" w:rsidR="002E2F38" w:rsidRPr="00800D22" w:rsidRDefault="002E2F38" w:rsidP="00DB24B0">
            <w:pPr>
              <w:rPr>
                <w:sz w:val="18"/>
                <w:szCs w:val="18"/>
              </w:rPr>
            </w:pPr>
            <w:r w:rsidRPr="00800D22">
              <w:rPr>
                <w:sz w:val="18"/>
                <w:szCs w:val="18"/>
              </w:rPr>
              <w:t xml:space="preserve">982.65 </w:t>
            </w:r>
          </w:p>
        </w:tc>
        <w:tc>
          <w:tcPr>
            <w:tcW w:w="674" w:type="pct"/>
            <w:vAlign w:val="center"/>
          </w:tcPr>
          <w:p w14:paraId="00680D52" w14:textId="77777777" w:rsidR="002E2F38" w:rsidRPr="00800D22" w:rsidRDefault="002E2F38" w:rsidP="00DB24B0">
            <w:pPr>
              <w:rPr>
                <w:sz w:val="18"/>
                <w:szCs w:val="18"/>
              </w:rPr>
            </w:pPr>
            <w:r w:rsidRPr="00800D22">
              <w:rPr>
                <w:sz w:val="18"/>
                <w:szCs w:val="18"/>
              </w:rPr>
              <w:t>1</w:t>
            </w:r>
            <w:r w:rsidRPr="00800D22">
              <w:rPr>
                <w:rFonts w:hint="eastAsia"/>
                <w:sz w:val="18"/>
                <w:szCs w:val="18"/>
              </w:rPr>
              <w:t>,</w:t>
            </w:r>
            <w:r w:rsidRPr="00800D22">
              <w:rPr>
                <w:sz w:val="18"/>
                <w:szCs w:val="18"/>
              </w:rPr>
              <w:t xml:space="preserve">076.58 </w:t>
            </w:r>
          </w:p>
        </w:tc>
        <w:tc>
          <w:tcPr>
            <w:tcW w:w="672" w:type="pct"/>
            <w:vAlign w:val="center"/>
          </w:tcPr>
          <w:p w14:paraId="32D3B31E" w14:textId="77777777" w:rsidR="002E2F38" w:rsidRPr="00800D22" w:rsidRDefault="002E2F38" w:rsidP="00DB24B0">
            <w:pPr>
              <w:rPr>
                <w:sz w:val="18"/>
                <w:szCs w:val="18"/>
              </w:rPr>
            </w:pPr>
            <w:r w:rsidRPr="00800D22">
              <w:rPr>
                <w:sz w:val="18"/>
                <w:szCs w:val="18"/>
              </w:rPr>
              <w:t xml:space="preserve">863.52 </w:t>
            </w:r>
          </w:p>
        </w:tc>
      </w:tr>
      <w:tr w:rsidR="002E2F38" w:rsidRPr="00800D22" w14:paraId="4469994D" w14:textId="77777777" w:rsidTr="00DB24B0">
        <w:tc>
          <w:tcPr>
            <w:tcW w:w="1074" w:type="pct"/>
            <w:vAlign w:val="center"/>
          </w:tcPr>
          <w:p w14:paraId="44CD8B3E"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马来西亚</w:t>
            </w:r>
          </w:p>
        </w:tc>
        <w:tc>
          <w:tcPr>
            <w:tcW w:w="674" w:type="pct"/>
            <w:vAlign w:val="center"/>
          </w:tcPr>
          <w:p w14:paraId="1C63A9A9" w14:textId="77777777" w:rsidR="002E2F38" w:rsidRPr="00800D22" w:rsidRDefault="002E2F38" w:rsidP="00DB24B0">
            <w:pPr>
              <w:rPr>
                <w:sz w:val="18"/>
                <w:szCs w:val="18"/>
              </w:rPr>
            </w:pPr>
            <w:r w:rsidRPr="00800D22">
              <w:rPr>
                <w:sz w:val="18"/>
                <w:szCs w:val="18"/>
              </w:rPr>
              <w:t xml:space="preserve">103.53 </w:t>
            </w:r>
          </w:p>
        </w:tc>
        <w:tc>
          <w:tcPr>
            <w:tcW w:w="639" w:type="pct"/>
            <w:vAlign w:val="center"/>
          </w:tcPr>
          <w:p w14:paraId="36706D98" w14:textId="77777777" w:rsidR="002E2F38" w:rsidRPr="00800D22" w:rsidRDefault="002E2F38" w:rsidP="00DB24B0">
            <w:pPr>
              <w:rPr>
                <w:sz w:val="18"/>
                <w:szCs w:val="18"/>
              </w:rPr>
            </w:pPr>
            <w:r w:rsidRPr="00800D22">
              <w:rPr>
                <w:sz w:val="18"/>
                <w:szCs w:val="18"/>
              </w:rPr>
              <w:t xml:space="preserve">114.45 </w:t>
            </w:r>
          </w:p>
        </w:tc>
        <w:tc>
          <w:tcPr>
            <w:tcW w:w="593" w:type="pct"/>
            <w:vAlign w:val="center"/>
          </w:tcPr>
          <w:p w14:paraId="122938B6" w14:textId="77777777" w:rsidR="002E2F38" w:rsidRPr="00800D22" w:rsidRDefault="002E2F38" w:rsidP="00DB24B0">
            <w:pPr>
              <w:rPr>
                <w:sz w:val="18"/>
                <w:szCs w:val="18"/>
              </w:rPr>
            </w:pPr>
            <w:r w:rsidRPr="00800D22">
              <w:rPr>
                <w:sz w:val="18"/>
                <w:szCs w:val="18"/>
              </w:rPr>
              <w:t xml:space="preserve">127.98 </w:t>
            </w:r>
          </w:p>
        </w:tc>
        <w:tc>
          <w:tcPr>
            <w:tcW w:w="674" w:type="pct"/>
            <w:vAlign w:val="center"/>
          </w:tcPr>
          <w:p w14:paraId="52716573" w14:textId="77777777" w:rsidR="002E2F38" w:rsidRPr="00800D22" w:rsidRDefault="002E2F38" w:rsidP="00DB24B0">
            <w:pPr>
              <w:rPr>
                <w:sz w:val="18"/>
                <w:szCs w:val="18"/>
              </w:rPr>
            </w:pPr>
            <w:r w:rsidRPr="00800D22">
              <w:rPr>
                <w:sz w:val="18"/>
                <w:szCs w:val="18"/>
              </w:rPr>
              <w:t xml:space="preserve">151.47 </w:t>
            </w:r>
          </w:p>
        </w:tc>
        <w:tc>
          <w:tcPr>
            <w:tcW w:w="674" w:type="pct"/>
            <w:vAlign w:val="center"/>
          </w:tcPr>
          <w:p w14:paraId="634DC39E" w14:textId="77777777" w:rsidR="002E2F38" w:rsidRPr="00800D22" w:rsidRDefault="002E2F38" w:rsidP="00DB24B0">
            <w:pPr>
              <w:rPr>
                <w:sz w:val="18"/>
                <w:szCs w:val="18"/>
              </w:rPr>
            </w:pPr>
            <w:r w:rsidRPr="00800D22">
              <w:rPr>
                <w:sz w:val="18"/>
                <w:szCs w:val="18"/>
              </w:rPr>
              <w:t xml:space="preserve">184.55 </w:t>
            </w:r>
          </w:p>
        </w:tc>
        <w:tc>
          <w:tcPr>
            <w:tcW w:w="672" w:type="pct"/>
            <w:vAlign w:val="center"/>
          </w:tcPr>
          <w:p w14:paraId="3956723E" w14:textId="77777777" w:rsidR="002E2F38" w:rsidRPr="00800D22" w:rsidRDefault="002E2F38" w:rsidP="00DB24B0">
            <w:pPr>
              <w:rPr>
                <w:sz w:val="18"/>
                <w:szCs w:val="18"/>
              </w:rPr>
            </w:pPr>
            <w:r w:rsidRPr="00800D22">
              <w:rPr>
                <w:sz w:val="18"/>
                <w:szCs w:val="18"/>
              </w:rPr>
              <w:t xml:space="preserve">199.06 </w:t>
            </w:r>
          </w:p>
        </w:tc>
      </w:tr>
      <w:tr w:rsidR="002E2F38" w:rsidRPr="00800D22" w14:paraId="2ADBD366" w14:textId="77777777" w:rsidTr="00DB24B0">
        <w:tc>
          <w:tcPr>
            <w:tcW w:w="1074" w:type="pct"/>
            <w:vAlign w:val="center"/>
          </w:tcPr>
          <w:p w14:paraId="222B0494"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泰国</w:t>
            </w:r>
          </w:p>
        </w:tc>
        <w:tc>
          <w:tcPr>
            <w:tcW w:w="674" w:type="pct"/>
            <w:vAlign w:val="center"/>
          </w:tcPr>
          <w:p w14:paraId="675B60EE" w14:textId="77777777" w:rsidR="002E2F38" w:rsidRPr="00800D22" w:rsidRDefault="002E2F38" w:rsidP="00DB24B0">
            <w:pPr>
              <w:rPr>
                <w:sz w:val="18"/>
                <w:szCs w:val="18"/>
              </w:rPr>
            </w:pPr>
            <w:r w:rsidRPr="00800D22">
              <w:rPr>
                <w:sz w:val="18"/>
                <w:szCs w:val="18"/>
              </w:rPr>
              <w:t xml:space="preserve">58.85 </w:t>
            </w:r>
          </w:p>
        </w:tc>
        <w:tc>
          <w:tcPr>
            <w:tcW w:w="639" w:type="pct"/>
            <w:vAlign w:val="center"/>
          </w:tcPr>
          <w:p w14:paraId="37A26905" w14:textId="77777777" w:rsidR="002E2F38" w:rsidRPr="00800D22" w:rsidRDefault="002E2F38" w:rsidP="00DB24B0">
            <w:pPr>
              <w:rPr>
                <w:sz w:val="18"/>
                <w:szCs w:val="18"/>
              </w:rPr>
            </w:pPr>
            <w:r w:rsidRPr="00800D22">
              <w:rPr>
                <w:sz w:val="18"/>
                <w:szCs w:val="18"/>
              </w:rPr>
              <w:t xml:space="preserve">67.46 </w:t>
            </w:r>
          </w:p>
        </w:tc>
        <w:tc>
          <w:tcPr>
            <w:tcW w:w="593" w:type="pct"/>
            <w:vAlign w:val="center"/>
          </w:tcPr>
          <w:p w14:paraId="6CA3C77F" w14:textId="77777777" w:rsidR="002E2F38" w:rsidRPr="00800D22" w:rsidRDefault="002E2F38" w:rsidP="00DB24B0">
            <w:pPr>
              <w:rPr>
                <w:sz w:val="18"/>
                <w:szCs w:val="18"/>
              </w:rPr>
            </w:pPr>
            <w:r w:rsidRPr="00800D22">
              <w:rPr>
                <w:sz w:val="18"/>
                <w:szCs w:val="18"/>
              </w:rPr>
              <w:t xml:space="preserve">79.97 </w:t>
            </w:r>
          </w:p>
        </w:tc>
        <w:tc>
          <w:tcPr>
            <w:tcW w:w="674" w:type="pct"/>
            <w:vAlign w:val="center"/>
          </w:tcPr>
          <w:p w14:paraId="62293571" w14:textId="77777777" w:rsidR="002E2F38" w:rsidRPr="00800D22" w:rsidRDefault="002E2F38" w:rsidP="00DB24B0">
            <w:pPr>
              <w:rPr>
                <w:sz w:val="18"/>
                <w:szCs w:val="18"/>
              </w:rPr>
            </w:pPr>
            <w:r w:rsidRPr="00800D22">
              <w:rPr>
                <w:sz w:val="18"/>
                <w:szCs w:val="18"/>
              </w:rPr>
              <w:t xml:space="preserve">110.78 </w:t>
            </w:r>
          </w:p>
        </w:tc>
        <w:tc>
          <w:tcPr>
            <w:tcW w:w="674" w:type="pct"/>
            <w:vAlign w:val="center"/>
          </w:tcPr>
          <w:p w14:paraId="61F415E0" w14:textId="77777777" w:rsidR="002E2F38" w:rsidRPr="00800D22" w:rsidRDefault="002E2F38" w:rsidP="00DB24B0">
            <w:pPr>
              <w:rPr>
                <w:sz w:val="18"/>
                <w:szCs w:val="18"/>
              </w:rPr>
            </w:pPr>
            <w:r w:rsidRPr="00800D22">
              <w:rPr>
                <w:sz w:val="18"/>
                <w:szCs w:val="18"/>
              </w:rPr>
              <w:t xml:space="preserve">140.23 </w:t>
            </w:r>
          </w:p>
        </w:tc>
        <w:tc>
          <w:tcPr>
            <w:tcW w:w="672" w:type="pct"/>
            <w:vAlign w:val="center"/>
          </w:tcPr>
          <w:p w14:paraId="6BF82CCE" w14:textId="77777777" w:rsidR="002E2F38" w:rsidRPr="00800D22" w:rsidRDefault="002E2F38" w:rsidP="00DB24B0">
            <w:pPr>
              <w:rPr>
                <w:sz w:val="18"/>
                <w:szCs w:val="18"/>
              </w:rPr>
            </w:pPr>
            <w:r w:rsidRPr="00800D22">
              <w:rPr>
                <w:sz w:val="18"/>
                <w:szCs w:val="18"/>
              </w:rPr>
              <w:t xml:space="preserve">146.11 </w:t>
            </w:r>
          </w:p>
        </w:tc>
      </w:tr>
      <w:tr w:rsidR="002E2F38" w:rsidRPr="00800D22" w14:paraId="5C46EAA0" w14:textId="77777777" w:rsidTr="00DB24B0">
        <w:tc>
          <w:tcPr>
            <w:tcW w:w="1074" w:type="pct"/>
            <w:vAlign w:val="center"/>
          </w:tcPr>
          <w:p w14:paraId="4E49AD92"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新加坡</w:t>
            </w:r>
          </w:p>
        </w:tc>
        <w:tc>
          <w:tcPr>
            <w:tcW w:w="674" w:type="pct"/>
            <w:vAlign w:val="center"/>
          </w:tcPr>
          <w:p w14:paraId="7B9498BF" w14:textId="77777777" w:rsidR="002E2F38" w:rsidRPr="00800D22" w:rsidRDefault="002E2F38" w:rsidP="00DB24B0">
            <w:pPr>
              <w:rPr>
                <w:sz w:val="18"/>
                <w:szCs w:val="18"/>
              </w:rPr>
            </w:pPr>
            <w:r w:rsidRPr="00800D22">
              <w:rPr>
                <w:sz w:val="18"/>
                <w:szCs w:val="18"/>
              </w:rPr>
              <w:t xml:space="preserve">58.35 </w:t>
            </w:r>
          </w:p>
        </w:tc>
        <w:tc>
          <w:tcPr>
            <w:tcW w:w="639" w:type="pct"/>
            <w:vAlign w:val="center"/>
          </w:tcPr>
          <w:p w14:paraId="0EB4C802" w14:textId="77777777" w:rsidR="002E2F38" w:rsidRPr="00800D22" w:rsidRDefault="002E2F38" w:rsidP="00DB24B0">
            <w:pPr>
              <w:rPr>
                <w:sz w:val="18"/>
                <w:szCs w:val="18"/>
              </w:rPr>
            </w:pPr>
            <w:r w:rsidRPr="00800D22">
              <w:rPr>
                <w:sz w:val="18"/>
                <w:szCs w:val="18"/>
              </w:rPr>
              <w:t xml:space="preserve">66.19 </w:t>
            </w:r>
          </w:p>
        </w:tc>
        <w:tc>
          <w:tcPr>
            <w:tcW w:w="593" w:type="pct"/>
            <w:vAlign w:val="center"/>
          </w:tcPr>
          <w:p w14:paraId="4869A880" w14:textId="77777777" w:rsidR="002E2F38" w:rsidRPr="00800D22" w:rsidRDefault="002E2F38" w:rsidP="00DB24B0">
            <w:pPr>
              <w:rPr>
                <w:sz w:val="18"/>
                <w:szCs w:val="18"/>
              </w:rPr>
            </w:pPr>
            <w:r w:rsidRPr="00800D22">
              <w:rPr>
                <w:sz w:val="18"/>
                <w:szCs w:val="18"/>
              </w:rPr>
              <w:t xml:space="preserve">68.33 </w:t>
            </w:r>
          </w:p>
        </w:tc>
        <w:tc>
          <w:tcPr>
            <w:tcW w:w="674" w:type="pct"/>
            <w:vAlign w:val="center"/>
          </w:tcPr>
          <w:p w14:paraId="1872240C" w14:textId="77777777" w:rsidR="002E2F38" w:rsidRPr="00800D22" w:rsidRDefault="002E2F38" w:rsidP="00DB24B0">
            <w:pPr>
              <w:rPr>
                <w:sz w:val="18"/>
                <w:szCs w:val="18"/>
              </w:rPr>
            </w:pPr>
            <w:r w:rsidRPr="00800D22">
              <w:rPr>
                <w:sz w:val="18"/>
                <w:szCs w:val="18"/>
              </w:rPr>
              <w:t xml:space="preserve">80.89 </w:t>
            </w:r>
          </w:p>
        </w:tc>
        <w:tc>
          <w:tcPr>
            <w:tcW w:w="674" w:type="pct"/>
            <w:vAlign w:val="center"/>
          </w:tcPr>
          <w:p w14:paraId="6DDDA943" w14:textId="77777777" w:rsidR="002E2F38" w:rsidRPr="00800D22" w:rsidRDefault="002E2F38" w:rsidP="00DB24B0">
            <w:pPr>
              <w:rPr>
                <w:sz w:val="18"/>
                <w:szCs w:val="18"/>
              </w:rPr>
            </w:pPr>
            <w:r w:rsidRPr="00800D22">
              <w:rPr>
                <w:sz w:val="18"/>
                <w:szCs w:val="18"/>
              </w:rPr>
              <w:t xml:space="preserve">97.21 </w:t>
            </w:r>
          </w:p>
        </w:tc>
        <w:tc>
          <w:tcPr>
            <w:tcW w:w="672" w:type="pct"/>
            <w:vAlign w:val="center"/>
          </w:tcPr>
          <w:p w14:paraId="6BB3656D" w14:textId="77777777" w:rsidR="002E2F38" w:rsidRPr="00800D22" w:rsidRDefault="002E2F38" w:rsidP="00DB24B0">
            <w:pPr>
              <w:rPr>
                <w:sz w:val="18"/>
                <w:szCs w:val="18"/>
              </w:rPr>
            </w:pPr>
            <w:r w:rsidRPr="00800D22">
              <w:rPr>
                <w:sz w:val="18"/>
                <w:szCs w:val="18"/>
              </w:rPr>
              <w:t xml:space="preserve">101.86 </w:t>
            </w:r>
          </w:p>
        </w:tc>
      </w:tr>
      <w:tr w:rsidR="002E2F38" w:rsidRPr="00800D22" w14:paraId="17562C4B" w14:textId="77777777" w:rsidTr="00DB24B0">
        <w:tc>
          <w:tcPr>
            <w:tcW w:w="1074" w:type="pct"/>
            <w:vAlign w:val="center"/>
          </w:tcPr>
          <w:p w14:paraId="27A3E8D9"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印度尼西亚</w:t>
            </w:r>
          </w:p>
        </w:tc>
        <w:tc>
          <w:tcPr>
            <w:tcW w:w="674" w:type="pct"/>
            <w:vAlign w:val="center"/>
          </w:tcPr>
          <w:p w14:paraId="562895D0" w14:textId="77777777" w:rsidR="002E2F38" w:rsidRPr="00800D22" w:rsidRDefault="002E2F38" w:rsidP="00DB24B0">
            <w:pPr>
              <w:rPr>
                <w:sz w:val="18"/>
                <w:szCs w:val="18"/>
              </w:rPr>
            </w:pPr>
            <w:r w:rsidRPr="00800D22">
              <w:rPr>
                <w:sz w:val="18"/>
                <w:szCs w:val="18"/>
              </w:rPr>
              <w:t xml:space="preserve">65.69 </w:t>
            </w:r>
          </w:p>
        </w:tc>
        <w:tc>
          <w:tcPr>
            <w:tcW w:w="639" w:type="pct"/>
            <w:vAlign w:val="center"/>
          </w:tcPr>
          <w:p w14:paraId="6E082341" w14:textId="77777777" w:rsidR="002E2F38" w:rsidRPr="00800D22" w:rsidRDefault="002E2F38" w:rsidP="00DB24B0">
            <w:pPr>
              <w:rPr>
                <w:sz w:val="18"/>
                <w:szCs w:val="18"/>
              </w:rPr>
            </w:pPr>
            <w:r w:rsidRPr="00800D22">
              <w:rPr>
                <w:sz w:val="18"/>
                <w:szCs w:val="18"/>
              </w:rPr>
              <w:t xml:space="preserve">61.10 </w:t>
            </w:r>
          </w:p>
        </w:tc>
        <w:tc>
          <w:tcPr>
            <w:tcW w:w="593" w:type="pct"/>
            <w:vAlign w:val="center"/>
          </w:tcPr>
          <w:p w14:paraId="493D5485" w14:textId="77777777" w:rsidR="002E2F38" w:rsidRPr="00800D22" w:rsidRDefault="002E2F38" w:rsidP="00DB24B0">
            <w:pPr>
              <w:rPr>
                <w:sz w:val="18"/>
                <w:szCs w:val="18"/>
              </w:rPr>
            </w:pPr>
            <w:r w:rsidRPr="00800D22">
              <w:rPr>
                <w:sz w:val="18"/>
                <w:szCs w:val="18"/>
              </w:rPr>
              <w:t xml:space="preserve">53.58 </w:t>
            </w:r>
          </w:p>
        </w:tc>
        <w:tc>
          <w:tcPr>
            <w:tcW w:w="674" w:type="pct"/>
            <w:vAlign w:val="center"/>
          </w:tcPr>
          <w:p w14:paraId="50E05F56" w14:textId="77777777" w:rsidR="002E2F38" w:rsidRPr="00800D22" w:rsidRDefault="002E2F38" w:rsidP="00DB24B0">
            <w:pPr>
              <w:rPr>
                <w:sz w:val="18"/>
                <w:szCs w:val="18"/>
              </w:rPr>
            </w:pPr>
            <w:r w:rsidRPr="00800D22">
              <w:rPr>
                <w:sz w:val="18"/>
                <w:szCs w:val="18"/>
              </w:rPr>
              <w:t xml:space="preserve">77.21 </w:t>
            </w:r>
          </w:p>
        </w:tc>
        <w:tc>
          <w:tcPr>
            <w:tcW w:w="674" w:type="pct"/>
            <w:vAlign w:val="center"/>
          </w:tcPr>
          <w:p w14:paraId="4AB64B18" w14:textId="77777777" w:rsidR="002E2F38" w:rsidRPr="00800D22" w:rsidRDefault="002E2F38" w:rsidP="00DB24B0">
            <w:pPr>
              <w:rPr>
                <w:sz w:val="18"/>
                <w:szCs w:val="18"/>
              </w:rPr>
            </w:pPr>
            <w:r w:rsidRPr="00800D22">
              <w:rPr>
                <w:sz w:val="18"/>
                <w:szCs w:val="18"/>
              </w:rPr>
              <w:t xml:space="preserve">85.58 </w:t>
            </w:r>
          </w:p>
        </w:tc>
        <w:tc>
          <w:tcPr>
            <w:tcW w:w="672" w:type="pct"/>
            <w:vAlign w:val="center"/>
          </w:tcPr>
          <w:p w14:paraId="4E6BC44A" w14:textId="77777777" w:rsidR="002E2F38" w:rsidRPr="00800D22" w:rsidRDefault="002E2F38" w:rsidP="00DB24B0">
            <w:pPr>
              <w:rPr>
                <w:sz w:val="18"/>
                <w:szCs w:val="18"/>
              </w:rPr>
            </w:pPr>
            <w:r w:rsidRPr="00800D22">
              <w:rPr>
                <w:sz w:val="18"/>
                <w:szCs w:val="18"/>
              </w:rPr>
              <w:t xml:space="preserve">69.78 </w:t>
            </w:r>
          </w:p>
        </w:tc>
      </w:tr>
      <w:tr w:rsidR="002E2F38" w:rsidRPr="00800D22" w14:paraId="122B9E5B" w14:textId="77777777" w:rsidTr="00DB24B0">
        <w:tc>
          <w:tcPr>
            <w:tcW w:w="1074" w:type="pct"/>
            <w:vAlign w:val="center"/>
          </w:tcPr>
          <w:p w14:paraId="5FEDF1D1" w14:textId="77777777" w:rsidR="002E2F38" w:rsidRPr="00800D22" w:rsidRDefault="002E2F38" w:rsidP="00DB24B0">
            <w:pPr>
              <w:pStyle w:val="af2"/>
              <w:spacing w:before="0" w:beforeAutospacing="0" w:after="0" w:afterAutospacing="0"/>
              <w:jc w:val="both"/>
              <w:rPr>
                <w:rStyle w:val="af6"/>
                <w:rFonts w:ascii="Times New Roman" w:hAnsi="Times New Roman" w:cs="Times New Roman"/>
                <w:b w:val="0"/>
                <w:sz w:val="18"/>
                <w:szCs w:val="18"/>
              </w:rPr>
            </w:pPr>
            <w:r w:rsidRPr="00800D22">
              <w:rPr>
                <w:rStyle w:val="af6"/>
                <w:rFonts w:ascii="Times New Roman" w:hAnsi="Times New Roman" w:cs="Times New Roman"/>
                <w:b w:val="0"/>
                <w:sz w:val="18"/>
                <w:szCs w:val="18"/>
              </w:rPr>
              <w:t>中国香港</w:t>
            </w:r>
          </w:p>
        </w:tc>
        <w:tc>
          <w:tcPr>
            <w:tcW w:w="674" w:type="pct"/>
            <w:vAlign w:val="center"/>
          </w:tcPr>
          <w:p w14:paraId="4662BE16" w14:textId="77777777" w:rsidR="002E2F38" w:rsidRPr="00800D22" w:rsidRDefault="002E2F38" w:rsidP="00DB24B0">
            <w:pPr>
              <w:rPr>
                <w:sz w:val="18"/>
                <w:szCs w:val="18"/>
              </w:rPr>
            </w:pPr>
            <w:r w:rsidRPr="00800D22">
              <w:rPr>
                <w:sz w:val="18"/>
                <w:szCs w:val="18"/>
              </w:rPr>
              <w:t xml:space="preserve">46.20 </w:t>
            </w:r>
          </w:p>
        </w:tc>
        <w:tc>
          <w:tcPr>
            <w:tcW w:w="639" w:type="pct"/>
            <w:vAlign w:val="center"/>
          </w:tcPr>
          <w:p w14:paraId="55231FB1" w14:textId="77777777" w:rsidR="002E2F38" w:rsidRPr="00800D22" w:rsidRDefault="002E2F38" w:rsidP="00DB24B0">
            <w:pPr>
              <w:rPr>
                <w:sz w:val="18"/>
                <w:szCs w:val="18"/>
              </w:rPr>
            </w:pPr>
            <w:r w:rsidRPr="00800D22">
              <w:rPr>
                <w:sz w:val="18"/>
                <w:szCs w:val="18"/>
              </w:rPr>
              <w:t xml:space="preserve">48.07 </w:t>
            </w:r>
          </w:p>
        </w:tc>
        <w:tc>
          <w:tcPr>
            <w:tcW w:w="593" w:type="pct"/>
            <w:vAlign w:val="center"/>
          </w:tcPr>
          <w:p w14:paraId="3F83B100" w14:textId="77777777" w:rsidR="002E2F38" w:rsidRPr="00800D22" w:rsidRDefault="002E2F38" w:rsidP="00DB24B0">
            <w:pPr>
              <w:rPr>
                <w:sz w:val="18"/>
                <w:szCs w:val="18"/>
              </w:rPr>
            </w:pPr>
            <w:r w:rsidRPr="00800D22">
              <w:rPr>
                <w:sz w:val="18"/>
                <w:szCs w:val="18"/>
              </w:rPr>
              <w:t xml:space="preserve">49.82 </w:t>
            </w:r>
          </w:p>
        </w:tc>
        <w:tc>
          <w:tcPr>
            <w:tcW w:w="674" w:type="pct"/>
            <w:vAlign w:val="center"/>
          </w:tcPr>
          <w:p w14:paraId="3A2A35D3" w14:textId="77777777" w:rsidR="002E2F38" w:rsidRPr="00800D22" w:rsidRDefault="002E2F38" w:rsidP="00DB24B0">
            <w:pPr>
              <w:rPr>
                <w:sz w:val="18"/>
                <w:szCs w:val="18"/>
              </w:rPr>
            </w:pPr>
            <w:r w:rsidRPr="00800D22">
              <w:rPr>
                <w:sz w:val="18"/>
                <w:szCs w:val="18"/>
              </w:rPr>
              <w:t xml:space="preserve">50.96 </w:t>
            </w:r>
          </w:p>
        </w:tc>
        <w:tc>
          <w:tcPr>
            <w:tcW w:w="674" w:type="pct"/>
            <w:vAlign w:val="center"/>
          </w:tcPr>
          <w:p w14:paraId="005FBDEB" w14:textId="77777777" w:rsidR="002E2F38" w:rsidRPr="00800D22" w:rsidRDefault="002E2F38" w:rsidP="00DB24B0">
            <w:pPr>
              <w:rPr>
                <w:sz w:val="18"/>
                <w:szCs w:val="18"/>
              </w:rPr>
            </w:pPr>
            <w:r w:rsidRPr="00800D22">
              <w:rPr>
                <w:sz w:val="18"/>
                <w:szCs w:val="18"/>
              </w:rPr>
              <w:t xml:space="preserve">51.39 </w:t>
            </w:r>
          </w:p>
        </w:tc>
        <w:tc>
          <w:tcPr>
            <w:tcW w:w="672" w:type="pct"/>
            <w:vAlign w:val="center"/>
          </w:tcPr>
          <w:p w14:paraId="740580D0" w14:textId="77777777" w:rsidR="002E2F38" w:rsidRPr="00800D22" w:rsidRDefault="002E2F38" w:rsidP="00DB24B0">
            <w:pPr>
              <w:rPr>
                <w:sz w:val="18"/>
                <w:szCs w:val="18"/>
              </w:rPr>
            </w:pPr>
            <w:r w:rsidRPr="00800D22">
              <w:rPr>
                <w:sz w:val="18"/>
                <w:szCs w:val="18"/>
              </w:rPr>
              <w:t xml:space="preserve">50.23 </w:t>
            </w:r>
          </w:p>
        </w:tc>
      </w:tr>
    </w:tbl>
    <w:p w14:paraId="2E66D569" w14:textId="77777777" w:rsidR="002E2F38" w:rsidRPr="00800D22" w:rsidRDefault="002E2F38" w:rsidP="002E2F38">
      <w:pPr>
        <w:spacing w:afterLines="50" w:after="156"/>
        <w:rPr>
          <w:rFonts w:hint="eastAsia"/>
          <w:sz w:val="18"/>
          <w:szCs w:val="18"/>
        </w:rPr>
      </w:pPr>
      <w:r w:rsidRPr="00800D22">
        <w:rPr>
          <w:rStyle w:val="af6"/>
          <w:b w:val="0"/>
          <w:bCs w:val="0"/>
          <w:sz w:val="18"/>
          <w:szCs w:val="18"/>
        </w:rPr>
        <w:t>数据来源：</w:t>
      </w:r>
      <w:r w:rsidRPr="00800D22">
        <w:rPr>
          <w:rStyle w:val="af6"/>
          <w:b w:val="0"/>
          <w:bCs w:val="0"/>
          <w:sz w:val="18"/>
          <w:szCs w:val="18"/>
        </w:rPr>
        <w:t>The Bank for International Settlements</w:t>
      </w:r>
    </w:p>
    <w:p w14:paraId="3A15FA82" w14:textId="2874E6E4" w:rsidR="002E2F38" w:rsidRPr="00800D22" w:rsidRDefault="002E2F38" w:rsidP="002E2F38">
      <w:pPr>
        <w:pStyle w:val="3"/>
        <w:adjustRightInd w:val="0"/>
        <w:spacing w:beforeLines="100" w:before="312" w:afterLines="50" w:after="156" w:line="440" w:lineRule="exact"/>
        <w:jc w:val="left"/>
        <w:rPr>
          <w:rFonts w:ascii="黑体" w:eastAsia="黑体" w:hint="eastAsia"/>
          <w:b/>
          <w:sz w:val="28"/>
          <w:szCs w:val="28"/>
        </w:rPr>
      </w:pPr>
      <w:bookmarkStart w:id="14" w:name="_Toc238267519"/>
      <w:bookmarkStart w:id="15" w:name="_Toc238270162"/>
      <w:bookmarkStart w:id="16" w:name="_Toc238701455"/>
      <w:bookmarkStart w:id="17" w:name="_Toc239689228"/>
      <w:bookmarkStart w:id="18" w:name="_Toc247869847"/>
      <w:bookmarkStart w:id="19" w:name="_Toc256506282"/>
      <w:r>
        <w:rPr>
          <w:rFonts w:ascii="黑体" w:eastAsia="黑体" w:hint="eastAsia"/>
          <w:b/>
          <w:sz w:val="28"/>
          <w:szCs w:val="28"/>
        </w:rPr>
        <w:t>二、</w:t>
      </w:r>
      <w:r w:rsidRPr="00800D22">
        <w:rPr>
          <w:rFonts w:ascii="黑体" w:eastAsia="黑体"/>
          <w:b/>
          <w:sz w:val="28"/>
          <w:szCs w:val="28"/>
        </w:rPr>
        <w:t>法律制度环境</w:t>
      </w:r>
      <w:bookmarkEnd w:id="14"/>
      <w:bookmarkEnd w:id="15"/>
      <w:bookmarkEnd w:id="16"/>
      <w:bookmarkEnd w:id="17"/>
      <w:bookmarkEnd w:id="18"/>
      <w:bookmarkEnd w:id="19"/>
    </w:p>
    <w:p w14:paraId="78380D23" w14:textId="5B559BC0" w:rsidR="002E2F38" w:rsidRPr="00800D22" w:rsidRDefault="002E2F38" w:rsidP="002E2F38">
      <w:pPr>
        <w:spacing w:line="440" w:lineRule="exact"/>
        <w:ind w:firstLineChars="200" w:firstLine="480"/>
        <w:outlineLvl w:val="3"/>
        <w:rPr>
          <w:rFonts w:ascii="黑体" w:eastAsia="黑体" w:hAnsi="宋体" w:hint="eastAsia"/>
          <w:sz w:val="24"/>
        </w:rPr>
      </w:pPr>
      <w:r>
        <w:rPr>
          <w:rFonts w:ascii="黑体" w:eastAsia="黑体" w:hAnsi="宋体" w:hint="eastAsia"/>
          <w:sz w:val="24"/>
        </w:rPr>
        <w:t>1.</w:t>
      </w:r>
      <w:r w:rsidRPr="00800D22">
        <w:rPr>
          <w:rFonts w:ascii="黑体" w:eastAsia="黑体" w:hAnsi="宋体" w:hint="eastAsia"/>
          <w:sz w:val="24"/>
        </w:rPr>
        <w:t>证券市场法律制度环境</w:t>
      </w:r>
      <w:r w:rsidRPr="00800D22">
        <w:rPr>
          <w:rStyle w:val="af5"/>
          <w:bCs/>
          <w:sz w:val="24"/>
        </w:rPr>
        <w:footnoteReference w:id="1"/>
      </w:r>
    </w:p>
    <w:p w14:paraId="195CF599" w14:textId="77777777" w:rsidR="002E2F38" w:rsidRPr="00800D22" w:rsidRDefault="002E2F38" w:rsidP="002E2F38">
      <w:pPr>
        <w:autoSpaceDE w:val="0"/>
        <w:autoSpaceDN w:val="0"/>
        <w:spacing w:line="440" w:lineRule="exact"/>
        <w:ind w:firstLineChars="200" w:firstLine="480"/>
        <w:jc w:val="left"/>
        <w:rPr>
          <w:rStyle w:val="af6"/>
          <w:b w:val="0"/>
          <w:sz w:val="24"/>
        </w:rPr>
      </w:pPr>
      <w:r w:rsidRPr="00800D22">
        <w:rPr>
          <w:rStyle w:val="af6"/>
          <w:b w:val="0"/>
          <w:sz w:val="24"/>
        </w:rPr>
        <w:t>韩国债券市场的快速发展得益于其完善的法律体系的支撑。韩国债券市场的相关法律体系可以分为法律、法规</w:t>
      </w:r>
      <w:r w:rsidRPr="00800D22">
        <w:rPr>
          <w:rStyle w:val="af6"/>
          <w:rFonts w:hint="eastAsia"/>
          <w:b w:val="0"/>
          <w:sz w:val="24"/>
        </w:rPr>
        <w:t>和</w:t>
      </w:r>
      <w:r w:rsidRPr="00800D22">
        <w:rPr>
          <w:rStyle w:val="af6"/>
          <w:b w:val="0"/>
          <w:sz w:val="24"/>
        </w:rPr>
        <w:t>自律规范三个层次。《韩国商法》</w:t>
      </w:r>
      <w:r w:rsidRPr="00800D22">
        <w:rPr>
          <w:rStyle w:val="af6"/>
          <w:rFonts w:hint="eastAsia"/>
          <w:b w:val="0"/>
          <w:sz w:val="24"/>
        </w:rPr>
        <w:t>（</w:t>
      </w:r>
      <w:r w:rsidRPr="00800D22">
        <w:rPr>
          <w:rStyle w:val="af6"/>
          <w:rFonts w:hint="eastAsia"/>
          <w:b w:val="0"/>
          <w:sz w:val="24"/>
        </w:rPr>
        <w:t>2001</w:t>
      </w:r>
      <w:r w:rsidRPr="00800D22">
        <w:rPr>
          <w:rStyle w:val="af6"/>
          <w:rFonts w:hint="eastAsia"/>
          <w:b w:val="0"/>
          <w:sz w:val="24"/>
        </w:rPr>
        <w:lastRenderedPageBreak/>
        <w:t>年生效）</w:t>
      </w:r>
      <w:r w:rsidRPr="00800D22">
        <w:rPr>
          <w:rStyle w:val="af6"/>
          <w:b w:val="0"/>
          <w:sz w:val="24"/>
        </w:rPr>
        <w:t>、《公司法》</w:t>
      </w:r>
      <w:r w:rsidRPr="00800D22">
        <w:rPr>
          <w:rStyle w:val="af6"/>
          <w:rFonts w:hint="eastAsia"/>
          <w:b w:val="0"/>
          <w:sz w:val="24"/>
        </w:rPr>
        <w:t>（</w:t>
      </w:r>
      <w:r w:rsidRPr="00800D22">
        <w:rPr>
          <w:rStyle w:val="af6"/>
          <w:rFonts w:hint="eastAsia"/>
          <w:b w:val="0"/>
          <w:sz w:val="24"/>
        </w:rPr>
        <w:t>2006</w:t>
      </w:r>
      <w:r w:rsidRPr="00800D22">
        <w:rPr>
          <w:rStyle w:val="af6"/>
          <w:rFonts w:hint="eastAsia"/>
          <w:b w:val="0"/>
          <w:sz w:val="24"/>
        </w:rPr>
        <w:t>年生效）和</w:t>
      </w:r>
      <w:r w:rsidRPr="00800D22">
        <w:rPr>
          <w:rStyle w:val="af6"/>
          <w:b w:val="0"/>
          <w:sz w:val="24"/>
        </w:rPr>
        <w:t>《证券交易法》</w:t>
      </w:r>
      <w:r w:rsidRPr="00800D22">
        <w:rPr>
          <w:rStyle w:val="af6"/>
          <w:rFonts w:hint="eastAsia"/>
          <w:b w:val="0"/>
          <w:sz w:val="24"/>
        </w:rPr>
        <w:t>（</w:t>
      </w:r>
      <w:r w:rsidRPr="00800D22">
        <w:rPr>
          <w:rStyle w:val="af6"/>
          <w:rFonts w:hint="eastAsia"/>
          <w:b w:val="0"/>
          <w:sz w:val="24"/>
        </w:rPr>
        <w:t>1999</w:t>
      </w:r>
      <w:r w:rsidRPr="00800D22">
        <w:rPr>
          <w:rStyle w:val="af6"/>
          <w:rFonts w:hint="eastAsia"/>
          <w:b w:val="0"/>
          <w:sz w:val="24"/>
        </w:rPr>
        <w:t>年生效）</w:t>
      </w:r>
      <w:r w:rsidRPr="00800D22">
        <w:rPr>
          <w:rStyle w:val="af6"/>
          <w:b w:val="0"/>
          <w:sz w:val="24"/>
        </w:rPr>
        <w:t>等相关法律、法规为韩国包括债券在内的证券发行与交易提供了法律保障。</w:t>
      </w:r>
    </w:p>
    <w:p w14:paraId="1E46A80E" w14:textId="77777777" w:rsidR="002E2F38" w:rsidRPr="00800D22" w:rsidRDefault="002E2F38" w:rsidP="002E2F38">
      <w:pPr>
        <w:autoSpaceDE w:val="0"/>
        <w:autoSpaceDN w:val="0"/>
        <w:spacing w:line="440" w:lineRule="exact"/>
        <w:ind w:firstLineChars="200" w:firstLine="480"/>
        <w:rPr>
          <w:rStyle w:val="af6"/>
          <w:b w:val="0"/>
          <w:sz w:val="24"/>
        </w:rPr>
      </w:pPr>
      <w:r w:rsidRPr="00800D22">
        <w:rPr>
          <w:rStyle w:val="af6"/>
          <w:b w:val="0"/>
          <w:sz w:val="24"/>
        </w:rPr>
        <w:t>制度框架方面，韩国证券市场的监管机构可分为两类，即政府监管机构和自律监督机构：政府监管机构主要为</w:t>
      </w:r>
      <w:r w:rsidRPr="00800D22">
        <w:rPr>
          <w:rStyle w:val="af6"/>
          <w:rFonts w:hint="eastAsia"/>
          <w:b w:val="0"/>
          <w:sz w:val="24"/>
        </w:rPr>
        <w:t>财政经济部（</w:t>
      </w:r>
      <w:r w:rsidRPr="00800D22">
        <w:rPr>
          <w:rStyle w:val="af6"/>
          <w:rFonts w:hint="eastAsia"/>
          <w:b w:val="0"/>
          <w:sz w:val="24"/>
        </w:rPr>
        <w:t>MOFE</w:t>
      </w:r>
      <w:r w:rsidRPr="00800D22">
        <w:rPr>
          <w:rStyle w:val="af6"/>
          <w:rFonts w:hint="eastAsia"/>
          <w:b w:val="0"/>
          <w:sz w:val="24"/>
        </w:rPr>
        <w:t>）</w:t>
      </w:r>
      <w:r w:rsidRPr="00800D22">
        <w:rPr>
          <w:rStyle w:val="af6"/>
          <w:b w:val="0"/>
          <w:sz w:val="24"/>
        </w:rPr>
        <w:t>的金融监督委员会（</w:t>
      </w:r>
      <w:r w:rsidRPr="00800D22">
        <w:rPr>
          <w:rStyle w:val="af6"/>
          <w:b w:val="0"/>
          <w:sz w:val="24"/>
        </w:rPr>
        <w:t>FSC</w:t>
      </w:r>
      <w:r w:rsidRPr="00800D22">
        <w:rPr>
          <w:rStyle w:val="af6"/>
          <w:b w:val="0"/>
          <w:sz w:val="24"/>
        </w:rPr>
        <w:t>）、证券期货委员会（</w:t>
      </w:r>
      <w:r w:rsidRPr="00800D22">
        <w:rPr>
          <w:rStyle w:val="af6"/>
          <w:b w:val="0"/>
          <w:sz w:val="24"/>
        </w:rPr>
        <w:t>SFC</w:t>
      </w:r>
      <w:r w:rsidRPr="00800D22">
        <w:rPr>
          <w:rStyle w:val="af6"/>
          <w:b w:val="0"/>
          <w:sz w:val="24"/>
        </w:rPr>
        <w:t>）以及金融监督院（</w:t>
      </w:r>
      <w:r w:rsidRPr="00800D22">
        <w:rPr>
          <w:rStyle w:val="af6"/>
          <w:b w:val="0"/>
          <w:sz w:val="24"/>
        </w:rPr>
        <w:t>FSS</w:t>
      </w:r>
      <w:r w:rsidRPr="00800D22">
        <w:rPr>
          <w:rStyle w:val="af6"/>
          <w:b w:val="0"/>
          <w:sz w:val="24"/>
        </w:rPr>
        <w:t>）；自律监督机构主要为韩国证券商协会（</w:t>
      </w:r>
      <w:r w:rsidRPr="00800D22">
        <w:rPr>
          <w:rStyle w:val="af6"/>
          <w:b w:val="0"/>
          <w:sz w:val="24"/>
        </w:rPr>
        <w:t>KSDA</w:t>
      </w:r>
      <w:r w:rsidRPr="00800D22">
        <w:rPr>
          <w:rStyle w:val="af6"/>
          <w:b w:val="0"/>
          <w:sz w:val="24"/>
        </w:rPr>
        <w:t>）和韩国证券期货交易所（</w:t>
      </w:r>
      <w:r w:rsidRPr="00800D22">
        <w:rPr>
          <w:rStyle w:val="af6"/>
          <w:b w:val="0"/>
          <w:sz w:val="24"/>
        </w:rPr>
        <w:t>KRX</w:t>
      </w:r>
      <w:r w:rsidRPr="00800D22">
        <w:rPr>
          <w:rStyle w:val="af6"/>
          <w:b w:val="0"/>
          <w:sz w:val="24"/>
        </w:rPr>
        <w:t>）。除证券监管机构外，韩国证券市场还有韩国证券托管机构（</w:t>
      </w:r>
      <w:r w:rsidRPr="00800D22">
        <w:rPr>
          <w:rStyle w:val="af6"/>
          <w:b w:val="0"/>
          <w:sz w:val="24"/>
        </w:rPr>
        <w:t>KSD</w:t>
      </w:r>
      <w:r w:rsidRPr="00800D22">
        <w:rPr>
          <w:rStyle w:val="af6"/>
          <w:b w:val="0"/>
          <w:sz w:val="24"/>
        </w:rPr>
        <w:t>）等其他证券相关机构。</w:t>
      </w:r>
    </w:p>
    <w:p w14:paraId="17A9E0C7" w14:textId="77777777" w:rsidR="002E2F38" w:rsidRPr="00800D22" w:rsidRDefault="002E2F38" w:rsidP="002E2F38">
      <w:pPr>
        <w:autoSpaceDE w:val="0"/>
        <w:autoSpaceDN w:val="0"/>
        <w:spacing w:line="440" w:lineRule="exact"/>
        <w:ind w:firstLineChars="200" w:firstLine="480"/>
        <w:rPr>
          <w:rStyle w:val="af6"/>
          <w:b w:val="0"/>
          <w:sz w:val="24"/>
        </w:rPr>
      </w:pPr>
      <w:r w:rsidRPr="00800D22">
        <w:rPr>
          <w:rStyle w:val="af6"/>
          <w:b w:val="0"/>
          <w:sz w:val="24"/>
        </w:rPr>
        <w:t>韩国财政经济部是主管韩国全国经济</w:t>
      </w:r>
      <w:r w:rsidRPr="00800D22">
        <w:rPr>
          <w:rStyle w:val="af6"/>
          <w:rFonts w:hint="eastAsia"/>
          <w:b w:val="0"/>
          <w:sz w:val="24"/>
        </w:rPr>
        <w:t>和</w:t>
      </w:r>
      <w:r w:rsidRPr="00800D22">
        <w:rPr>
          <w:rStyle w:val="af6"/>
          <w:b w:val="0"/>
          <w:sz w:val="24"/>
        </w:rPr>
        <w:t>金融事务的中央级部门，负责制定证券交易法及相关规章。为了执行金融业以及证券期货市场的具体管理职责，在财政经济部之下又设立了</w:t>
      </w:r>
      <w:r w:rsidRPr="00800D22">
        <w:rPr>
          <w:rStyle w:val="af6"/>
          <w:b w:val="0"/>
          <w:sz w:val="24"/>
        </w:rPr>
        <w:t>“</w:t>
      </w:r>
      <w:r w:rsidRPr="00800D22">
        <w:rPr>
          <w:rStyle w:val="af6"/>
          <w:b w:val="0"/>
          <w:sz w:val="24"/>
        </w:rPr>
        <w:t>金融监督管理委员会</w:t>
      </w:r>
      <w:r w:rsidRPr="00800D22">
        <w:rPr>
          <w:rStyle w:val="af6"/>
          <w:b w:val="0"/>
          <w:sz w:val="24"/>
        </w:rPr>
        <w:t>”</w:t>
      </w:r>
      <w:r w:rsidRPr="00800D22">
        <w:rPr>
          <w:rStyle w:val="af6"/>
          <w:b w:val="0"/>
          <w:sz w:val="24"/>
        </w:rPr>
        <w:t>、</w:t>
      </w:r>
      <w:r w:rsidRPr="00800D22">
        <w:rPr>
          <w:rStyle w:val="af6"/>
          <w:b w:val="0"/>
          <w:sz w:val="24"/>
        </w:rPr>
        <w:t>“</w:t>
      </w:r>
      <w:r w:rsidRPr="00800D22">
        <w:rPr>
          <w:rStyle w:val="af6"/>
          <w:b w:val="0"/>
          <w:sz w:val="24"/>
        </w:rPr>
        <w:t>证券期货委员会</w:t>
      </w:r>
      <w:r w:rsidRPr="00800D22">
        <w:rPr>
          <w:rStyle w:val="af6"/>
          <w:b w:val="0"/>
          <w:sz w:val="24"/>
        </w:rPr>
        <w:t>”</w:t>
      </w:r>
      <w:r w:rsidRPr="00800D22">
        <w:rPr>
          <w:rStyle w:val="af6"/>
          <w:b w:val="0"/>
          <w:sz w:val="24"/>
        </w:rPr>
        <w:t>以及</w:t>
      </w:r>
      <w:r w:rsidRPr="00800D22">
        <w:rPr>
          <w:rStyle w:val="af6"/>
          <w:b w:val="0"/>
          <w:sz w:val="24"/>
        </w:rPr>
        <w:t>“</w:t>
      </w:r>
      <w:r w:rsidRPr="00800D22">
        <w:rPr>
          <w:rStyle w:val="af6"/>
          <w:b w:val="0"/>
          <w:sz w:val="24"/>
        </w:rPr>
        <w:t>金融监督院</w:t>
      </w:r>
      <w:r w:rsidRPr="00800D22">
        <w:rPr>
          <w:rStyle w:val="af6"/>
          <w:b w:val="0"/>
          <w:sz w:val="24"/>
        </w:rPr>
        <w:t>”</w:t>
      </w:r>
      <w:r w:rsidRPr="00800D22">
        <w:rPr>
          <w:rStyle w:val="af6"/>
          <w:b w:val="0"/>
          <w:sz w:val="24"/>
        </w:rPr>
        <w:t>等管理机构。金融监督委员会是证券、银行、保险和信托基金的统一监管者，韩国所有金融机构都要接受</w:t>
      </w:r>
      <w:proofErr w:type="gramStart"/>
      <w:r w:rsidRPr="00800D22">
        <w:rPr>
          <w:rStyle w:val="af6"/>
          <w:b w:val="0"/>
          <w:sz w:val="24"/>
        </w:rPr>
        <w:t>金金融</w:t>
      </w:r>
      <w:proofErr w:type="gramEnd"/>
      <w:r w:rsidRPr="00800D22">
        <w:rPr>
          <w:rStyle w:val="af6"/>
          <w:b w:val="0"/>
          <w:sz w:val="24"/>
        </w:rPr>
        <w:t>监督委员会的监管。金融监督委员会的职责主要是：制定和修改监管规则、规范交易行为和监管金融机构的运行等。</w:t>
      </w:r>
    </w:p>
    <w:p w14:paraId="6B20F4E7" w14:textId="77777777" w:rsidR="002E2F38" w:rsidRPr="00800D22" w:rsidRDefault="002E2F38" w:rsidP="002E2F38">
      <w:pPr>
        <w:autoSpaceDE w:val="0"/>
        <w:autoSpaceDN w:val="0"/>
        <w:spacing w:line="440" w:lineRule="exact"/>
        <w:ind w:firstLineChars="200" w:firstLine="480"/>
        <w:jc w:val="left"/>
        <w:rPr>
          <w:rStyle w:val="af6"/>
          <w:rFonts w:hint="eastAsia"/>
          <w:b w:val="0"/>
          <w:sz w:val="24"/>
        </w:rPr>
      </w:pPr>
      <w:r w:rsidRPr="00800D22">
        <w:rPr>
          <w:rStyle w:val="af6"/>
          <w:b w:val="0"/>
          <w:sz w:val="24"/>
        </w:rPr>
        <w:t>韩国还有一些行业自律监督机构。韩国证券商协会是一个具有较高权威和很大影响力的证券业自律监管组织，它的主要职能是促进韩国证券行业的自律性监管，管理</w:t>
      </w:r>
      <w:r w:rsidRPr="00800D22">
        <w:rPr>
          <w:rStyle w:val="af6"/>
          <w:b w:val="0"/>
          <w:sz w:val="24"/>
        </w:rPr>
        <w:t>KOSDAQ</w:t>
      </w:r>
      <w:r w:rsidRPr="00800D22">
        <w:rPr>
          <w:rStyle w:val="af6"/>
          <w:b w:val="0"/>
          <w:sz w:val="24"/>
        </w:rPr>
        <w:t>市场、</w:t>
      </w:r>
      <w:r w:rsidRPr="00800D22">
        <w:rPr>
          <w:rStyle w:val="af6"/>
          <w:b w:val="0"/>
          <w:sz w:val="24"/>
        </w:rPr>
        <w:t>OTC</w:t>
      </w:r>
      <w:r w:rsidRPr="00800D22">
        <w:rPr>
          <w:rStyle w:val="af6"/>
          <w:b w:val="0"/>
          <w:sz w:val="24"/>
        </w:rPr>
        <w:t>债券市场和</w:t>
      </w:r>
      <w:r w:rsidRPr="00800D22">
        <w:rPr>
          <w:rStyle w:val="af6"/>
          <w:b w:val="0"/>
          <w:sz w:val="24"/>
        </w:rPr>
        <w:t>OTC</w:t>
      </w:r>
      <w:r w:rsidRPr="00800D22">
        <w:rPr>
          <w:rStyle w:val="af6"/>
          <w:b w:val="0"/>
          <w:sz w:val="24"/>
        </w:rPr>
        <w:t>公告委员会。</w:t>
      </w:r>
      <w:r w:rsidRPr="00800D22">
        <w:rPr>
          <w:rStyle w:val="af6"/>
          <w:b w:val="0"/>
          <w:sz w:val="24"/>
        </w:rPr>
        <w:t>KSDA</w:t>
      </w:r>
      <w:r w:rsidRPr="00800D22">
        <w:rPr>
          <w:rStyle w:val="af6"/>
          <w:b w:val="0"/>
          <w:sz w:val="24"/>
        </w:rPr>
        <w:t>协会条款主要包含四个目标：（</w:t>
      </w:r>
      <w:r w:rsidRPr="00800D22">
        <w:rPr>
          <w:rStyle w:val="af6"/>
          <w:b w:val="0"/>
          <w:sz w:val="24"/>
        </w:rPr>
        <w:t>1</w:t>
      </w:r>
      <w:r w:rsidRPr="00800D22">
        <w:rPr>
          <w:rStyle w:val="af6"/>
          <w:b w:val="0"/>
          <w:sz w:val="24"/>
        </w:rPr>
        <w:t>）保护投资者利益；（</w:t>
      </w:r>
      <w:r w:rsidRPr="00800D22">
        <w:rPr>
          <w:rStyle w:val="af6"/>
          <w:b w:val="0"/>
          <w:sz w:val="24"/>
        </w:rPr>
        <w:t>2</w:t>
      </w:r>
      <w:r w:rsidRPr="00800D22">
        <w:rPr>
          <w:rStyle w:val="af6"/>
          <w:b w:val="0"/>
          <w:sz w:val="24"/>
        </w:rPr>
        <w:t>）维护成员间公平的商业活动；（</w:t>
      </w:r>
      <w:r w:rsidRPr="00800D22">
        <w:rPr>
          <w:rStyle w:val="af6"/>
          <w:b w:val="0"/>
          <w:sz w:val="24"/>
        </w:rPr>
        <w:t>3</w:t>
      </w:r>
      <w:r w:rsidRPr="00800D22">
        <w:rPr>
          <w:rStyle w:val="af6"/>
          <w:b w:val="0"/>
          <w:sz w:val="24"/>
        </w:rPr>
        <w:t>）确保公平的证券交易；（</w:t>
      </w:r>
      <w:r w:rsidRPr="00800D22">
        <w:rPr>
          <w:rStyle w:val="af6"/>
          <w:b w:val="0"/>
          <w:sz w:val="24"/>
        </w:rPr>
        <w:t>4</w:t>
      </w:r>
      <w:r w:rsidRPr="00800D22">
        <w:rPr>
          <w:rStyle w:val="af6"/>
          <w:b w:val="0"/>
          <w:sz w:val="24"/>
        </w:rPr>
        <w:t>）推动证券市场的健康发展。韩国证券交易所和韩国期货交易所则通过制定一些交易规则来进行交易所监管，包括对结算会员的结算要求、保证金制度、涨跌停板以及持仓管理等。</w:t>
      </w:r>
    </w:p>
    <w:p w14:paraId="6A602E1D" w14:textId="7C8CDD98" w:rsidR="002E2F38" w:rsidRPr="00800D22" w:rsidRDefault="002E2F38" w:rsidP="002E2F38">
      <w:pPr>
        <w:spacing w:line="440" w:lineRule="exact"/>
        <w:ind w:firstLineChars="200" w:firstLine="480"/>
        <w:outlineLvl w:val="3"/>
        <w:rPr>
          <w:rFonts w:ascii="黑体" w:eastAsia="黑体" w:hAnsi="宋体" w:hint="eastAsia"/>
          <w:sz w:val="24"/>
        </w:rPr>
      </w:pPr>
      <w:r>
        <w:rPr>
          <w:rFonts w:ascii="黑体" w:eastAsia="黑体" w:hAnsi="宋体" w:hint="eastAsia"/>
          <w:sz w:val="24"/>
        </w:rPr>
        <w:t>2.</w:t>
      </w:r>
      <w:r w:rsidRPr="00800D22">
        <w:rPr>
          <w:rFonts w:ascii="黑体" w:eastAsia="黑体" w:hAnsi="宋体" w:hint="eastAsia"/>
          <w:sz w:val="24"/>
        </w:rPr>
        <w:t>增信体系法律制度环境</w:t>
      </w:r>
    </w:p>
    <w:p w14:paraId="06D5F378" w14:textId="77777777" w:rsidR="002E2F38" w:rsidRPr="00800D22" w:rsidRDefault="002E2F38" w:rsidP="002E2F38">
      <w:pPr>
        <w:autoSpaceDE w:val="0"/>
        <w:autoSpaceDN w:val="0"/>
        <w:spacing w:line="440" w:lineRule="exact"/>
        <w:ind w:firstLineChars="200" w:firstLine="480"/>
        <w:jc w:val="left"/>
        <w:rPr>
          <w:rStyle w:val="af6"/>
          <w:rFonts w:hint="eastAsia"/>
          <w:b w:val="0"/>
          <w:sz w:val="24"/>
        </w:rPr>
      </w:pPr>
      <w:r w:rsidRPr="00800D22">
        <w:rPr>
          <w:rStyle w:val="af6"/>
          <w:b w:val="0"/>
          <w:sz w:val="24"/>
        </w:rPr>
        <w:t>韩国</w:t>
      </w:r>
      <w:r w:rsidRPr="00800D22">
        <w:rPr>
          <w:rStyle w:val="af6"/>
          <w:rFonts w:hint="eastAsia"/>
          <w:b w:val="0"/>
          <w:sz w:val="24"/>
        </w:rPr>
        <w:t>关于担保方面的制度较为完善，尤其是抵押担保制度。韩国不仅制定了“普通担保法”规范了一般性的担保制度，还为完善抵押制度和公司债务制度而制定了“财团抵押法”</w:t>
      </w:r>
      <w:r w:rsidRPr="00800D22">
        <w:rPr>
          <w:rFonts w:ascii="宋体" w:hAnsi="宋体" w:cs="宋体" w:hint="eastAsia"/>
          <w:kern w:val="0"/>
          <w:sz w:val="24"/>
        </w:rPr>
        <w:t>（</w:t>
      </w:r>
      <w:r w:rsidRPr="00800D22">
        <w:rPr>
          <w:rStyle w:val="af6"/>
          <w:rFonts w:hint="eastAsia"/>
          <w:b w:val="0"/>
          <w:sz w:val="24"/>
        </w:rPr>
        <w:t>《工厂抵押法》（</w:t>
      </w:r>
      <w:r w:rsidRPr="00800D22">
        <w:rPr>
          <w:rStyle w:val="af6"/>
          <w:rFonts w:hint="eastAsia"/>
          <w:b w:val="0"/>
          <w:sz w:val="24"/>
        </w:rPr>
        <w:t>1961</w:t>
      </w:r>
      <w:r w:rsidRPr="00800D22">
        <w:rPr>
          <w:rStyle w:val="af6"/>
          <w:rFonts w:hint="eastAsia"/>
          <w:b w:val="0"/>
          <w:sz w:val="24"/>
        </w:rPr>
        <w:t>年生效）和《矿产财团抵押法》（</w:t>
      </w:r>
      <w:r w:rsidRPr="00800D22">
        <w:rPr>
          <w:rStyle w:val="af6"/>
          <w:rFonts w:hint="eastAsia"/>
          <w:b w:val="0"/>
          <w:sz w:val="24"/>
        </w:rPr>
        <w:t>1961</w:t>
      </w:r>
      <w:r w:rsidRPr="00800D22">
        <w:rPr>
          <w:rStyle w:val="af6"/>
          <w:rFonts w:hint="eastAsia"/>
          <w:b w:val="0"/>
          <w:sz w:val="24"/>
        </w:rPr>
        <w:t>年生效）</w:t>
      </w:r>
      <w:r w:rsidRPr="00800D22">
        <w:rPr>
          <w:rFonts w:ascii="宋体" w:hAnsi="宋体" w:cs="宋体" w:hint="eastAsia"/>
          <w:kern w:val="0"/>
          <w:sz w:val="24"/>
        </w:rPr>
        <w:t>）</w:t>
      </w:r>
      <w:r w:rsidRPr="00800D22">
        <w:rPr>
          <w:rStyle w:val="af6"/>
          <w:rFonts w:hint="eastAsia"/>
          <w:b w:val="0"/>
          <w:sz w:val="24"/>
        </w:rPr>
        <w:t>和《附担保公司债券信托法》，而且还制定了较为详细的特殊担保制度。韩国特殊担保制度包括不动产特殊担保制度和动产特殊担保制度；其中不动产担保制度又包括</w:t>
      </w:r>
      <w:proofErr w:type="gramStart"/>
      <w:r w:rsidRPr="00800D22">
        <w:rPr>
          <w:rStyle w:val="af6"/>
          <w:rFonts w:hint="eastAsia"/>
          <w:b w:val="0"/>
          <w:sz w:val="24"/>
        </w:rPr>
        <w:t>最</w:t>
      </w:r>
      <w:proofErr w:type="gramEnd"/>
      <w:r w:rsidRPr="00800D22">
        <w:rPr>
          <w:rStyle w:val="af6"/>
          <w:rFonts w:hint="eastAsia"/>
          <w:b w:val="0"/>
          <w:sz w:val="24"/>
        </w:rPr>
        <w:t>高额抵押制度、共同抵押制度和树木抵押制度，而动产担保制度包括机动车抵押制度、建筑机械抵押制度、船舶抵押制度和航空器抵押制度。</w:t>
      </w:r>
    </w:p>
    <w:p w14:paraId="58E9E968" w14:textId="77777777" w:rsidR="002E2F38" w:rsidRPr="00800D22" w:rsidRDefault="002E2F38" w:rsidP="002E2F38">
      <w:pPr>
        <w:autoSpaceDE w:val="0"/>
        <w:autoSpaceDN w:val="0"/>
        <w:spacing w:line="440" w:lineRule="exact"/>
        <w:ind w:firstLineChars="200" w:firstLine="480"/>
        <w:jc w:val="left"/>
        <w:rPr>
          <w:rFonts w:ascii="宋体" w:hAnsi="宋体" w:cs="宋体" w:hint="eastAsia"/>
          <w:kern w:val="0"/>
          <w:sz w:val="24"/>
        </w:rPr>
      </w:pPr>
      <w:r w:rsidRPr="00800D22">
        <w:rPr>
          <w:rFonts w:ascii="宋体" w:hAnsi="宋体" w:cs="宋体"/>
          <w:kern w:val="0"/>
          <w:sz w:val="24"/>
        </w:rPr>
        <w:t>最高额抵押</w:t>
      </w:r>
      <w:r w:rsidRPr="00800D22">
        <w:rPr>
          <w:rFonts w:ascii="宋体" w:hAnsi="宋体" w:cs="宋体" w:hint="eastAsia"/>
          <w:kern w:val="0"/>
          <w:sz w:val="24"/>
        </w:rPr>
        <w:t>是韩国</w:t>
      </w:r>
      <w:r w:rsidRPr="00800D22">
        <w:rPr>
          <w:rFonts w:ascii="宋体" w:hAnsi="宋体" w:cs="宋体"/>
          <w:kern w:val="0"/>
          <w:sz w:val="24"/>
        </w:rPr>
        <w:t>金融交易中非常重要的担保手段</w:t>
      </w:r>
      <w:r w:rsidRPr="00800D22">
        <w:rPr>
          <w:rFonts w:ascii="宋体" w:hAnsi="宋体" w:cs="宋体" w:hint="eastAsia"/>
          <w:kern w:val="0"/>
          <w:sz w:val="24"/>
        </w:rPr>
        <w:t>之一，</w:t>
      </w:r>
      <w:r w:rsidRPr="00800D22">
        <w:rPr>
          <w:rFonts w:ascii="宋体" w:hAnsi="宋体" w:cs="宋体"/>
          <w:kern w:val="0"/>
          <w:sz w:val="24"/>
        </w:rPr>
        <w:t>是</w:t>
      </w:r>
      <w:r w:rsidRPr="00800D22">
        <w:rPr>
          <w:rFonts w:ascii="宋体" w:hAnsi="宋体" w:cs="宋体" w:hint="eastAsia"/>
          <w:kern w:val="0"/>
          <w:sz w:val="24"/>
        </w:rPr>
        <w:t>指</w:t>
      </w:r>
      <w:r w:rsidRPr="00800D22">
        <w:rPr>
          <w:rFonts w:ascii="宋体" w:hAnsi="宋体" w:cs="宋体"/>
          <w:kern w:val="0"/>
          <w:sz w:val="24"/>
        </w:rPr>
        <w:t>交易当事人在约定</w:t>
      </w:r>
      <w:proofErr w:type="gramStart"/>
      <w:r w:rsidRPr="00800D22">
        <w:rPr>
          <w:rFonts w:ascii="宋体" w:hAnsi="宋体" w:cs="宋体"/>
          <w:kern w:val="0"/>
          <w:sz w:val="24"/>
        </w:rPr>
        <w:t>最</w:t>
      </w:r>
      <w:proofErr w:type="gramEnd"/>
      <w:r w:rsidRPr="00800D22">
        <w:rPr>
          <w:rFonts w:ascii="宋体" w:hAnsi="宋体" w:cs="宋体"/>
          <w:kern w:val="0"/>
          <w:sz w:val="24"/>
        </w:rPr>
        <w:t>高额范围内，为商品供给契约关系</w:t>
      </w:r>
      <w:r w:rsidRPr="00800D22">
        <w:rPr>
          <w:rFonts w:ascii="宋体" w:hAnsi="宋体" w:cs="宋体" w:hint="eastAsia"/>
          <w:kern w:val="0"/>
          <w:sz w:val="24"/>
        </w:rPr>
        <w:t>一类的</w:t>
      </w:r>
      <w:r w:rsidRPr="00800D22">
        <w:rPr>
          <w:rFonts w:ascii="宋体" w:hAnsi="宋体" w:cs="宋体"/>
          <w:kern w:val="0"/>
          <w:sz w:val="24"/>
        </w:rPr>
        <w:t>连续性交易中产生的赊账交</w:t>
      </w:r>
      <w:r w:rsidRPr="00800D22">
        <w:rPr>
          <w:rFonts w:ascii="宋体" w:hAnsi="宋体" w:cs="宋体"/>
          <w:kern w:val="0"/>
          <w:sz w:val="24"/>
        </w:rPr>
        <w:lastRenderedPageBreak/>
        <w:t>易</w:t>
      </w:r>
      <w:r w:rsidRPr="00800D22">
        <w:rPr>
          <w:rFonts w:ascii="宋体" w:hAnsi="宋体" w:cs="宋体" w:hint="eastAsia"/>
          <w:kern w:val="0"/>
          <w:sz w:val="24"/>
        </w:rPr>
        <w:t>及其它</w:t>
      </w:r>
      <w:r w:rsidRPr="00800D22">
        <w:rPr>
          <w:rFonts w:ascii="宋体" w:hAnsi="宋体" w:cs="宋体"/>
          <w:kern w:val="0"/>
          <w:sz w:val="24"/>
        </w:rPr>
        <w:t>不特定多数债权的届期清偿而设定的抵押权</w:t>
      </w:r>
      <w:r w:rsidRPr="00800D22">
        <w:rPr>
          <w:rFonts w:ascii="宋体" w:hAnsi="宋体" w:cs="宋体" w:hint="eastAsia"/>
          <w:kern w:val="0"/>
          <w:sz w:val="24"/>
        </w:rPr>
        <w:t>[《韩国</w:t>
      </w:r>
      <w:r w:rsidRPr="00800D22">
        <w:rPr>
          <w:rFonts w:ascii="宋体" w:hAnsi="宋体" w:cs="宋体"/>
          <w:kern w:val="0"/>
          <w:sz w:val="24"/>
        </w:rPr>
        <w:t>民法</w:t>
      </w:r>
      <w:r w:rsidRPr="00800D22">
        <w:rPr>
          <w:rFonts w:ascii="宋体" w:hAnsi="宋体" w:cs="宋体" w:hint="eastAsia"/>
          <w:kern w:val="0"/>
          <w:sz w:val="24"/>
        </w:rPr>
        <w:t>》（1960年生效）</w:t>
      </w:r>
      <w:r w:rsidRPr="00800D22">
        <w:rPr>
          <w:rFonts w:ascii="宋体" w:hAnsi="宋体" w:cs="宋体"/>
          <w:kern w:val="0"/>
          <w:sz w:val="24"/>
        </w:rPr>
        <w:t>第357条</w:t>
      </w:r>
      <w:r w:rsidRPr="00800D22">
        <w:rPr>
          <w:rFonts w:ascii="宋体" w:hAnsi="宋体" w:cs="宋体" w:hint="eastAsia"/>
          <w:kern w:val="0"/>
          <w:sz w:val="24"/>
        </w:rPr>
        <w:t>]</w:t>
      </w:r>
      <w:r w:rsidRPr="00800D22">
        <w:rPr>
          <w:rFonts w:ascii="宋体" w:hAnsi="宋体" w:cs="宋体"/>
          <w:kern w:val="0"/>
          <w:sz w:val="24"/>
        </w:rPr>
        <w:t>。最高额抵押与普通抵押权</w:t>
      </w:r>
      <w:r w:rsidRPr="00800D22">
        <w:rPr>
          <w:rFonts w:ascii="宋体" w:hAnsi="宋体" w:cs="宋体" w:hint="eastAsia"/>
          <w:kern w:val="0"/>
          <w:sz w:val="24"/>
        </w:rPr>
        <w:t>在</w:t>
      </w:r>
      <w:r w:rsidRPr="00800D22">
        <w:rPr>
          <w:rFonts w:ascii="宋体" w:hAnsi="宋体" w:cs="宋体"/>
          <w:kern w:val="0"/>
          <w:sz w:val="24"/>
        </w:rPr>
        <w:t>被担保债权的附随性</w:t>
      </w:r>
      <w:r w:rsidRPr="00800D22">
        <w:rPr>
          <w:rFonts w:ascii="宋体" w:hAnsi="宋体" w:cs="宋体" w:hint="eastAsia"/>
          <w:kern w:val="0"/>
          <w:sz w:val="24"/>
        </w:rPr>
        <w:t>有所</w:t>
      </w:r>
      <w:r w:rsidRPr="00800D22">
        <w:rPr>
          <w:rFonts w:ascii="宋体" w:hAnsi="宋体" w:cs="宋体"/>
          <w:kern w:val="0"/>
          <w:sz w:val="24"/>
        </w:rPr>
        <w:t>不同</w:t>
      </w:r>
      <w:r w:rsidRPr="00800D22">
        <w:rPr>
          <w:rFonts w:ascii="宋体" w:hAnsi="宋体" w:cs="宋体" w:hint="eastAsia"/>
          <w:kern w:val="0"/>
          <w:sz w:val="24"/>
        </w:rPr>
        <w:t>。</w:t>
      </w:r>
      <w:r w:rsidRPr="00800D22">
        <w:rPr>
          <w:rFonts w:ascii="宋体" w:hAnsi="宋体" w:cs="宋体"/>
          <w:kern w:val="0"/>
          <w:sz w:val="24"/>
        </w:rPr>
        <w:t>在</w:t>
      </w:r>
      <w:proofErr w:type="gramStart"/>
      <w:r w:rsidRPr="00800D22">
        <w:rPr>
          <w:rFonts w:ascii="宋体" w:hAnsi="宋体" w:cs="宋体"/>
          <w:kern w:val="0"/>
          <w:sz w:val="24"/>
        </w:rPr>
        <w:t>最</w:t>
      </w:r>
      <w:proofErr w:type="gramEnd"/>
      <w:r w:rsidRPr="00800D22">
        <w:rPr>
          <w:rFonts w:ascii="宋体" w:hAnsi="宋体" w:cs="宋体"/>
          <w:kern w:val="0"/>
          <w:sz w:val="24"/>
        </w:rPr>
        <w:t>高额抵押中，虽可以避免不断设定抵押</w:t>
      </w:r>
      <w:proofErr w:type="gramStart"/>
      <w:r w:rsidRPr="00800D22">
        <w:rPr>
          <w:rFonts w:ascii="宋体" w:hAnsi="宋体" w:cs="宋体"/>
          <w:kern w:val="0"/>
          <w:sz w:val="24"/>
        </w:rPr>
        <w:t>权程序</w:t>
      </w:r>
      <w:proofErr w:type="gramEnd"/>
      <w:r w:rsidRPr="00800D22">
        <w:rPr>
          <w:rFonts w:ascii="宋体" w:hAnsi="宋体" w:cs="宋体"/>
          <w:kern w:val="0"/>
          <w:sz w:val="24"/>
        </w:rPr>
        <w:t>上的麻烦，但因契约当事人允许</w:t>
      </w:r>
      <w:proofErr w:type="gramStart"/>
      <w:r w:rsidRPr="00800D22">
        <w:rPr>
          <w:rFonts w:ascii="宋体" w:hAnsi="宋体" w:cs="宋体"/>
          <w:kern w:val="0"/>
          <w:sz w:val="24"/>
        </w:rPr>
        <w:t>最</w:t>
      </w:r>
      <w:proofErr w:type="gramEnd"/>
      <w:r w:rsidRPr="00800D22">
        <w:rPr>
          <w:rFonts w:ascii="宋体" w:hAnsi="宋体" w:cs="宋体"/>
          <w:kern w:val="0"/>
          <w:sz w:val="24"/>
        </w:rPr>
        <w:t>高额抵押权人在约定</w:t>
      </w:r>
      <w:proofErr w:type="gramStart"/>
      <w:r w:rsidRPr="00800D22">
        <w:rPr>
          <w:rFonts w:ascii="宋体" w:hAnsi="宋体" w:cs="宋体"/>
          <w:kern w:val="0"/>
          <w:sz w:val="24"/>
        </w:rPr>
        <w:t>最</w:t>
      </w:r>
      <w:proofErr w:type="gramEnd"/>
      <w:r w:rsidRPr="00800D22">
        <w:rPr>
          <w:rFonts w:ascii="宋体" w:hAnsi="宋体" w:cs="宋体"/>
          <w:kern w:val="0"/>
          <w:sz w:val="24"/>
        </w:rPr>
        <w:t>高额范围内对于担保物实施独占支配，因此</w:t>
      </w:r>
      <w:proofErr w:type="gramStart"/>
      <w:r w:rsidRPr="00800D22">
        <w:rPr>
          <w:rFonts w:ascii="宋体" w:hAnsi="宋体" w:cs="宋体"/>
          <w:kern w:val="0"/>
          <w:sz w:val="24"/>
        </w:rPr>
        <w:t>最</w:t>
      </w:r>
      <w:proofErr w:type="gramEnd"/>
      <w:r w:rsidRPr="00800D22">
        <w:rPr>
          <w:rFonts w:ascii="宋体" w:hAnsi="宋体" w:cs="宋体"/>
          <w:kern w:val="0"/>
          <w:sz w:val="24"/>
        </w:rPr>
        <w:t>高额抵押权设定人对于担保标的物的处分将受到限制。</w:t>
      </w:r>
    </w:p>
    <w:p w14:paraId="20AC1812" w14:textId="77777777" w:rsidR="002E2F38" w:rsidRPr="00800D22" w:rsidRDefault="002E2F38" w:rsidP="002E2F38">
      <w:pPr>
        <w:autoSpaceDE w:val="0"/>
        <w:autoSpaceDN w:val="0"/>
        <w:spacing w:line="440" w:lineRule="exact"/>
        <w:ind w:firstLineChars="200" w:firstLine="480"/>
        <w:jc w:val="left"/>
        <w:rPr>
          <w:rFonts w:ascii="宋体" w:hAnsi="宋体" w:cs="宋体" w:hint="eastAsia"/>
          <w:kern w:val="0"/>
          <w:sz w:val="24"/>
        </w:rPr>
      </w:pPr>
      <w:r w:rsidRPr="00800D22">
        <w:rPr>
          <w:rFonts w:ascii="宋体" w:hAnsi="宋体" w:cs="宋体"/>
          <w:kern w:val="0"/>
          <w:sz w:val="24"/>
        </w:rPr>
        <w:t>共同抵押制度是通过担保物的集成确保融资顺畅，</w:t>
      </w:r>
      <w:proofErr w:type="gramStart"/>
      <w:r w:rsidRPr="00800D22">
        <w:rPr>
          <w:rFonts w:ascii="宋体" w:hAnsi="宋体" w:cs="宋体"/>
          <w:kern w:val="0"/>
          <w:sz w:val="24"/>
        </w:rPr>
        <w:t>分散因</w:t>
      </w:r>
      <w:proofErr w:type="gramEnd"/>
      <w:r w:rsidRPr="00800D22">
        <w:rPr>
          <w:rFonts w:ascii="宋体" w:hAnsi="宋体" w:cs="宋体"/>
          <w:kern w:val="0"/>
          <w:sz w:val="24"/>
        </w:rPr>
        <w:t>标的物毁损</w:t>
      </w:r>
      <w:r w:rsidRPr="00800D22">
        <w:rPr>
          <w:rFonts w:ascii="宋体" w:hAnsi="宋体" w:cs="宋体" w:hint="eastAsia"/>
          <w:kern w:val="0"/>
          <w:sz w:val="24"/>
        </w:rPr>
        <w:t>和</w:t>
      </w:r>
      <w:r w:rsidRPr="00800D22">
        <w:rPr>
          <w:rFonts w:ascii="宋体" w:hAnsi="宋体" w:cs="宋体"/>
          <w:kern w:val="0"/>
          <w:sz w:val="24"/>
        </w:rPr>
        <w:t>灭失造成的担保价值减少带来的风险</w:t>
      </w:r>
      <w:r w:rsidRPr="00800D22">
        <w:rPr>
          <w:rFonts w:ascii="宋体" w:hAnsi="宋体" w:cs="宋体" w:hint="eastAsia"/>
          <w:kern w:val="0"/>
          <w:sz w:val="24"/>
        </w:rPr>
        <w:t>。《</w:t>
      </w:r>
      <w:r w:rsidRPr="00800D22">
        <w:rPr>
          <w:rFonts w:ascii="宋体" w:hAnsi="宋体" w:cs="宋体"/>
          <w:kern w:val="0"/>
          <w:sz w:val="24"/>
        </w:rPr>
        <w:t>韩国民法</w:t>
      </w:r>
      <w:r w:rsidRPr="00800D22">
        <w:rPr>
          <w:rFonts w:ascii="宋体" w:hAnsi="宋体" w:cs="宋体" w:hint="eastAsia"/>
          <w:kern w:val="0"/>
          <w:sz w:val="24"/>
        </w:rPr>
        <w:t>》</w:t>
      </w:r>
      <w:r w:rsidRPr="00800D22">
        <w:rPr>
          <w:rFonts w:ascii="宋体" w:hAnsi="宋体" w:cs="宋体"/>
          <w:kern w:val="0"/>
          <w:sz w:val="24"/>
        </w:rPr>
        <w:t>第368条规定，为担保同一债权，在可设抵押权的债权人或第三人所有标的物上所设的抵押权为共同抵押。韩国立法中，土地与建筑物为不同不动产，可以分开转让。于是土地不断被细分化，其担保价值也相应变小，共同抵押制度的运用程度远远高于普通抵押制度。</w:t>
      </w:r>
    </w:p>
    <w:p w14:paraId="0524237D" w14:textId="77777777" w:rsidR="002E2F38" w:rsidRPr="00800D22" w:rsidRDefault="002E2F38" w:rsidP="002E2F38">
      <w:pPr>
        <w:autoSpaceDE w:val="0"/>
        <w:autoSpaceDN w:val="0"/>
        <w:spacing w:line="440" w:lineRule="exact"/>
        <w:ind w:firstLineChars="200" w:firstLine="480"/>
        <w:jc w:val="left"/>
        <w:rPr>
          <w:rFonts w:ascii="宋体" w:hAnsi="宋体" w:cs="宋体" w:hint="eastAsia"/>
          <w:kern w:val="0"/>
          <w:sz w:val="24"/>
        </w:rPr>
      </w:pPr>
      <w:r w:rsidRPr="00800D22">
        <w:rPr>
          <w:rFonts w:ascii="宋体" w:hAnsi="宋体" w:cs="宋体" w:hint="eastAsia"/>
          <w:kern w:val="0"/>
          <w:sz w:val="24"/>
        </w:rPr>
        <w:t>《</w:t>
      </w:r>
      <w:r w:rsidRPr="00800D22">
        <w:rPr>
          <w:rFonts w:ascii="宋体" w:hAnsi="宋体" w:cs="宋体"/>
          <w:kern w:val="0"/>
          <w:sz w:val="24"/>
        </w:rPr>
        <w:t>立木法</w:t>
      </w:r>
      <w:r w:rsidRPr="00800D22">
        <w:rPr>
          <w:rFonts w:ascii="宋体" w:hAnsi="宋体" w:cs="宋体" w:hint="eastAsia"/>
          <w:kern w:val="0"/>
          <w:sz w:val="24"/>
        </w:rPr>
        <w:t>》（1973年生效）由于</w:t>
      </w:r>
      <w:r w:rsidRPr="00800D22">
        <w:rPr>
          <w:rFonts w:ascii="宋体" w:hAnsi="宋体" w:cs="宋体"/>
          <w:kern w:val="0"/>
          <w:sz w:val="24"/>
        </w:rPr>
        <w:t>根据当时法律规定，将树木从土地分离的公示方法不足，</w:t>
      </w:r>
      <w:r w:rsidRPr="00800D22">
        <w:rPr>
          <w:rFonts w:ascii="宋体" w:hAnsi="宋体" w:cs="宋体" w:hint="eastAsia"/>
          <w:kern w:val="0"/>
          <w:sz w:val="24"/>
        </w:rPr>
        <w:t>因此该种抵押方式</w:t>
      </w:r>
      <w:r w:rsidRPr="00800D22">
        <w:rPr>
          <w:rFonts w:ascii="宋体" w:hAnsi="宋体" w:cs="宋体"/>
          <w:kern w:val="0"/>
          <w:sz w:val="24"/>
        </w:rPr>
        <w:t>没有得到</w:t>
      </w:r>
      <w:r w:rsidRPr="00800D22">
        <w:rPr>
          <w:rFonts w:ascii="宋体" w:hAnsi="宋体" w:cs="宋体" w:hint="eastAsia"/>
          <w:kern w:val="0"/>
          <w:sz w:val="24"/>
        </w:rPr>
        <w:t>市场的广泛</w:t>
      </w:r>
      <w:r w:rsidRPr="00800D22">
        <w:rPr>
          <w:rFonts w:ascii="宋体" w:hAnsi="宋体" w:cs="宋体"/>
          <w:kern w:val="0"/>
          <w:sz w:val="24"/>
        </w:rPr>
        <w:t>认可</w:t>
      </w:r>
      <w:r w:rsidRPr="00800D22">
        <w:rPr>
          <w:rFonts w:ascii="宋体" w:hAnsi="宋体" w:cs="宋体" w:hint="eastAsia"/>
          <w:kern w:val="0"/>
          <w:sz w:val="24"/>
        </w:rPr>
        <w:t>。</w:t>
      </w:r>
    </w:p>
    <w:p w14:paraId="567227AF" w14:textId="77777777" w:rsidR="002E2F38" w:rsidRPr="00800D22" w:rsidRDefault="002E2F38" w:rsidP="002E2F38">
      <w:pPr>
        <w:autoSpaceDE w:val="0"/>
        <w:autoSpaceDN w:val="0"/>
        <w:spacing w:line="440" w:lineRule="exact"/>
        <w:ind w:firstLineChars="200" w:firstLine="480"/>
        <w:jc w:val="left"/>
        <w:rPr>
          <w:rFonts w:ascii="宋体" w:hAnsi="宋体" w:cs="宋体" w:hint="eastAsia"/>
          <w:kern w:val="0"/>
          <w:sz w:val="24"/>
        </w:rPr>
      </w:pPr>
      <w:r w:rsidRPr="00800D22">
        <w:rPr>
          <w:rStyle w:val="af6"/>
          <w:rFonts w:hint="eastAsia"/>
          <w:b w:val="0"/>
          <w:sz w:val="24"/>
        </w:rPr>
        <w:t>韩国的动产抵押制度也较为完善，其中《机动车抵押法》（</w:t>
      </w:r>
      <w:r w:rsidRPr="00800D22">
        <w:rPr>
          <w:rStyle w:val="af6"/>
          <w:rFonts w:hint="eastAsia"/>
          <w:b w:val="0"/>
          <w:sz w:val="24"/>
        </w:rPr>
        <w:t>1999</w:t>
      </w:r>
      <w:r w:rsidRPr="00800D22">
        <w:rPr>
          <w:rStyle w:val="af6"/>
          <w:rFonts w:hint="eastAsia"/>
          <w:b w:val="0"/>
          <w:sz w:val="24"/>
        </w:rPr>
        <w:t>年生效）进行了三次修订，应用范围从大型运输机动车扩大至小汽车和轻型、小型机动车。该制度的完善极大地促进了韩国运输业的发展。《</w:t>
      </w:r>
      <w:r w:rsidRPr="00800D22">
        <w:rPr>
          <w:rFonts w:ascii="宋体" w:hAnsi="宋体" w:cs="宋体"/>
          <w:kern w:val="0"/>
          <w:sz w:val="24"/>
        </w:rPr>
        <w:t>建筑机械抵押法</w:t>
      </w:r>
      <w:r w:rsidRPr="00800D22">
        <w:rPr>
          <w:rFonts w:ascii="宋体" w:hAnsi="宋体" w:cs="宋体" w:hint="eastAsia"/>
          <w:kern w:val="0"/>
          <w:sz w:val="24"/>
        </w:rPr>
        <w:t>》（1993年生效）</w:t>
      </w:r>
      <w:r w:rsidRPr="00800D22">
        <w:rPr>
          <w:rFonts w:ascii="宋体" w:hAnsi="宋体" w:cs="宋体"/>
          <w:kern w:val="0"/>
          <w:sz w:val="24"/>
        </w:rPr>
        <w:t>前身是</w:t>
      </w:r>
      <w:r w:rsidRPr="00800D22">
        <w:rPr>
          <w:rFonts w:ascii="宋体" w:hAnsi="宋体" w:cs="宋体" w:hint="eastAsia"/>
          <w:kern w:val="0"/>
          <w:sz w:val="24"/>
        </w:rPr>
        <w:t>《</w:t>
      </w:r>
      <w:r w:rsidRPr="00800D22">
        <w:rPr>
          <w:rFonts w:ascii="宋体" w:hAnsi="宋体" w:cs="宋体"/>
          <w:kern w:val="0"/>
          <w:sz w:val="24"/>
        </w:rPr>
        <w:t>重型机械抵押法</w:t>
      </w:r>
      <w:r w:rsidRPr="00800D22">
        <w:rPr>
          <w:rFonts w:ascii="宋体" w:hAnsi="宋体" w:cs="宋体" w:hint="eastAsia"/>
          <w:kern w:val="0"/>
          <w:sz w:val="24"/>
        </w:rPr>
        <w:t>》（1966年生效），</w:t>
      </w:r>
      <w:r w:rsidRPr="00800D22">
        <w:rPr>
          <w:rFonts w:ascii="宋体" w:hAnsi="宋体" w:cs="宋体"/>
          <w:kern w:val="0"/>
          <w:sz w:val="24"/>
        </w:rPr>
        <w:t>是为增加重型机械的动产信用和促进建筑业的发展而设</w:t>
      </w:r>
      <w:r w:rsidRPr="00800D22">
        <w:rPr>
          <w:rFonts w:ascii="宋体" w:hAnsi="宋体" w:cs="宋体" w:hint="eastAsia"/>
          <w:kern w:val="0"/>
          <w:sz w:val="24"/>
        </w:rPr>
        <w:t>，《</w:t>
      </w:r>
      <w:r w:rsidRPr="00800D22">
        <w:rPr>
          <w:rFonts w:ascii="宋体" w:hAnsi="宋体" w:cs="宋体"/>
          <w:kern w:val="0"/>
          <w:sz w:val="24"/>
        </w:rPr>
        <w:t>重型机械抵押法</w:t>
      </w:r>
      <w:r w:rsidRPr="00800D22">
        <w:rPr>
          <w:rFonts w:ascii="宋体" w:hAnsi="宋体" w:cs="宋体" w:hint="eastAsia"/>
          <w:kern w:val="0"/>
          <w:sz w:val="24"/>
        </w:rPr>
        <w:t>》</w:t>
      </w:r>
      <w:r w:rsidRPr="00800D22">
        <w:rPr>
          <w:rFonts w:ascii="宋体" w:hAnsi="宋体" w:cs="宋体"/>
          <w:kern w:val="0"/>
          <w:sz w:val="24"/>
        </w:rPr>
        <w:t>规定可在重型机械上设抵押权</w:t>
      </w:r>
      <w:r w:rsidRPr="00800D22">
        <w:rPr>
          <w:rFonts w:ascii="宋体" w:hAnsi="宋体" w:cs="宋体" w:hint="eastAsia"/>
          <w:kern w:val="0"/>
          <w:sz w:val="24"/>
        </w:rPr>
        <w:t>；</w:t>
      </w:r>
      <w:smartTag w:uri="urn:schemas-microsoft-com:office:smarttags" w:element="chsdate">
        <w:smartTagPr>
          <w:attr w:name="IsROCDate" w:val="False"/>
          <w:attr w:name="IsLunarDate" w:val="False"/>
          <w:attr w:name="Day" w:val="11"/>
          <w:attr w:name="Month" w:val="6"/>
          <w:attr w:name="Year" w:val="1993"/>
        </w:smartTagPr>
        <w:r w:rsidRPr="00800D22">
          <w:rPr>
            <w:rFonts w:ascii="宋体" w:hAnsi="宋体" w:cs="宋体"/>
            <w:kern w:val="0"/>
            <w:sz w:val="24"/>
          </w:rPr>
          <w:t>1993年6月11日</w:t>
        </w:r>
      </w:smartTag>
      <w:r w:rsidRPr="00800D22">
        <w:rPr>
          <w:rFonts w:ascii="宋体" w:hAnsi="宋体" w:cs="宋体" w:hint="eastAsia"/>
          <w:kern w:val="0"/>
          <w:sz w:val="24"/>
        </w:rPr>
        <w:t>对该法全文进行修订，</w:t>
      </w:r>
      <w:r w:rsidRPr="00800D22">
        <w:rPr>
          <w:rFonts w:ascii="宋体" w:hAnsi="宋体" w:cs="宋体"/>
          <w:kern w:val="0"/>
          <w:sz w:val="24"/>
        </w:rPr>
        <w:t>改为</w:t>
      </w:r>
      <w:r w:rsidRPr="00800D22">
        <w:rPr>
          <w:rFonts w:ascii="宋体" w:hAnsi="宋体" w:cs="宋体" w:hint="eastAsia"/>
          <w:kern w:val="0"/>
          <w:sz w:val="24"/>
        </w:rPr>
        <w:t>《</w:t>
      </w:r>
      <w:r w:rsidRPr="00800D22">
        <w:rPr>
          <w:rFonts w:ascii="宋体" w:hAnsi="宋体" w:cs="宋体"/>
          <w:kern w:val="0"/>
          <w:sz w:val="24"/>
        </w:rPr>
        <w:t>建筑机械抵押法</w:t>
      </w:r>
      <w:r w:rsidRPr="00800D22">
        <w:rPr>
          <w:rFonts w:ascii="宋体" w:hAnsi="宋体" w:cs="宋体" w:hint="eastAsia"/>
          <w:kern w:val="0"/>
          <w:sz w:val="24"/>
        </w:rPr>
        <w:t>》。《</w:t>
      </w:r>
      <w:r w:rsidRPr="00800D22">
        <w:rPr>
          <w:rFonts w:ascii="宋体" w:hAnsi="宋体" w:cs="宋体"/>
          <w:kern w:val="0"/>
          <w:sz w:val="24"/>
        </w:rPr>
        <w:t>船舶抵押</w:t>
      </w:r>
      <w:r w:rsidRPr="00800D22">
        <w:rPr>
          <w:rFonts w:ascii="宋体" w:hAnsi="宋体" w:cs="宋体" w:hint="eastAsia"/>
          <w:kern w:val="0"/>
          <w:sz w:val="24"/>
        </w:rPr>
        <w:t>法》（1961年生效）和《航空器抵押法》（1961年生效）规定船舶和航空器均可作为抵押标的。</w:t>
      </w:r>
    </w:p>
    <w:p w14:paraId="74694408" w14:textId="77777777" w:rsidR="002E2F38" w:rsidRPr="00800D22" w:rsidRDefault="002E2F38" w:rsidP="002E2F38">
      <w:pPr>
        <w:autoSpaceDE w:val="0"/>
        <w:autoSpaceDN w:val="0"/>
        <w:spacing w:line="440" w:lineRule="exact"/>
        <w:ind w:firstLineChars="200" w:firstLine="480"/>
        <w:jc w:val="left"/>
        <w:rPr>
          <w:rStyle w:val="af6"/>
          <w:rFonts w:hint="eastAsia"/>
          <w:b w:val="0"/>
          <w:sz w:val="24"/>
        </w:rPr>
      </w:pPr>
      <w:r w:rsidRPr="00800D22">
        <w:rPr>
          <w:rFonts w:ascii="宋体" w:hAnsi="宋体" w:cs="宋体" w:hint="eastAsia"/>
          <w:kern w:val="0"/>
          <w:sz w:val="24"/>
        </w:rPr>
        <w:t>总体来看，韩国担保制度较完善，为增信体系的建设提供了基础。</w:t>
      </w:r>
    </w:p>
    <w:p w14:paraId="0563D07C" w14:textId="07947596" w:rsidR="002E2F38" w:rsidRPr="00800D22" w:rsidRDefault="002E2F38" w:rsidP="002E2F38">
      <w:pPr>
        <w:pStyle w:val="3"/>
        <w:adjustRightInd w:val="0"/>
        <w:spacing w:beforeLines="50" w:before="156" w:afterLines="50" w:after="156" w:line="440" w:lineRule="exact"/>
        <w:jc w:val="left"/>
        <w:rPr>
          <w:rFonts w:ascii="黑体" w:eastAsia="黑体"/>
          <w:b/>
          <w:sz w:val="28"/>
          <w:szCs w:val="28"/>
        </w:rPr>
      </w:pPr>
      <w:bookmarkStart w:id="20" w:name="_Toc238267520"/>
      <w:bookmarkStart w:id="21" w:name="_Toc238270163"/>
      <w:bookmarkStart w:id="22" w:name="_Toc238701456"/>
      <w:bookmarkStart w:id="23" w:name="_Toc239689229"/>
      <w:bookmarkStart w:id="24" w:name="_Toc247869848"/>
      <w:bookmarkStart w:id="25" w:name="_Toc256506283"/>
      <w:r>
        <w:rPr>
          <w:rFonts w:ascii="黑体" w:eastAsia="黑体" w:hint="eastAsia"/>
          <w:b/>
          <w:sz w:val="28"/>
          <w:szCs w:val="28"/>
        </w:rPr>
        <w:t>三、</w:t>
      </w:r>
      <w:r w:rsidRPr="00800D22">
        <w:rPr>
          <w:rFonts w:ascii="黑体" w:eastAsia="黑体"/>
          <w:b/>
          <w:sz w:val="28"/>
          <w:szCs w:val="28"/>
        </w:rPr>
        <w:t>增信手段</w:t>
      </w:r>
      <w:bookmarkEnd w:id="20"/>
      <w:bookmarkEnd w:id="21"/>
      <w:bookmarkEnd w:id="22"/>
      <w:bookmarkEnd w:id="23"/>
      <w:bookmarkEnd w:id="24"/>
      <w:bookmarkEnd w:id="25"/>
    </w:p>
    <w:p w14:paraId="6141D5F9" w14:textId="4650AD36" w:rsidR="002E2F38" w:rsidRPr="00800D22" w:rsidRDefault="002E2F38" w:rsidP="002E2F38">
      <w:pPr>
        <w:spacing w:line="440" w:lineRule="exact"/>
        <w:ind w:firstLineChars="200" w:firstLine="480"/>
        <w:outlineLvl w:val="3"/>
        <w:rPr>
          <w:rFonts w:ascii="黑体" w:eastAsia="黑体" w:hAnsi="宋体"/>
          <w:bCs/>
          <w:sz w:val="24"/>
        </w:rPr>
      </w:pPr>
      <w:r>
        <w:rPr>
          <w:rFonts w:ascii="黑体" w:eastAsia="黑体" w:hAnsi="宋体" w:hint="eastAsia"/>
          <w:bCs/>
          <w:sz w:val="24"/>
        </w:rPr>
        <w:t>1.</w:t>
      </w:r>
      <w:r w:rsidRPr="00800D22">
        <w:rPr>
          <w:rFonts w:ascii="黑体" w:eastAsia="黑体" w:hAnsi="宋体"/>
          <w:bCs/>
          <w:sz w:val="24"/>
        </w:rPr>
        <w:t>银行担保</w:t>
      </w:r>
    </w:p>
    <w:p w14:paraId="35BAA2C0" w14:textId="77777777" w:rsidR="002E2F38" w:rsidRPr="00800D22" w:rsidRDefault="002E2F38" w:rsidP="002E2F38">
      <w:pPr>
        <w:pStyle w:val="af2"/>
        <w:spacing w:before="0" w:beforeAutospacing="0" w:after="0" w:afterAutospacing="0" w:line="440" w:lineRule="exact"/>
        <w:ind w:firstLineChars="200" w:firstLine="480"/>
        <w:rPr>
          <w:rStyle w:val="af6"/>
          <w:rFonts w:ascii="Times New Roman" w:hAnsi="Times New Roman" w:cs="Times New Roman" w:hint="eastAsia"/>
          <w:b w:val="0"/>
        </w:rPr>
      </w:pPr>
      <w:r w:rsidRPr="00800D22">
        <w:rPr>
          <w:rStyle w:val="af6"/>
          <w:rFonts w:ascii="Times New Roman" w:hAnsi="Times New Roman" w:cs="Times New Roman"/>
          <w:b w:val="0"/>
        </w:rPr>
        <w:t>从韩国债券市场增信方式发展</w:t>
      </w:r>
      <w:r w:rsidRPr="00800D22">
        <w:rPr>
          <w:rStyle w:val="af6"/>
          <w:rFonts w:ascii="Times New Roman" w:hAnsi="Times New Roman" w:cs="Times New Roman" w:hint="eastAsia"/>
          <w:b w:val="0"/>
        </w:rPr>
        <w:t>历程</w:t>
      </w:r>
      <w:r w:rsidRPr="00800D22">
        <w:rPr>
          <w:rStyle w:val="af6"/>
          <w:rFonts w:ascii="Times New Roman" w:hAnsi="Times New Roman" w:cs="Times New Roman"/>
          <w:b w:val="0"/>
        </w:rPr>
        <w:t>来看，银行担保曾一枝独秀</w:t>
      </w:r>
      <w:r w:rsidRPr="00800D22">
        <w:rPr>
          <w:rStyle w:val="af6"/>
          <w:rFonts w:ascii="Times New Roman" w:hAnsi="Times New Roman" w:cs="Times New Roman" w:hint="eastAsia"/>
          <w:b w:val="0"/>
        </w:rPr>
        <w:t>。</w:t>
      </w:r>
      <w:r w:rsidRPr="00800D22">
        <w:rPr>
          <w:rFonts w:ascii="Times New Roman" w:hAnsi="Times New Roman" w:cs="Times New Roman"/>
        </w:rPr>
        <w:t>在</w:t>
      </w:r>
      <w:r w:rsidRPr="00800D22">
        <w:rPr>
          <w:rFonts w:ascii="Times New Roman" w:hAnsi="Times New Roman" w:cs="Times New Roman"/>
        </w:rPr>
        <w:t>20</w:t>
      </w:r>
      <w:r w:rsidRPr="00800D22">
        <w:rPr>
          <w:rFonts w:ascii="Times New Roman" w:hAnsi="Times New Roman" w:cs="Times New Roman"/>
        </w:rPr>
        <w:t>世纪</w:t>
      </w:r>
      <w:r w:rsidRPr="00800D22">
        <w:rPr>
          <w:rFonts w:ascii="Times New Roman" w:hAnsi="Times New Roman" w:cs="Times New Roman"/>
        </w:rPr>
        <w:t>70</w:t>
      </w:r>
      <w:r w:rsidRPr="00800D22">
        <w:rPr>
          <w:rFonts w:ascii="Times New Roman" w:hAnsi="Times New Roman" w:cs="Times New Roman"/>
        </w:rPr>
        <w:t>年代之前，银行</w:t>
      </w:r>
      <w:r w:rsidRPr="00800D22">
        <w:rPr>
          <w:rFonts w:ascii="Times New Roman" w:hAnsi="Times New Roman" w:cs="Times New Roman" w:hint="eastAsia"/>
        </w:rPr>
        <w:t>担保作为</w:t>
      </w:r>
      <w:r w:rsidRPr="00800D22">
        <w:rPr>
          <w:rFonts w:ascii="Times New Roman" w:hAnsi="Times New Roman" w:cs="Times New Roman"/>
        </w:rPr>
        <w:t>公司债券的主要</w:t>
      </w:r>
      <w:r w:rsidRPr="00800D22">
        <w:rPr>
          <w:rFonts w:ascii="Times New Roman" w:hAnsi="Times New Roman" w:cs="Times New Roman" w:hint="eastAsia"/>
        </w:rPr>
        <w:t>增信方式</w:t>
      </w:r>
      <w:r w:rsidRPr="00800D22">
        <w:rPr>
          <w:rFonts w:ascii="Times New Roman" w:hAnsi="Times New Roman" w:cs="Times New Roman"/>
        </w:rPr>
        <w:t>，</w:t>
      </w:r>
      <w:r w:rsidRPr="00800D22">
        <w:rPr>
          <w:rFonts w:ascii="Times New Roman" w:hAnsi="Times New Roman" w:cs="Times New Roman" w:hint="eastAsia"/>
        </w:rPr>
        <w:t>市场份额达到</w:t>
      </w:r>
      <w:r w:rsidRPr="00800D22">
        <w:rPr>
          <w:rFonts w:ascii="Times New Roman" w:hAnsi="Times New Roman" w:cs="Times New Roman"/>
        </w:rPr>
        <w:t>50%</w:t>
      </w:r>
      <w:r w:rsidRPr="00800D22">
        <w:rPr>
          <w:rFonts w:ascii="Times New Roman" w:hAnsi="Times New Roman" w:cs="Times New Roman"/>
        </w:rPr>
        <w:t>。</w:t>
      </w:r>
      <w:r w:rsidRPr="00800D22">
        <w:rPr>
          <w:rStyle w:val="af6"/>
          <w:rFonts w:ascii="Times New Roman" w:hAnsi="Times New Roman" w:cs="Times New Roman"/>
          <w:b w:val="0"/>
        </w:rPr>
        <w:t>在早期国家信用环境不成熟、信用基础薄弱</w:t>
      </w:r>
      <w:r w:rsidRPr="00800D22">
        <w:rPr>
          <w:rStyle w:val="af6"/>
          <w:rFonts w:ascii="Times New Roman" w:hAnsi="Times New Roman" w:cs="Times New Roman" w:hint="eastAsia"/>
          <w:b w:val="0"/>
        </w:rPr>
        <w:t>及</w:t>
      </w:r>
      <w:r w:rsidRPr="00800D22">
        <w:rPr>
          <w:rStyle w:val="af6"/>
          <w:rFonts w:ascii="Times New Roman" w:hAnsi="Times New Roman" w:cs="Times New Roman"/>
          <w:b w:val="0"/>
        </w:rPr>
        <w:t>金融市场其它</w:t>
      </w:r>
      <w:r w:rsidRPr="00800D22">
        <w:rPr>
          <w:rStyle w:val="af6"/>
          <w:rFonts w:ascii="Times New Roman" w:hAnsi="Times New Roman" w:cs="Times New Roman" w:hint="eastAsia"/>
          <w:b w:val="0"/>
        </w:rPr>
        <w:t>增</w:t>
      </w:r>
      <w:proofErr w:type="gramStart"/>
      <w:r w:rsidRPr="00800D22">
        <w:rPr>
          <w:rStyle w:val="af6"/>
          <w:rFonts w:ascii="Times New Roman" w:hAnsi="Times New Roman" w:cs="Times New Roman" w:hint="eastAsia"/>
          <w:b w:val="0"/>
        </w:rPr>
        <w:t>信</w:t>
      </w:r>
      <w:r w:rsidRPr="00800D22">
        <w:rPr>
          <w:rStyle w:val="af6"/>
          <w:rFonts w:ascii="Times New Roman" w:hAnsi="Times New Roman" w:cs="Times New Roman"/>
          <w:b w:val="0"/>
        </w:rPr>
        <w:t>主体</w:t>
      </w:r>
      <w:proofErr w:type="gramEnd"/>
      <w:r w:rsidRPr="00800D22">
        <w:rPr>
          <w:rStyle w:val="af6"/>
          <w:rFonts w:ascii="Times New Roman" w:hAnsi="Times New Roman" w:cs="Times New Roman"/>
          <w:b w:val="0"/>
        </w:rPr>
        <w:t>没有发展壮大之前，韩国以银行担保为主的增信体系促进了公司债券</w:t>
      </w:r>
      <w:r w:rsidRPr="00800D22">
        <w:rPr>
          <w:rStyle w:val="af6"/>
          <w:rFonts w:ascii="Times New Roman" w:hAnsi="Times New Roman" w:cs="Times New Roman" w:hint="eastAsia"/>
          <w:b w:val="0"/>
        </w:rPr>
        <w:t>及其它</w:t>
      </w:r>
      <w:r w:rsidRPr="00800D22">
        <w:rPr>
          <w:rStyle w:val="af6"/>
          <w:rFonts w:ascii="Times New Roman" w:hAnsi="Times New Roman" w:cs="Times New Roman"/>
          <w:b w:val="0"/>
        </w:rPr>
        <w:t>信用债券的发展，逐步完善了债券市场结构。</w:t>
      </w:r>
    </w:p>
    <w:p w14:paraId="54026BCD" w14:textId="77777777" w:rsidR="002E2F38" w:rsidRPr="00800D22" w:rsidRDefault="002E2F38" w:rsidP="002E2F38">
      <w:pPr>
        <w:pStyle w:val="af2"/>
        <w:spacing w:before="0" w:beforeAutospacing="0" w:afterLines="100" w:after="312" w:afterAutospacing="0" w:line="440" w:lineRule="exact"/>
        <w:ind w:firstLineChars="200" w:firstLine="480"/>
        <w:rPr>
          <w:rFonts w:ascii="Times New Roman" w:hAnsi="Times New Roman" w:cs="Times New Roman"/>
        </w:rPr>
      </w:pPr>
      <w:r w:rsidRPr="00800D22">
        <w:rPr>
          <w:rStyle w:val="af6"/>
          <w:rFonts w:ascii="Times New Roman" w:hAnsi="Times New Roman" w:cs="Times New Roman"/>
          <w:b w:val="0"/>
        </w:rPr>
        <w:t>但随着实体经济的不断向前发展，对债券市场的需求深度不断加强，这种增信方式给金融市场的发展带来了许多弊端：</w:t>
      </w:r>
      <w:r w:rsidRPr="00800D22">
        <w:rPr>
          <w:rFonts w:ascii="Times New Roman" w:hAnsi="Times New Roman" w:cs="Times New Roman" w:hint="eastAsia"/>
        </w:rPr>
        <w:t>①</w:t>
      </w:r>
      <w:r w:rsidRPr="00800D22">
        <w:rPr>
          <w:rFonts w:ascii="Times New Roman" w:hAnsi="Times New Roman" w:cs="Times New Roman"/>
        </w:rPr>
        <w:t>银行担保模式扭曲了债券市场</w:t>
      </w:r>
      <w:r w:rsidRPr="00800D22">
        <w:rPr>
          <w:rFonts w:ascii="Times New Roman" w:hAnsi="Times New Roman" w:cs="Times New Roman"/>
        </w:rPr>
        <w:lastRenderedPageBreak/>
        <w:t>的市场定价功能。由于任何品种的公司债券均由银行提供无条件不可撤销担保，导致公司债券的信用水平趋同，市场无法按债券发行者的不同信用等级来定价，最终导致市场缺乏定价能力，不仅增加了市场的无序，而且不能满足不同风险偏好投资者的投资需求，不利于资源在市场中的优化配置，也不利于市场融资能力的发挥。从整个金融市场来看，直接融资的风险被转移到银行体系中，成为了间接融资风险，影响金融体系稳定，同时债券市场定价功能的缺失大大影响了利率市场化的改革进程。</w:t>
      </w:r>
      <w:r w:rsidRPr="00800D22">
        <w:rPr>
          <w:rFonts w:ascii="Times New Roman" w:hAnsi="Times New Roman" w:cs="Times New Roman" w:hint="eastAsia"/>
        </w:rPr>
        <w:t>②</w:t>
      </w:r>
      <w:r w:rsidRPr="00800D22">
        <w:rPr>
          <w:rFonts w:ascii="Times New Roman" w:hAnsi="Times New Roman" w:cs="Times New Roman"/>
        </w:rPr>
        <w:t>银行作为市场参与主体，从控制自身经营风险角度出发，仅仅为少数超大型企业提供担保，从而导致公司债券的发行范围被间接限制于某些行业或某些地区，甚至是与银行的贷款发放方向一致，</w:t>
      </w:r>
      <w:r w:rsidRPr="00800D22">
        <w:rPr>
          <w:rFonts w:ascii="Times New Roman" w:hAnsi="Times New Roman" w:cs="Times New Roman" w:hint="eastAsia"/>
        </w:rPr>
        <w:t>这</w:t>
      </w:r>
      <w:r w:rsidRPr="00800D22">
        <w:rPr>
          <w:rFonts w:ascii="Times New Roman" w:hAnsi="Times New Roman" w:cs="Times New Roman"/>
        </w:rPr>
        <w:t>不仅增加了债券市场的系统风险，而且使整个金融体系的风险被放大。尤其是对于经济总量规模不大</w:t>
      </w:r>
      <w:r w:rsidRPr="00800D22">
        <w:rPr>
          <w:rFonts w:ascii="Times New Roman" w:hAnsi="Times New Roman" w:cs="Times New Roman" w:hint="eastAsia"/>
        </w:rPr>
        <w:t>、</w:t>
      </w:r>
      <w:r w:rsidRPr="00800D22">
        <w:rPr>
          <w:rFonts w:ascii="Times New Roman" w:hAnsi="Times New Roman" w:cs="Times New Roman"/>
        </w:rPr>
        <w:t>国家产业结构单一</w:t>
      </w:r>
      <w:r w:rsidRPr="00800D22">
        <w:rPr>
          <w:rFonts w:ascii="Times New Roman" w:hAnsi="Times New Roman" w:cs="Times New Roman" w:hint="eastAsia"/>
        </w:rPr>
        <w:t>。</w:t>
      </w:r>
      <w:r w:rsidRPr="00800D22">
        <w:rPr>
          <w:rFonts w:ascii="Times New Roman" w:hAnsi="Times New Roman" w:cs="Times New Roman"/>
        </w:rPr>
        <w:t>企业集中度较高的国家，这种单一银行担保模式的增信体系实质上加剧了金融市场的风险。如</w:t>
      </w:r>
      <w:r w:rsidRPr="00800D22">
        <w:rPr>
          <w:rFonts w:ascii="Times New Roman" w:hAnsi="Times New Roman" w:cs="Times New Roman"/>
        </w:rPr>
        <w:t>2000</w:t>
      </w:r>
      <w:r w:rsidRPr="00800D22">
        <w:rPr>
          <w:rFonts w:ascii="Times New Roman" w:hAnsi="Times New Roman" w:cs="Times New Roman"/>
        </w:rPr>
        <w:t>年，韩国国内四家最大的企业发行债券的市值占到</w:t>
      </w:r>
      <w:r w:rsidRPr="00800D22">
        <w:rPr>
          <w:rFonts w:ascii="Times New Roman" w:hAnsi="Times New Roman" w:cs="Times New Roman" w:hint="eastAsia"/>
        </w:rPr>
        <w:t>总</w:t>
      </w:r>
      <w:r w:rsidRPr="00800D22">
        <w:rPr>
          <w:rFonts w:ascii="Times New Roman" w:hAnsi="Times New Roman" w:cs="Times New Roman"/>
        </w:rPr>
        <w:t>发行量的</w:t>
      </w:r>
      <w:r w:rsidRPr="00800D22">
        <w:rPr>
          <w:rFonts w:ascii="Times New Roman" w:hAnsi="Times New Roman" w:cs="Times New Roman"/>
        </w:rPr>
        <w:t>45.60%</w:t>
      </w:r>
      <w:r w:rsidRPr="00800D22">
        <w:rPr>
          <w:rFonts w:ascii="Times New Roman" w:hAnsi="Times New Roman" w:cs="Times New Roman"/>
        </w:rPr>
        <w:t>（如图</w:t>
      </w:r>
      <w:r w:rsidRPr="00800D22">
        <w:rPr>
          <w:rFonts w:ascii="Times New Roman" w:hAnsi="Times New Roman" w:cs="Times New Roman" w:hint="eastAsia"/>
        </w:rPr>
        <w:t>5</w:t>
      </w:r>
      <w:r w:rsidRPr="00800D22">
        <w:rPr>
          <w:rFonts w:ascii="Times New Roman" w:hAnsi="Times New Roman" w:cs="Times New Roman"/>
        </w:rPr>
        <w:t>.</w:t>
      </w:r>
      <w:r w:rsidRPr="00800D22">
        <w:rPr>
          <w:rFonts w:ascii="Times New Roman" w:hAnsi="Times New Roman" w:cs="Times New Roman" w:hint="eastAsia"/>
        </w:rPr>
        <w:t>40</w:t>
      </w:r>
      <w:r w:rsidRPr="00800D22">
        <w:rPr>
          <w:rFonts w:ascii="Times New Roman" w:hAnsi="Times New Roman" w:cs="Times New Roman"/>
        </w:rPr>
        <w:t>），若完全由银行提供担保，将给整个债券市场带来较大的</w:t>
      </w:r>
      <w:r w:rsidRPr="00800D22">
        <w:rPr>
          <w:rFonts w:ascii="Times New Roman" w:hAnsi="Times New Roman" w:cs="Times New Roman" w:hint="eastAsia"/>
        </w:rPr>
        <w:t>系统</w:t>
      </w:r>
      <w:r w:rsidRPr="00800D22">
        <w:rPr>
          <w:rFonts w:ascii="Times New Roman" w:hAnsi="Times New Roman" w:cs="Times New Roman"/>
        </w:rPr>
        <w:t>风险。</w:t>
      </w:r>
    </w:p>
    <w:p w14:paraId="7BEE7F52" w14:textId="61F44336" w:rsidR="002E2F38" w:rsidRPr="00800D22" w:rsidRDefault="002E2F38" w:rsidP="002E2F38">
      <w:pPr>
        <w:pStyle w:val="af2"/>
        <w:spacing w:before="0" w:beforeAutospacing="0" w:after="0" w:afterAutospacing="0"/>
        <w:jc w:val="center"/>
        <w:rPr>
          <w:rFonts w:ascii="Times New Roman" w:hAnsi="Times New Roman" w:cs="Times New Roman"/>
        </w:rPr>
      </w:pPr>
      <w:r w:rsidRPr="00800D22">
        <w:rPr>
          <w:rFonts w:ascii="Times New Roman" w:hAnsi="Times New Roman" w:cs="Times New Roman"/>
          <w:noProof/>
        </w:rPr>
        <w:drawing>
          <wp:inline distT="0" distB="0" distL="0" distR="0" wp14:anchorId="3CF831E2" wp14:editId="60596E95">
            <wp:extent cx="4686300" cy="2247900"/>
            <wp:effectExtent l="0" t="0" r="0" b="0"/>
            <wp:docPr id="19677015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247900"/>
                    </a:xfrm>
                    <a:prstGeom prst="rect">
                      <a:avLst/>
                    </a:prstGeom>
                    <a:noFill/>
                    <a:ln>
                      <a:noFill/>
                    </a:ln>
                  </pic:spPr>
                </pic:pic>
              </a:graphicData>
            </a:graphic>
          </wp:inline>
        </w:drawing>
      </w:r>
    </w:p>
    <w:p w14:paraId="0797638E" w14:textId="77777777" w:rsidR="002E2F38" w:rsidRPr="00800D22" w:rsidRDefault="002E2F38" w:rsidP="002E2F38">
      <w:pPr>
        <w:pStyle w:val="af2"/>
        <w:keepNext/>
        <w:spacing w:before="0" w:beforeAutospacing="0" w:after="0" w:afterAutospacing="0"/>
        <w:jc w:val="center"/>
        <w:rPr>
          <w:rFonts w:ascii="Times New Roman" w:hAnsi="Times New Roman" w:cs="Times New Roman" w:hint="eastAsia"/>
          <w:sz w:val="21"/>
          <w:szCs w:val="21"/>
        </w:rPr>
      </w:pPr>
      <w:bookmarkStart w:id="26" w:name="_Toc256507104"/>
      <w:r w:rsidRPr="00800D22">
        <w:rPr>
          <w:rFonts w:ascii="Times New Roman" w:hAnsi="Times New Roman" w:cs="Times New Roman"/>
          <w:sz w:val="21"/>
          <w:szCs w:val="21"/>
        </w:rPr>
        <w:t>图</w:t>
      </w:r>
      <w:r w:rsidRPr="00800D22">
        <w:rPr>
          <w:rFonts w:ascii="Times New Roman" w:hAnsi="Times New Roman" w:cs="Times New Roman"/>
          <w:sz w:val="21"/>
          <w:szCs w:val="21"/>
        </w:rPr>
        <w:t>5.</w:t>
      </w:r>
      <w:r w:rsidRPr="00800D22">
        <w:rPr>
          <w:rFonts w:ascii="Times New Roman" w:hAnsi="Times New Roman" w:cs="Times New Roman"/>
          <w:sz w:val="21"/>
          <w:szCs w:val="21"/>
        </w:rPr>
        <w:fldChar w:fldCharType="begin"/>
      </w:r>
      <w:r w:rsidRPr="00800D22">
        <w:rPr>
          <w:rFonts w:ascii="Times New Roman" w:hAnsi="Times New Roman" w:cs="Times New Roman"/>
          <w:sz w:val="21"/>
          <w:szCs w:val="21"/>
        </w:rPr>
        <w:instrText xml:space="preserve"> SEQ </w:instrText>
      </w:r>
      <w:r w:rsidRPr="00800D22">
        <w:rPr>
          <w:rFonts w:ascii="Times New Roman" w:hAnsi="Times New Roman" w:cs="Times New Roman"/>
          <w:sz w:val="21"/>
          <w:szCs w:val="21"/>
        </w:rPr>
        <w:instrText>图</w:instrText>
      </w:r>
      <w:r w:rsidRPr="00800D22">
        <w:rPr>
          <w:rFonts w:ascii="Times New Roman" w:hAnsi="Times New Roman" w:cs="Times New Roman"/>
          <w:sz w:val="21"/>
          <w:szCs w:val="21"/>
        </w:rPr>
        <w:instrText xml:space="preserve">5. \* ARABIC </w:instrText>
      </w:r>
      <w:r w:rsidRPr="00800D22">
        <w:rPr>
          <w:rFonts w:ascii="Times New Roman" w:hAnsi="Times New Roman" w:cs="Times New Roman"/>
          <w:sz w:val="21"/>
          <w:szCs w:val="21"/>
        </w:rPr>
        <w:fldChar w:fldCharType="separate"/>
      </w:r>
      <w:r w:rsidRPr="00800D22">
        <w:rPr>
          <w:rFonts w:ascii="Times New Roman" w:hAnsi="Times New Roman" w:cs="Times New Roman"/>
          <w:noProof/>
          <w:sz w:val="21"/>
          <w:szCs w:val="21"/>
        </w:rPr>
        <w:t>40</w:t>
      </w:r>
      <w:r w:rsidRPr="00800D22">
        <w:rPr>
          <w:rFonts w:ascii="Times New Roman" w:hAnsi="Times New Roman" w:cs="Times New Roman"/>
          <w:sz w:val="21"/>
          <w:szCs w:val="21"/>
        </w:rPr>
        <w:fldChar w:fldCharType="end"/>
      </w:r>
      <w:r w:rsidRPr="00800D22">
        <w:rPr>
          <w:rFonts w:ascii="Times New Roman" w:hAnsi="Times New Roman" w:cs="Times New Roman" w:hint="eastAsia"/>
          <w:sz w:val="21"/>
          <w:szCs w:val="21"/>
        </w:rPr>
        <w:t xml:space="preserve">  2000-2002</w:t>
      </w:r>
      <w:r w:rsidRPr="00800D22">
        <w:rPr>
          <w:rFonts w:ascii="Times New Roman" w:hAnsi="Times New Roman" w:cs="Times New Roman" w:hint="eastAsia"/>
          <w:sz w:val="21"/>
          <w:szCs w:val="21"/>
        </w:rPr>
        <w:t>年韩国公司债券发行企业</w:t>
      </w:r>
      <w:bookmarkEnd w:id="26"/>
    </w:p>
    <w:p w14:paraId="55D2EE50" w14:textId="77777777" w:rsidR="002E2F38" w:rsidRPr="00800D22" w:rsidRDefault="002E2F38" w:rsidP="002E2F38">
      <w:pPr>
        <w:pStyle w:val="af2"/>
        <w:spacing w:before="0" w:beforeAutospacing="0" w:after="0" w:afterAutospacing="0"/>
        <w:jc w:val="center"/>
        <w:rPr>
          <w:rFonts w:ascii="Times New Roman" w:hAnsi="Times New Roman" w:cs="Times New Roman" w:hint="eastAsia"/>
          <w:sz w:val="21"/>
          <w:szCs w:val="21"/>
        </w:rPr>
      </w:pPr>
      <w:r w:rsidRPr="00800D22">
        <w:rPr>
          <w:rFonts w:ascii="Times New Roman" w:hAnsi="Times New Roman" w:cs="Times New Roman" w:hint="eastAsia"/>
          <w:sz w:val="21"/>
          <w:szCs w:val="21"/>
        </w:rPr>
        <w:t xml:space="preserve">Figure </w:t>
      </w:r>
      <w:proofErr w:type="gramStart"/>
      <w:r w:rsidRPr="00800D22">
        <w:rPr>
          <w:rFonts w:ascii="Times New Roman" w:hAnsi="Times New Roman" w:cs="Times New Roman" w:hint="eastAsia"/>
          <w:sz w:val="21"/>
          <w:szCs w:val="21"/>
        </w:rPr>
        <w:t xml:space="preserve">5.40  </w:t>
      </w:r>
      <w:smartTag w:uri="urn:schemas-microsoft-com:office:smarttags" w:element="place">
        <w:smartTag w:uri="urn:schemas-microsoft-com:office:smarttags" w:element="country-region">
          <w:r w:rsidRPr="00800D22">
            <w:rPr>
              <w:rFonts w:ascii="Times New Roman" w:hAnsi="Times New Roman" w:cs="Times New Roman" w:hint="eastAsia"/>
              <w:sz w:val="21"/>
              <w:szCs w:val="21"/>
            </w:rPr>
            <w:t>Korea</w:t>
          </w:r>
        </w:smartTag>
      </w:smartTag>
      <w:proofErr w:type="gramEnd"/>
      <w:r w:rsidRPr="00800D22">
        <w:rPr>
          <w:rFonts w:ascii="Times New Roman" w:hAnsi="Times New Roman" w:cs="Times New Roman" w:hint="eastAsia"/>
          <w:sz w:val="21"/>
          <w:szCs w:val="21"/>
        </w:rPr>
        <w:t xml:space="preserve"> enterprises issued c</w:t>
      </w:r>
      <w:r w:rsidRPr="00800D22">
        <w:rPr>
          <w:rFonts w:ascii="Times New Roman" w:hAnsi="Times New Roman" w:cs="Times New Roman"/>
          <w:sz w:val="21"/>
          <w:szCs w:val="21"/>
        </w:rPr>
        <w:t>orporate bonds</w:t>
      </w:r>
      <w:r w:rsidRPr="00800D22">
        <w:rPr>
          <w:rFonts w:ascii="Times New Roman" w:hAnsi="Times New Roman" w:cs="Times New Roman" w:hint="eastAsia"/>
          <w:sz w:val="21"/>
          <w:szCs w:val="21"/>
        </w:rPr>
        <w:t xml:space="preserve"> from 2000 to 2002</w:t>
      </w:r>
    </w:p>
    <w:p w14:paraId="180D67F4" w14:textId="77777777" w:rsidR="002E2F38" w:rsidRPr="00800D22" w:rsidRDefault="002E2F38" w:rsidP="002E2F38">
      <w:pPr>
        <w:autoSpaceDE w:val="0"/>
        <w:autoSpaceDN w:val="0"/>
        <w:spacing w:afterLines="50" w:after="156"/>
        <w:ind w:firstLineChars="400" w:firstLine="720"/>
        <w:jc w:val="left"/>
        <w:rPr>
          <w:kern w:val="0"/>
          <w:sz w:val="18"/>
          <w:szCs w:val="18"/>
        </w:rPr>
      </w:pPr>
      <w:r w:rsidRPr="00800D22">
        <w:rPr>
          <w:sz w:val="18"/>
          <w:szCs w:val="18"/>
        </w:rPr>
        <w:t>数据来源：</w:t>
      </w:r>
      <w:r w:rsidRPr="00800D22">
        <w:rPr>
          <w:kern w:val="0"/>
          <w:sz w:val="18"/>
          <w:szCs w:val="18"/>
        </w:rPr>
        <w:t>Financial Supervisory Service</w:t>
      </w:r>
      <w:r w:rsidRPr="00800D22">
        <w:rPr>
          <w:kern w:val="0"/>
          <w:sz w:val="18"/>
          <w:szCs w:val="18"/>
        </w:rPr>
        <w:t>，韩国股票交易所</w:t>
      </w:r>
    </w:p>
    <w:p w14:paraId="5559BCE7" w14:textId="18869CCF" w:rsidR="002E2F38" w:rsidRPr="00800D22" w:rsidRDefault="002E2F38" w:rsidP="002E2F38">
      <w:pPr>
        <w:spacing w:line="440" w:lineRule="exact"/>
        <w:ind w:firstLineChars="200" w:firstLine="480"/>
        <w:outlineLvl w:val="3"/>
        <w:rPr>
          <w:rFonts w:ascii="黑体" w:eastAsia="黑体" w:hAnsi="宋体"/>
          <w:bCs/>
          <w:sz w:val="24"/>
        </w:rPr>
      </w:pPr>
      <w:r>
        <w:rPr>
          <w:rFonts w:ascii="黑体" w:eastAsia="黑体" w:hAnsi="宋体" w:hint="eastAsia"/>
          <w:bCs/>
          <w:sz w:val="24"/>
        </w:rPr>
        <w:t>2.</w:t>
      </w:r>
      <w:r w:rsidRPr="00800D22">
        <w:rPr>
          <w:rFonts w:ascii="黑体" w:eastAsia="黑体" w:hAnsi="宋体"/>
          <w:bCs/>
          <w:sz w:val="24"/>
        </w:rPr>
        <w:t>非银行第三方担保</w:t>
      </w:r>
    </w:p>
    <w:p w14:paraId="6EB0CBC6" w14:textId="77777777" w:rsidR="002E2F38" w:rsidRPr="00800D22" w:rsidRDefault="002E2F38" w:rsidP="002E2F38">
      <w:pPr>
        <w:spacing w:line="440" w:lineRule="exact"/>
        <w:ind w:firstLineChars="200" w:firstLine="480"/>
        <w:rPr>
          <w:sz w:val="24"/>
        </w:rPr>
      </w:pPr>
      <w:r w:rsidRPr="00800D22">
        <w:rPr>
          <w:sz w:val="24"/>
        </w:rPr>
        <w:t>20</w:t>
      </w:r>
      <w:r w:rsidRPr="00800D22">
        <w:rPr>
          <w:sz w:val="24"/>
        </w:rPr>
        <w:t>世纪</w:t>
      </w:r>
      <w:r w:rsidRPr="00800D22">
        <w:rPr>
          <w:sz w:val="24"/>
        </w:rPr>
        <w:t>70</w:t>
      </w:r>
      <w:r w:rsidRPr="00800D22">
        <w:rPr>
          <w:sz w:val="24"/>
        </w:rPr>
        <w:t>年代，韩国政府已意识到金融风险向银行系统过度集中，开始培育</w:t>
      </w:r>
      <w:r w:rsidRPr="00800D22">
        <w:rPr>
          <w:rFonts w:hint="eastAsia"/>
          <w:sz w:val="24"/>
        </w:rPr>
        <w:t>银行之外的担保主体以及探索银行担保之外的增信方式</w:t>
      </w:r>
      <w:r w:rsidRPr="00800D22">
        <w:rPr>
          <w:sz w:val="24"/>
        </w:rPr>
        <w:t>。</w:t>
      </w:r>
      <w:r w:rsidRPr="00800D22">
        <w:rPr>
          <w:sz w:val="24"/>
        </w:rPr>
        <w:t>1972</w:t>
      </w:r>
      <w:r w:rsidRPr="00800D22">
        <w:rPr>
          <w:sz w:val="24"/>
        </w:rPr>
        <w:t>年韩国政府选</w:t>
      </w:r>
      <w:r w:rsidRPr="00800D22">
        <w:rPr>
          <w:rFonts w:hint="eastAsia"/>
          <w:sz w:val="24"/>
        </w:rPr>
        <w:t>定</w:t>
      </w:r>
      <w:r w:rsidRPr="00800D22">
        <w:rPr>
          <w:sz w:val="24"/>
        </w:rPr>
        <w:t>韩国投资公司（</w:t>
      </w:r>
      <w:r w:rsidRPr="00800D22">
        <w:rPr>
          <w:sz w:val="24"/>
        </w:rPr>
        <w:t xml:space="preserve">Korea Investment Corporation </w:t>
      </w:r>
      <w:r w:rsidRPr="00800D22">
        <w:rPr>
          <w:sz w:val="24"/>
        </w:rPr>
        <w:t>，简称</w:t>
      </w:r>
      <w:r w:rsidRPr="00800D22">
        <w:rPr>
          <w:rFonts w:hint="eastAsia"/>
          <w:sz w:val="24"/>
        </w:rPr>
        <w:t>“</w:t>
      </w:r>
      <w:r w:rsidRPr="00800D22">
        <w:rPr>
          <w:sz w:val="24"/>
        </w:rPr>
        <w:t>KIC</w:t>
      </w:r>
      <w:r w:rsidRPr="00800D22">
        <w:rPr>
          <w:rFonts w:hint="eastAsia"/>
          <w:sz w:val="24"/>
        </w:rPr>
        <w:t>”</w:t>
      </w:r>
      <w:r w:rsidRPr="00800D22">
        <w:rPr>
          <w:sz w:val="24"/>
        </w:rPr>
        <w:t>）为唯一的债券担保方</w:t>
      </w:r>
      <w:r w:rsidRPr="00800D22">
        <w:rPr>
          <w:rFonts w:hint="eastAsia"/>
          <w:sz w:val="24"/>
        </w:rPr>
        <w:t>。</w:t>
      </w:r>
      <w:r w:rsidRPr="00800D22">
        <w:rPr>
          <w:sz w:val="24"/>
        </w:rPr>
        <w:t>在担保需求不断增加的情况下，</w:t>
      </w:r>
      <w:r w:rsidRPr="00800D22">
        <w:rPr>
          <w:sz w:val="24"/>
        </w:rPr>
        <w:t>1989</w:t>
      </w:r>
      <w:r w:rsidRPr="00800D22">
        <w:rPr>
          <w:sz w:val="24"/>
        </w:rPr>
        <w:t>年，政府参与成立了</w:t>
      </w:r>
      <w:r w:rsidRPr="00800D22">
        <w:rPr>
          <w:sz w:val="24"/>
        </w:rPr>
        <w:t>Hankook Fidelity</w:t>
      </w:r>
      <w:r w:rsidRPr="00800D22">
        <w:rPr>
          <w:sz w:val="24"/>
        </w:rPr>
        <w:t>和</w:t>
      </w:r>
      <w:r w:rsidRPr="00800D22">
        <w:rPr>
          <w:sz w:val="24"/>
        </w:rPr>
        <w:t>Surety Company</w:t>
      </w:r>
      <w:r w:rsidRPr="00800D22">
        <w:rPr>
          <w:sz w:val="24"/>
        </w:rPr>
        <w:t>来增加对中小企业的金融支</w:t>
      </w:r>
      <w:r w:rsidRPr="00800D22">
        <w:rPr>
          <w:rFonts w:hint="eastAsia"/>
          <w:sz w:val="24"/>
        </w:rPr>
        <w:t>。；</w:t>
      </w:r>
      <w:r w:rsidRPr="00800D22">
        <w:rPr>
          <w:sz w:val="24"/>
        </w:rPr>
        <w:t>债券担保</w:t>
      </w:r>
      <w:r w:rsidRPr="00800D22">
        <w:rPr>
          <w:rFonts w:hint="eastAsia"/>
          <w:sz w:val="24"/>
        </w:rPr>
        <w:t>体系</w:t>
      </w:r>
      <w:r w:rsidRPr="00800D22">
        <w:rPr>
          <w:sz w:val="24"/>
        </w:rPr>
        <w:t>中也</w:t>
      </w:r>
      <w:r w:rsidRPr="00800D22">
        <w:rPr>
          <w:rFonts w:hint="eastAsia"/>
          <w:sz w:val="24"/>
        </w:rPr>
        <w:t>开始</w:t>
      </w:r>
      <w:r w:rsidRPr="00800D22">
        <w:rPr>
          <w:sz w:val="24"/>
        </w:rPr>
        <w:t>纳入证</w:t>
      </w:r>
      <w:r w:rsidRPr="00800D22">
        <w:rPr>
          <w:sz w:val="24"/>
        </w:rPr>
        <w:lastRenderedPageBreak/>
        <w:t>券公司</w:t>
      </w:r>
      <w:r w:rsidRPr="00800D22">
        <w:rPr>
          <w:rFonts w:hint="eastAsia"/>
          <w:sz w:val="24"/>
        </w:rPr>
        <w:t>及其它</w:t>
      </w:r>
      <w:r w:rsidRPr="00800D22">
        <w:rPr>
          <w:sz w:val="24"/>
        </w:rPr>
        <w:t>第三方担保</w:t>
      </w:r>
      <w:r w:rsidRPr="00800D22">
        <w:rPr>
          <w:rFonts w:hint="eastAsia"/>
          <w:sz w:val="24"/>
        </w:rPr>
        <w:t>主体</w:t>
      </w:r>
      <w:r w:rsidRPr="00800D22">
        <w:rPr>
          <w:sz w:val="24"/>
        </w:rPr>
        <w:t>。在</w:t>
      </w:r>
      <w:r w:rsidRPr="00800D22">
        <w:rPr>
          <w:sz w:val="24"/>
        </w:rPr>
        <w:t>20</w:t>
      </w:r>
      <w:r w:rsidRPr="00800D22">
        <w:rPr>
          <w:sz w:val="24"/>
        </w:rPr>
        <w:t>世纪</w:t>
      </w:r>
      <w:r w:rsidRPr="00800D22">
        <w:rPr>
          <w:sz w:val="24"/>
        </w:rPr>
        <w:t>80</w:t>
      </w:r>
      <w:r w:rsidRPr="00800D22">
        <w:rPr>
          <w:sz w:val="24"/>
        </w:rPr>
        <w:t>年代经济增长和政府鼓励的背景下，公司债券担保被认为</w:t>
      </w:r>
      <w:r w:rsidRPr="00800D22">
        <w:rPr>
          <w:rFonts w:hint="eastAsia"/>
          <w:sz w:val="24"/>
        </w:rPr>
        <w:t>是</w:t>
      </w:r>
      <w:r w:rsidRPr="00800D22">
        <w:rPr>
          <w:sz w:val="24"/>
        </w:rPr>
        <w:t>风险低、收益高的业务，除银行外</w:t>
      </w:r>
      <w:r w:rsidRPr="00800D22">
        <w:rPr>
          <w:rFonts w:hint="eastAsia"/>
          <w:sz w:val="24"/>
        </w:rPr>
        <w:t>，</w:t>
      </w:r>
      <w:r w:rsidRPr="00800D22">
        <w:rPr>
          <w:sz w:val="24"/>
        </w:rPr>
        <w:t>证券公司和保险公司在债券担保市场上都十分活跃，纷纷参与到</w:t>
      </w:r>
      <w:r w:rsidRPr="00800D22">
        <w:rPr>
          <w:rFonts w:hint="eastAsia"/>
          <w:sz w:val="24"/>
        </w:rPr>
        <w:t>担保</w:t>
      </w:r>
      <w:r w:rsidRPr="00800D22">
        <w:rPr>
          <w:sz w:val="24"/>
        </w:rPr>
        <w:t>体系中来。到</w:t>
      </w:r>
      <w:r w:rsidRPr="00800D22">
        <w:rPr>
          <w:sz w:val="24"/>
        </w:rPr>
        <w:t>1997</w:t>
      </w:r>
      <w:r w:rsidRPr="00800D22">
        <w:rPr>
          <w:sz w:val="24"/>
        </w:rPr>
        <w:t>年，随着保险公司</w:t>
      </w:r>
      <w:r w:rsidRPr="00800D22">
        <w:rPr>
          <w:rFonts w:hint="eastAsia"/>
          <w:sz w:val="24"/>
        </w:rPr>
        <w:t>及其它</w:t>
      </w:r>
      <w:r w:rsidRPr="00800D22">
        <w:rPr>
          <w:sz w:val="24"/>
        </w:rPr>
        <w:t>参与主体的成熟以及国家多层次信用体系的建设，银行担保所占比例退居</w:t>
      </w:r>
      <w:r w:rsidRPr="00800D22">
        <w:rPr>
          <w:sz w:val="24"/>
        </w:rPr>
        <w:t>23%</w:t>
      </w:r>
      <w:r w:rsidRPr="00800D22">
        <w:rPr>
          <w:sz w:val="24"/>
        </w:rPr>
        <w:t>，而保险公司和政府担保基金占据了</w:t>
      </w:r>
      <w:r w:rsidRPr="00800D22">
        <w:rPr>
          <w:sz w:val="24"/>
        </w:rPr>
        <w:t>56%</w:t>
      </w:r>
      <w:r w:rsidRPr="00800D22">
        <w:rPr>
          <w:sz w:val="24"/>
        </w:rPr>
        <w:t>的市场份额，担保主体实现了多元化，增信体系进一步成熟。</w:t>
      </w:r>
      <w:r w:rsidRPr="00800D22">
        <w:rPr>
          <w:sz w:val="24"/>
        </w:rPr>
        <w:t xml:space="preserve">   </w:t>
      </w:r>
    </w:p>
    <w:p w14:paraId="0F864D50" w14:textId="77777777" w:rsidR="002E2F38" w:rsidRPr="00800D22" w:rsidRDefault="002E2F38" w:rsidP="002E2F38">
      <w:pPr>
        <w:spacing w:line="440" w:lineRule="exact"/>
        <w:ind w:firstLineChars="200" w:firstLine="480"/>
        <w:rPr>
          <w:sz w:val="24"/>
        </w:rPr>
      </w:pPr>
      <w:r w:rsidRPr="00800D22">
        <w:rPr>
          <w:sz w:val="24"/>
        </w:rPr>
        <w:t>而就在这一</w:t>
      </w:r>
      <w:r w:rsidRPr="00800D22">
        <w:rPr>
          <w:rFonts w:hint="eastAsia"/>
          <w:sz w:val="24"/>
        </w:rPr>
        <w:t>时期</w:t>
      </w:r>
      <w:r w:rsidRPr="00800D22">
        <w:rPr>
          <w:sz w:val="24"/>
        </w:rPr>
        <w:t>，风险却在集聚。</w:t>
      </w:r>
      <w:r w:rsidRPr="00800D22">
        <w:rPr>
          <w:sz w:val="24"/>
        </w:rPr>
        <w:t>1997</w:t>
      </w:r>
      <w:r w:rsidRPr="00800D22">
        <w:rPr>
          <w:sz w:val="24"/>
        </w:rPr>
        <w:t>年前，投资者更多</w:t>
      </w:r>
      <w:r w:rsidRPr="00800D22">
        <w:rPr>
          <w:rFonts w:hint="eastAsia"/>
          <w:sz w:val="24"/>
        </w:rPr>
        <w:t>地</w:t>
      </w:r>
      <w:r w:rsidRPr="00800D22">
        <w:rPr>
          <w:sz w:val="24"/>
        </w:rPr>
        <w:t>根据担保机构而不是信用评级</w:t>
      </w:r>
      <w:r w:rsidRPr="00800D22">
        <w:rPr>
          <w:rFonts w:hint="eastAsia"/>
          <w:sz w:val="24"/>
        </w:rPr>
        <w:t>结果</w:t>
      </w:r>
      <w:r w:rsidRPr="00800D22">
        <w:rPr>
          <w:sz w:val="24"/>
        </w:rPr>
        <w:t>来进行投资决策。由于缺乏可靠的信息，金融机构的担保给投资者提供了信心，只要债券被担保，债券投资就被认为是安全的，因此公司债券市场上的债券价格并不</w:t>
      </w:r>
      <w:r w:rsidRPr="00800D22">
        <w:rPr>
          <w:rFonts w:hint="eastAsia"/>
          <w:sz w:val="24"/>
        </w:rPr>
        <w:t>反映</w:t>
      </w:r>
      <w:r w:rsidRPr="00800D22">
        <w:rPr>
          <w:sz w:val="24"/>
        </w:rPr>
        <w:t>发行</w:t>
      </w:r>
      <w:r w:rsidRPr="00800D22">
        <w:rPr>
          <w:rFonts w:hint="eastAsia"/>
          <w:sz w:val="24"/>
        </w:rPr>
        <w:t>人</w:t>
      </w:r>
      <w:r w:rsidRPr="00800D22">
        <w:rPr>
          <w:sz w:val="24"/>
        </w:rPr>
        <w:t>的信用质量。而且，不同金融机构的担保费用差别甚微，但是金融机构的信用质量差别甚远，市场合理的定价机制难以形成，整个债券市场风险被隐藏在系统内。</w:t>
      </w:r>
    </w:p>
    <w:p w14:paraId="2E50BC92" w14:textId="77777777" w:rsidR="002E2F38" w:rsidRPr="00800D22" w:rsidRDefault="002E2F38" w:rsidP="002E2F38">
      <w:pPr>
        <w:widowControl/>
        <w:spacing w:line="440" w:lineRule="exact"/>
        <w:ind w:firstLineChars="200" w:firstLine="480"/>
        <w:rPr>
          <w:sz w:val="24"/>
        </w:rPr>
      </w:pPr>
      <w:r w:rsidRPr="00800D22">
        <w:rPr>
          <w:sz w:val="24"/>
        </w:rPr>
        <w:t>1997</w:t>
      </w:r>
      <w:r w:rsidRPr="00800D22">
        <w:rPr>
          <w:sz w:val="24"/>
        </w:rPr>
        <w:t>年亚洲金融危机爆发，市场风险充分暴露，财务实力相对实际风险承受</w:t>
      </w:r>
      <w:r w:rsidRPr="00800D22">
        <w:rPr>
          <w:rFonts w:hint="eastAsia"/>
          <w:sz w:val="24"/>
        </w:rPr>
        <w:t>能力</w:t>
      </w:r>
      <w:r w:rsidRPr="00800D22">
        <w:rPr>
          <w:sz w:val="24"/>
        </w:rPr>
        <w:t>悬殊较大的银行</w:t>
      </w:r>
      <w:r w:rsidRPr="00800D22">
        <w:rPr>
          <w:rFonts w:hint="eastAsia"/>
          <w:sz w:val="24"/>
        </w:rPr>
        <w:t>和</w:t>
      </w:r>
      <w:r w:rsidRPr="00800D22">
        <w:rPr>
          <w:sz w:val="24"/>
        </w:rPr>
        <w:t>信托公司纷纷破产</w:t>
      </w:r>
      <w:r w:rsidRPr="00800D22">
        <w:rPr>
          <w:rFonts w:hint="eastAsia"/>
          <w:sz w:val="24"/>
        </w:rPr>
        <w:t>。</w:t>
      </w:r>
      <w:r w:rsidRPr="00800D22">
        <w:rPr>
          <w:sz w:val="24"/>
        </w:rPr>
        <w:t>韩国政府为了控制金融风险</w:t>
      </w:r>
      <w:r w:rsidRPr="00800D22">
        <w:rPr>
          <w:rFonts w:hint="eastAsia"/>
          <w:sz w:val="24"/>
        </w:rPr>
        <w:t>，</w:t>
      </w:r>
      <w:r w:rsidRPr="00800D22">
        <w:rPr>
          <w:sz w:val="24"/>
        </w:rPr>
        <w:t>规范担保市场的发展，对担保机构提出了严格的资本金要求</w:t>
      </w:r>
      <w:r w:rsidRPr="00800D22">
        <w:rPr>
          <w:rFonts w:hint="eastAsia"/>
          <w:sz w:val="24"/>
        </w:rPr>
        <w:t>。</w:t>
      </w:r>
      <w:r w:rsidRPr="00800D22">
        <w:rPr>
          <w:sz w:val="24"/>
        </w:rPr>
        <w:t>此次改革增加了金融机构的担保成本。同时，在此次金融危机中，担保机构重新洗牌</w:t>
      </w:r>
      <w:r w:rsidRPr="00800D22">
        <w:rPr>
          <w:rFonts w:hint="eastAsia"/>
          <w:sz w:val="24"/>
        </w:rPr>
        <w:t>，</w:t>
      </w:r>
      <w:r w:rsidRPr="00800D22">
        <w:rPr>
          <w:sz w:val="24"/>
        </w:rPr>
        <w:t>除了担保公司和担保基金之外，多数担保机构退出担保市场</w:t>
      </w:r>
      <w:r w:rsidRPr="00800D22">
        <w:rPr>
          <w:rFonts w:hint="eastAsia"/>
          <w:sz w:val="24"/>
        </w:rPr>
        <w:t>。</w:t>
      </w:r>
      <w:r w:rsidRPr="00800D22">
        <w:rPr>
          <w:sz w:val="24"/>
        </w:rPr>
        <w:t>担保机构退出担保后，韩国有担保债券发行受到极大地限制，从而萌生了无担保债</w:t>
      </w:r>
      <w:r w:rsidRPr="00800D22">
        <w:rPr>
          <w:rFonts w:hint="eastAsia"/>
          <w:sz w:val="24"/>
        </w:rPr>
        <w:t>券</w:t>
      </w:r>
      <w:r w:rsidRPr="00800D22">
        <w:rPr>
          <w:sz w:val="24"/>
        </w:rPr>
        <w:t>的发展（如图</w:t>
      </w:r>
      <w:r w:rsidRPr="00800D22">
        <w:rPr>
          <w:rFonts w:hint="eastAsia"/>
          <w:sz w:val="24"/>
        </w:rPr>
        <w:t>5</w:t>
      </w:r>
      <w:r w:rsidRPr="00800D22">
        <w:rPr>
          <w:sz w:val="24"/>
        </w:rPr>
        <w:t>.</w:t>
      </w:r>
      <w:r w:rsidRPr="00800D22">
        <w:rPr>
          <w:rFonts w:hint="eastAsia"/>
          <w:sz w:val="24"/>
        </w:rPr>
        <w:t>41</w:t>
      </w:r>
      <w:r w:rsidRPr="00800D22">
        <w:rPr>
          <w:sz w:val="24"/>
        </w:rPr>
        <w:t>）。</w:t>
      </w:r>
    </w:p>
    <w:p w14:paraId="6A5F03F4" w14:textId="77777777" w:rsidR="002E2F38" w:rsidRPr="00800D22" w:rsidRDefault="002E2F38" w:rsidP="002E2F38">
      <w:pPr>
        <w:widowControl/>
        <w:spacing w:afterLines="100" w:after="312" w:line="440" w:lineRule="exact"/>
        <w:ind w:firstLineChars="200" w:firstLine="480"/>
        <w:rPr>
          <w:sz w:val="24"/>
        </w:rPr>
      </w:pPr>
      <w:r w:rsidRPr="00800D22">
        <w:rPr>
          <w:sz w:val="24"/>
        </w:rPr>
        <w:t>而在有担保市场方面，亚洲金融危机爆发后，担保市场的进入门槛</w:t>
      </w:r>
      <w:r w:rsidRPr="00800D22">
        <w:rPr>
          <w:rFonts w:hint="eastAsia"/>
          <w:sz w:val="24"/>
        </w:rPr>
        <w:t>和</w:t>
      </w:r>
      <w:r w:rsidRPr="00800D22">
        <w:rPr>
          <w:sz w:val="24"/>
        </w:rPr>
        <w:t>收费标准等日益规范化，</w:t>
      </w:r>
      <w:r w:rsidRPr="00800D22">
        <w:rPr>
          <w:rFonts w:hint="eastAsia"/>
          <w:sz w:val="24"/>
        </w:rPr>
        <w:t>第三方</w:t>
      </w:r>
      <w:r w:rsidRPr="00800D22">
        <w:rPr>
          <w:sz w:val="24"/>
        </w:rPr>
        <w:t>担保作为债券市场</w:t>
      </w:r>
      <w:r w:rsidRPr="00800D22">
        <w:rPr>
          <w:rFonts w:hint="eastAsia"/>
          <w:sz w:val="24"/>
        </w:rPr>
        <w:t>中重要</w:t>
      </w:r>
      <w:r w:rsidRPr="00800D22">
        <w:rPr>
          <w:sz w:val="24"/>
        </w:rPr>
        <w:t>的增信方式日益成熟。</w:t>
      </w:r>
    </w:p>
    <w:p w14:paraId="5A279C74" w14:textId="49FA61D6" w:rsidR="002E2F38" w:rsidRPr="00800D22" w:rsidRDefault="002E2F38" w:rsidP="002E2F38">
      <w:pPr>
        <w:widowControl/>
        <w:spacing w:line="360" w:lineRule="auto"/>
        <w:rPr>
          <w:sz w:val="24"/>
        </w:rPr>
      </w:pPr>
      <w:r w:rsidRPr="00800D22">
        <w:rPr>
          <w:noProof/>
        </w:rPr>
        <w:drawing>
          <wp:inline distT="0" distB="0" distL="0" distR="0" wp14:anchorId="189E8CE3" wp14:editId="24B4DFCC">
            <wp:extent cx="5264150" cy="2571750"/>
            <wp:effectExtent l="0" t="0" r="0" b="0"/>
            <wp:docPr id="10874011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0" cy="2571750"/>
                    </a:xfrm>
                    <a:prstGeom prst="rect">
                      <a:avLst/>
                    </a:prstGeom>
                    <a:noFill/>
                    <a:ln>
                      <a:noFill/>
                    </a:ln>
                  </pic:spPr>
                </pic:pic>
              </a:graphicData>
            </a:graphic>
          </wp:inline>
        </w:drawing>
      </w:r>
    </w:p>
    <w:p w14:paraId="3CA9EECC" w14:textId="77777777" w:rsidR="002E2F38" w:rsidRPr="00800D22" w:rsidRDefault="002E2F38" w:rsidP="002E2F38">
      <w:pPr>
        <w:keepNext/>
        <w:jc w:val="center"/>
        <w:rPr>
          <w:rFonts w:hint="eastAsia"/>
        </w:rPr>
      </w:pPr>
      <w:bookmarkStart w:id="27" w:name="_Toc246425466"/>
      <w:bookmarkStart w:id="28" w:name="_Toc256507105"/>
      <w:r w:rsidRPr="00800D22">
        <w:rPr>
          <w:rFonts w:hint="eastAsia"/>
        </w:rPr>
        <w:t>图</w:t>
      </w:r>
      <w:r w:rsidRPr="00800D22">
        <w:rPr>
          <w:rFonts w:hint="eastAsia"/>
        </w:rPr>
        <w:t>5.</w:t>
      </w:r>
      <w:r w:rsidRPr="00800D22">
        <w:fldChar w:fldCharType="begin"/>
      </w:r>
      <w:r w:rsidRPr="00800D22">
        <w:instrText xml:space="preserve"> </w:instrText>
      </w:r>
      <w:r w:rsidRPr="00800D22">
        <w:rPr>
          <w:rFonts w:hint="eastAsia"/>
        </w:rPr>
        <w:instrText xml:space="preserve">SEQ </w:instrText>
      </w:r>
      <w:r w:rsidRPr="00800D22">
        <w:rPr>
          <w:rFonts w:hint="eastAsia"/>
        </w:rPr>
        <w:instrText>图</w:instrText>
      </w:r>
      <w:r w:rsidRPr="00800D22">
        <w:rPr>
          <w:rFonts w:hint="eastAsia"/>
        </w:rPr>
        <w:instrText>5. \* ARABIC</w:instrText>
      </w:r>
      <w:r w:rsidRPr="00800D22">
        <w:instrText xml:space="preserve"> </w:instrText>
      </w:r>
      <w:r w:rsidRPr="00800D22">
        <w:fldChar w:fldCharType="separate"/>
      </w:r>
      <w:r w:rsidRPr="00800D22">
        <w:rPr>
          <w:noProof/>
        </w:rPr>
        <w:t>41</w:t>
      </w:r>
      <w:r w:rsidRPr="00800D22">
        <w:fldChar w:fldCharType="end"/>
      </w:r>
      <w:r w:rsidRPr="00800D22">
        <w:rPr>
          <w:rFonts w:hint="eastAsia"/>
        </w:rPr>
        <w:t xml:space="preserve">  </w:t>
      </w:r>
      <w:r w:rsidRPr="00800D22">
        <w:rPr>
          <w:rFonts w:hint="eastAsia"/>
        </w:rPr>
        <w:t>近些年韩国有担保公司债券和无担保公司债券余额情况（单位：</w:t>
      </w:r>
      <w:r w:rsidRPr="00800D22">
        <w:rPr>
          <w:rFonts w:hint="eastAsia"/>
        </w:rPr>
        <w:t>10</w:t>
      </w:r>
      <w:r w:rsidRPr="00800D22">
        <w:rPr>
          <w:rFonts w:hint="eastAsia"/>
        </w:rPr>
        <w:t>亿韩元）</w:t>
      </w:r>
      <w:bookmarkEnd w:id="27"/>
      <w:bookmarkEnd w:id="28"/>
    </w:p>
    <w:p w14:paraId="5E3AEE16" w14:textId="77777777" w:rsidR="002E2F38" w:rsidRPr="00800D22" w:rsidRDefault="002E2F38" w:rsidP="002E2F38">
      <w:pPr>
        <w:jc w:val="center"/>
        <w:rPr>
          <w:rFonts w:eastAsia="新宋体" w:hint="eastAsia"/>
          <w:szCs w:val="21"/>
        </w:rPr>
      </w:pPr>
      <w:r w:rsidRPr="00800D22">
        <w:rPr>
          <w:rFonts w:hint="eastAsia"/>
        </w:rPr>
        <w:t xml:space="preserve">Figure </w:t>
      </w:r>
      <w:proofErr w:type="gramStart"/>
      <w:r w:rsidRPr="00800D22">
        <w:rPr>
          <w:rFonts w:hint="eastAsia"/>
        </w:rPr>
        <w:t>5.41  B</w:t>
      </w:r>
      <w:r w:rsidRPr="00800D22">
        <w:rPr>
          <w:rFonts w:eastAsia="新宋体" w:hint="eastAsia"/>
          <w:szCs w:val="21"/>
        </w:rPr>
        <w:t>alance</w:t>
      </w:r>
      <w:proofErr w:type="gramEnd"/>
      <w:r w:rsidRPr="00800D22">
        <w:rPr>
          <w:rFonts w:eastAsia="新宋体" w:hint="eastAsia"/>
          <w:szCs w:val="21"/>
        </w:rPr>
        <w:t xml:space="preserve"> of Korea secured bonds and unsecured bonds in recent years</w:t>
      </w:r>
    </w:p>
    <w:p w14:paraId="15CCA400" w14:textId="77777777" w:rsidR="002E2F38" w:rsidRPr="00800D22" w:rsidRDefault="002E2F38" w:rsidP="002E2F38">
      <w:pPr>
        <w:jc w:val="center"/>
        <w:rPr>
          <w:rFonts w:hint="eastAsia"/>
        </w:rPr>
      </w:pPr>
      <w:r w:rsidRPr="00800D22">
        <w:rPr>
          <w:rFonts w:eastAsia="新宋体" w:hint="eastAsia"/>
          <w:szCs w:val="21"/>
        </w:rPr>
        <w:lastRenderedPageBreak/>
        <w:t xml:space="preserve"> (Unit: billion </w:t>
      </w:r>
      <w:r w:rsidRPr="00800D22">
        <w:rPr>
          <w:rFonts w:eastAsia="新宋体"/>
          <w:szCs w:val="21"/>
        </w:rPr>
        <w:t>Korean Won</w:t>
      </w:r>
      <w:r w:rsidRPr="00800D22">
        <w:rPr>
          <w:rFonts w:eastAsia="新宋体" w:hint="eastAsia"/>
          <w:szCs w:val="21"/>
        </w:rPr>
        <w:t>)</w:t>
      </w:r>
    </w:p>
    <w:p w14:paraId="66BC5DF4" w14:textId="77777777" w:rsidR="002E2F38" w:rsidRPr="00800D22" w:rsidRDefault="002E2F38" w:rsidP="002E2F38">
      <w:pPr>
        <w:widowControl/>
        <w:spacing w:afterLines="100" w:after="312"/>
        <w:ind w:firstLineChars="100" w:firstLine="180"/>
        <w:rPr>
          <w:rFonts w:hint="eastAsia"/>
          <w:sz w:val="18"/>
          <w:szCs w:val="18"/>
        </w:rPr>
      </w:pPr>
      <w:r w:rsidRPr="00800D22">
        <w:rPr>
          <w:sz w:val="18"/>
          <w:szCs w:val="18"/>
        </w:rPr>
        <w:t>数据来源：韩国证券电脑公司</w:t>
      </w:r>
    </w:p>
    <w:p w14:paraId="636D3E31" w14:textId="42BF2A10" w:rsidR="002E2F38" w:rsidRPr="00800D22" w:rsidRDefault="002E2F38" w:rsidP="002E2F38">
      <w:pPr>
        <w:spacing w:line="440" w:lineRule="exact"/>
        <w:ind w:firstLineChars="200" w:firstLine="480"/>
        <w:outlineLvl w:val="3"/>
        <w:rPr>
          <w:rFonts w:ascii="黑体" w:eastAsia="黑体" w:hAnsi="宋体" w:hint="eastAsia"/>
          <w:bCs/>
          <w:sz w:val="24"/>
        </w:rPr>
      </w:pPr>
      <w:r>
        <w:rPr>
          <w:rFonts w:ascii="黑体" w:eastAsia="黑体" w:hAnsi="宋体" w:hint="eastAsia"/>
          <w:bCs/>
          <w:sz w:val="24"/>
        </w:rPr>
        <w:t>3.</w:t>
      </w:r>
      <w:r w:rsidRPr="00800D22">
        <w:rPr>
          <w:rFonts w:ascii="黑体" w:eastAsia="黑体" w:hAnsi="宋体" w:hint="eastAsia"/>
          <w:bCs/>
          <w:sz w:val="24"/>
        </w:rPr>
        <w:t>债券信托</w:t>
      </w:r>
    </w:p>
    <w:p w14:paraId="70F7D4DC" w14:textId="77777777" w:rsidR="002E2F38" w:rsidRPr="00800D22" w:rsidRDefault="002E2F38" w:rsidP="002E2F38">
      <w:pPr>
        <w:widowControl/>
        <w:spacing w:line="440" w:lineRule="exact"/>
        <w:ind w:firstLineChars="200" w:firstLine="480"/>
        <w:rPr>
          <w:rFonts w:hint="eastAsia"/>
          <w:sz w:val="24"/>
        </w:rPr>
      </w:pPr>
      <w:r w:rsidRPr="00800D22">
        <w:rPr>
          <w:sz w:val="24"/>
        </w:rPr>
        <w:t>伴随着债券市场的发展，韩国增信体系开始出现结构性变化，以银行担保为主的增信体系被完全革新。此时，韩国借鉴了美国</w:t>
      </w:r>
      <w:r w:rsidRPr="00800D22">
        <w:rPr>
          <w:rFonts w:ascii="宋体" w:hAnsi="宋体" w:cs="宋体" w:hint="eastAsia"/>
          <w:sz w:val="24"/>
        </w:rPr>
        <w:t>及其它</w:t>
      </w:r>
      <w:r w:rsidRPr="00800D22">
        <w:rPr>
          <w:sz w:val="24"/>
        </w:rPr>
        <w:t>发达国家增信体系中的公司担保制度，在信托公司资本实力、经营能力</w:t>
      </w:r>
      <w:r w:rsidRPr="00800D22">
        <w:rPr>
          <w:rFonts w:hint="eastAsia"/>
          <w:sz w:val="24"/>
        </w:rPr>
        <w:t>和</w:t>
      </w:r>
      <w:r w:rsidRPr="00800D22">
        <w:rPr>
          <w:sz w:val="24"/>
        </w:rPr>
        <w:t>抗风险能力逐步成熟之上，引进了附担保公司债券信托的增信方式</w:t>
      </w:r>
      <w:r w:rsidRPr="00800D22">
        <w:rPr>
          <w:rFonts w:hint="eastAsia"/>
          <w:sz w:val="24"/>
        </w:rPr>
        <w:t>。</w:t>
      </w:r>
      <w:r w:rsidRPr="00800D22">
        <w:rPr>
          <w:sz w:val="24"/>
        </w:rPr>
        <w:t>该种既能够为公司债券提供担保，又能够避免银行担保模式各项弊端的增信方法，大力促进了韩国公司债券市场的发展。</w:t>
      </w:r>
    </w:p>
    <w:p w14:paraId="6EADEDCF" w14:textId="77777777" w:rsidR="002E2F38" w:rsidRPr="00800D22" w:rsidRDefault="002E2F38" w:rsidP="002E2F38">
      <w:pPr>
        <w:widowControl/>
        <w:spacing w:line="440" w:lineRule="exact"/>
        <w:ind w:firstLineChars="200" w:firstLine="482"/>
        <w:rPr>
          <w:rFonts w:hint="eastAsia"/>
          <w:b/>
          <w:sz w:val="24"/>
        </w:rPr>
      </w:pPr>
      <w:r w:rsidRPr="00800D22">
        <w:rPr>
          <w:rFonts w:hint="eastAsia"/>
          <w:b/>
          <w:sz w:val="24"/>
        </w:rPr>
        <w:t>（</w:t>
      </w:r>
      <w:r w:rsidRPr="00800D22">
        <w:rPr>
          <w:rFonts w:hint="eastAsia"/>
          <w:b/>
          <w:sz w:val="24"/>
        </w:rPr>
        <w:t>1</w:t>
      </w:r>
      <w:r w:rsidRPr="00800D22">
        <w:rPr>
          <w:rFonts w:hint="eastAsia"/>
          <w:b/>
          <w:sz w:val="24"/>
        </w:rPr>
        <w:t>）基本增信原理</w:t>
      </w:r>
    </w:p>
    <w:p w14:paraId="21892200" w14:textId="77777777" w:rsidR="002E2F38" w:rsidRPr="00800D22" w:rsidRDefault="002E2F38" w:rsidP="002E2F38">
      <w:pPr>
        <w:widowControl/>
        <w:spacing w:line="440" w:lineRule="exact"/>
        <w:ind w:firstLineChars="200" w:firstLine="480"/>
        <w:rPr>
          <w:rFonts w:hint="eastAsia"/>
          <w:sz w:val="24"/>
        </w:rPr>
      </w:pPr>
      <w:r w:rsidRPr="00800D22">
        <w:rPr>
          <w:rFonts w:hint="eastAsia"/>
          <w:sz w:val="24"/>
        </w:rPr>
        <w:t>附担保公司债券信托由于在设立时发行人将资产交由信托机构保管，一旦发行人发生违约，信托机构有权对信托资产进行处置，从而使投资者取回债券本息，因而附担保公司债券信托实质上可以</w:t>
      </w:r>
      <w:proofErr w:type="gramStart"/>
      <w:r w:rsidRPr="00800D22">
        <w:rPr>
          <w:rFonts w:hint="eastAsia"/>
          <w:sz w:val="24"/>
        </w:rPr>
        <w:t>看做</w:t>
      </w:r>
      <w:proofErr w:type="gramEnd"/>
      <w:r w:rsidRPr="00800D22">
        <w:rPr>
          <w:rFonts w:hint="eastAsia"/>
          <w:sz w:val="24"/>
        </w:rPr>
        <w:t>是</w:t>
      </w:r>
      <w:r w:rsidRPr="00800D22">
        <w:rPr>
          <w:rFonts w:hint="eastAsia"/>
          <w:sz w:val="24"/>
        </w:rPr>
        <w:t xml:space="preserve"> </w:t>
      </w:r>
      <w:r w:rsidRPr="00800D22">
        <w:rPr>
          <w:rFonts w:hint="eastAsia"/>
          <w:sz w:val="24"/>
        </w:rPr>
        <w:t>“带抵押公司债券信托”。正是由于附担保公司债券信托的这种特性使得其成为一种有效的增信方式。此外，附担保公司债券信托通过第三方的信用增强（信托机构作为受托人代表分散的债券持有人保管并实现担保权）的形式，增加公司债券对投资者的吸引力，最大限度的减少债券发行公司债务不履行的信用风险。</w:t>
      </w:r>
    </w:p>
    <w:p w14:paraId="24EA20F6" w14:textId="77777777" w:rsidR="002E2F38" w:rsidRPr="00800D22" w:rsidRDefault="002E2F38" w:rsidP="002E2F38">
      <w:pPr>
        <w:widowControl/>
        <w:spacing w:line="440" w:lineRule="exact"/>
        <w:ind w:firstLineChars="200" w:firstLine="482"/>
        <w:jc w:val="left"/>
        <w:rPr>
          <w:rFonts w:hint="eastAsia"/>
          <w:b/>
          <w:sz w:val="24"/>
        </w:rPr>
      </w:pPr>
      <w:r w:rsidRPr="00800D22">
        <w:rPr>
          <w:rFonts w:hint="eastAsia"/>
          <w:b/>
          <w:sz w:val="24"/>
        </w:rPr>
        <w:t>（</w:t>
      </w:r>
      <w:r w:rsidRPr="00800D22">
        <w:rPr>
          <w:rFonts w:hint="eastAsia"/>
          <w:b/>
          <w:sz w:val="24"/>
        </w:rPr>
        <w:t>2</w:t>
      </w:r>
      <w:r w:rsidRPr="00800D22">
        <w:rPr>
          <w:rFonts w:hint="eastAsia"/>
          <w:b/>
          <w:sz w:val="24"/>
        </w:rPr>
        <w:t>）</w:t>
      </w:r>
      <w:r w:rsidRPr="00800D22">
        <w:rPr>
          <w:b/>
          <w:sz w:val="24"/>
        </w:rPr>
        <w:t>业务操作程序</w:t>
      </w:r>
    </w:p>
    <w:p w14:paraId="44FF315E" w14:textId="77777777" w:rsidR="002E2F38" w:rsidRPr="00800D22" w:rsidRDefault="002E2F38" w:rsidP="002E2F38">
      <w:pPr>
        <w:widowControl/>
        <w:spacing w:line="440" w:lineRule="exact"/>
        <w:ind w:firstLineChars="200" w:firstLine="480"/>
        <w:rPr>
          <w:b/>
          <w:sz w:val="24"/>
        </w:rPr>
      </w:pPr>
      <w:r w:rsidRPr="00800D22">
        <w:rPr>
          <w:rFonts w:ascii="宋体" w:hAnsi="宋体" w:hint="eastAsia"/>
          <w:sz w:val="24"/>
        </w:rPr>
        <w:t>①</w:t>
      </w:r>
      <w:r w:rsidRPr="00800D22">
        <w:rPr>
          <w:sz w:val="24"/>
        </w:rPr>
        <w:t>公司债券发行人发行债券前向全体公司债券债权人提供物的担保。</w:t>
      </w:r>
    </w:p>
    <w:p w14:paraId="0D15BF3D" w14:textId="77777777" w:rsidR="002E2F38" w:rsidRPr="00800D22" w:rsidRDefault="002E2F38" w:rsidP="002E2F38">
      <w:pPr>
        <w:widowControl/>
        <w:spacing w:line="440" w:lineRule="exact"/>
        <w:ind w:firstLineChars="200" w:firstLine="480"/>
        <w:rPr>
          <w:sz w:val="24"/>
        </w:rPr>
      </w:pPr>
      <w:r w:rsidRPr="00800D22">
        <w:rPr>
          <w:rFonts w:ascii="宋体" w:hAnsi="宋体" w:hint="eastAsia"/>
          <w:sz w:val="24"/>
        </w:rPr>
        <w:t>②</w:t>
      </w:r>
      <w:r w:rsidRPr="00800D22">
        <w:rPr>
          <w:sz w:val="24"/>
        </w:rPr>
        <w:t>受托人受债券发行审批机关委托</w:t>
      </w:r>
      <w:r w:rsidRPr="00800D22">
        <w:rPr>
          <w:rFonts w:hint="eastAsia"/>
          <w:sz w:val="24"/>
        </w:rPr>
        <w:t>，</w:t>
      </w:r>
      <w:r w:rsidRPr="00800D22">
        <w:rPr>
          <w:sz w:val="24"/>
        </w:rPr>
        <w:t>代理债券债权人与发行人签署抵</w:t>
      </w:r>
      <w:r w:rsidRPr="00800D22">
        <w:rPr>
          <w:rFonts w:hint="eastAsia"/>
          <w:sz w:val="24"/>
        </w:rPr>
        <w:t>/</w:t>
      </w:r>
      <w:r w:rsidRPr="00800D22">
        <w:rPr>
          <w:sz w:val="24"/>
        </w:rPr>
        <w:t>质押担保协议。</w:t>
      </w:r>
    </w:p>
    <w:p w14:paraId="165643B5" w14:textId="77777777" w:rsidR="002E2F38" w:rsidRPr="00800D22" w:rsidRDefault="002E2F38" w:rsidP="002E2F38">
      <w:pPr>
        <w:widowControl/>
        <w:spacing w:line="440" w:lineRule="exact"/>
        <w:ind w:firstLineChars="200" w:firstLine="480"/>
        <w:rPr>
          <w:sz w:val="24"/>
        </w:rPr>
      </w:pPr>
      <w:r w:rsidRPr="00800D22">
        <w:rPr>
          <w:rFonts w:ascii="宋体" w:hAnsi="宋体" w:hint="eastAsia"/>
          <w:sz w:val="24"/>
        </w:rPr>
        <w:t>③</w:t>
      </w:r>
      <w:r w:rsidRPr="00800D22">
        <w:rPr>
          <w:sz w:val="24"/>
        </w:rPr>
        <w:t>投资者认购债券时</w:t>
      </w:r>
      <w:r w:rsidRPr="00800D22">
        <w:rPr>
          <w:rFonts w:hint="eastAsia"/>
          <w:sz w:val="24"/>
        </w:rPr>
        <w:t>，</w:t>
      </w:r>
      <w:proofErr w:type="gramStart"/>
      <w:r w:rsidRPr="00800D22">
        <w:rPr>
          <w:sz w:val="24"/>
        </w:rPr>
        <w:t>须签署</w:t>
      </w:r>
      <w:proofErr w:type="gramEnd"/>
      <w:r w:rsidRPr="00800D22">
        <w:rPr>
          <w:sz w:val="24"/>
        </w:rPr>
        <w:t>委托协议和信托协议</w:t>
      </w:r>
      <w:r w:rsidRPr="00800D22">
        <w:rPr>
          <w:rFonts w:hint="eastAsia"/>
          <w:sz w:val="24"/>
        </w:rPr>
        <w:t>，</w:t>
      </w:r>
      <w:r w:rsidRPr="00800D22">
        <w:rPr>
          <w:sz w:val="24"/>
        </w:rPr>
        <w:t>取得担保权</w:t>
      </w:r>
      <w:r w:rsidRPr="00800D22">
        <w:rPr>
          <w:rFonts w:hint="eastAsia"/>
          <w:sz w:val="24"/>
        </w:rPr>
        <w:t>，</w:t>
      </w:r>
      <w:r w:rsidRPr="00800D22">
        <w:rPr>
          <w:sz w:val="24"/>
        </w:rPr>
        <w:t>并将担保权信托于受托人</w:t>
      </w:r>
      <w:r w:rsidRPr="00800D22">
        <w:rPr>
          <w:rFonts w:hint="eastAsia"/>
          <w:sz w:val="24"/>
        </w:rPr>
        <w:t>，</w:t>
      </w:r>
      <w:r w:rsidRPr="00800D22">
        <w:rPr>
          <w:sz w:val="24"/>
        </w:rPr>
        <w:t>成为债券债权人及信托委托人</w:t>
      </w:r>
      <w:r w:rsidRPr="00800D22">
        <w:rPr>
          <w:rFonts w:hint="eastAsia"/>
          <w:sz w:val="24"/>
        </w:rPr>
        <w:t>，</w:t>
      </w:r>
      <w:r w:rsidRPr="00800D22">
        <w:rPr>
          <w:sz w:val="24"/>
        </w:rPr>
        <w:t>信托成立。</w:t>
      </w:r>
    </w:p>
    <w:p w14:paraId="0670213E" w14:textId="77777777" w:rsidR="002E2F38" w:rsidRPr="00800D22" w:rsidRDefault="002E2F38" w:rsidP="002E2F38">
      <w:pPr>
        <w:widowControl/>
        <w:spacing w:line="440" w:lineRule="exact"/>
        <w:ind w:firstLineChars="200" w:firstLine="480"/>
        <w:rPr>
          <w:sz w:val="24"/>
        </w:rPr>
      </w:pPr>
      <w:r w:rsidRPr="00800D22">
        <w:rPr>
          <w:rFonts w:ascii="宋体" w:hAnsi="宋体" w:hint="eastAsia"/>
          <w:sz w:val="24"/>
        </w:rPr>
        <w:t>④</w:t>
      </w:r>
      <w:r w:rsidRPr="00800D22">
        <w:rPr>
          <w:sz w:val="24"/>
        </w:rPr>
        <w:t>债券发行后</w:t>
      </w:r>
      <w:r w:rsidRPr="00800D22">
        <w:rPr>
          <w:rFonts w:hint="eastAsia"/>
          <w:sz w:val="24"/>
        </w:rPr>
        <w:t>，</w:t>
      </w:r>
      <w:r w:rsidRPr="00800D22">
        <w:rPr>
          <w:sz w:val="24"/>
        </w:rPr>
        <w:t>受托人负责对债券发行企业的经营情况进行跟踪</w:t>
      </w:r>
      <w:r w:rsidRPr="00800D22">
        <w:rPr>
          <w:rFonts w:hint="eastAsia"/>
          <w:sz w:val="24"/>
        </w:rPr>
        <w:t>，</w:t>
      </w:r>
      <w:r w:rsidRPr="00800D22">
        <w:rPr>
          <w:sz w:val="24"/>
        </w:rPr>
        <w:t>及时掌握企业运营状况</w:t>
      </w:r>
      <w:r w:rsidRPr="00800D22">
        <w:rPr>
          <w:rFonts w:hint="eastAsia"/>
          <w:sz w:val="24"/>
        </w:rPr>
        <w:t>，</w:t>
      </w:r>
      <w:r w:rsidRPr="00800D22">
        <w:rPr>
          <w:sz w:val="24"/>
        </w:rPr>
        <w:t>督促企业按期预提偿债基金</w:t>
      </w:r>
      <w:r w:rsidRPr="00800D22">
        <w:rPr>
          <w:rFonts w:hint="eastAsia"/>
          <w:sz w:val="24"/>
        </w:rPr>
        <w:t>，</w:t>
      </w:r>
      <w:r w:rsidRPr="00800D22">
        <w:rPr>
          <w:sz w:val="24"/>
        </w:rPr>
        <w:t>确保债券的按期足额兑付。</w:t>
      </w:r>
    </w:p>
    <w:p w14:paraId="16B7FAA1" w14:textId="77777777" w:rsidR="002E2F38" w:rsidRPr="00800D22" w:rsidRDefault="002E2F38" w:rsidP="002E2F38">
      <w:pPr>
        <w:widowControl/>
        <w:spacing w:line="440" w:lineRule="exact"/>
        <w:ind w:firstLineChars="200" w:firstLine="480"/>
        <w:rPr>
          <w:sz w:val="24"/>
        </w:rPr>
      </w:pPr>
      <w:r w:rsidRPr="00800D22">
        <w:rPr>
          <w:rFonts w:ascii="宋体" w:hAnsi="宋体" w:hint="eastAsia"/>
          <w:sz w:val="24"/>
        </w:rPr>
        <w:t>⑤</w:t>
      </w:r>
      <w:r w:rsidRPr="00800D22">
        <w:rPr>
          <w:sz w:val="24"/>
        </w:rPr>
        <w:t>债券到期</w:t>
      </w:r>
      <w:r w:rsidRPr="00800D22">
        <w:rPr>
          <w:rFonts w:hint="eastAsia"/>
          <w:sz w:val="24"/>
        </w:rPr>
        <w:t>，</w:t>
      </w:r>
      <w:r w:rsidRPr="00800D22">
        <w:rPr>
          <w:sz w:val="24"/>
        </w:rPr>
        <w:t>企业兑付债券本息后</w:t>
      </w:r>
      <w:r w:rsidRPr="00800D22">
        <w:rPr>
          <w:rFonts w:hint="eastAsia"/>
          <w:sz w:val="24"/>
        </w:rPr>
        <w:t>，</w:t>
      </w:r>
      <w:r w:rsidRPr="00800D22">
        <w:rPr>
          <w:sz w:val="24"/>
        </w:rPr>
        <w:t>信托终止；企业无法按期足额兑付时</w:t>
      </w:r>
      <w:r w:rsidRPr="00800D22">
        <w:rPr>
          <w:rFonts w:hint="eastAsia"/>
          <w:sz w:val="24"/>
        </w:rPr>
        <w:t>，</w:t>
      </w:r>
      <w:r w:rsidRPr="00800D22">
        <w:rPr>
          <w:sz w:val="24"/>
        </w:rPr>
        <w:t>受托人负责将其抵押</w:t>
      </w:r>
      <w:r w:rsidRPr="00800D22">
        <w:rPr>
          <w:rFonts w:hint="eastAsia"/>
          <w:sz w:val="24"/>
        </w:rPr>
        <w:t>/</w:t>
      </w:r>
      <w:r w:rsidRPr="00800D22">
        <w:rPr>
          <w:sz w:val="24"/>
        </w:rPr>
        <w:t>质押物变卖或拍卖</w:t>
      </w:r>
      <w:r w:rsidRPr="00800D22">
        <w:rPr>
          <w:rFonts w:hint="eastAsia"/>
          <w:sz w:val="24"/>
        </w:rPr>
        <w:t>，</w:t>
      </w:r>
      <w:r w:rsidRPr="00800D22">
        <w:rPr>
          <w:sz w:val="24"/>
        </w:rPr>
        <w:t>以其金额偿付债券本息后</w:t>
      </w:r>
      <w:r w:rsidRPr="00800D22">
        <w:rPr>
          <w:rFonts w:hint="eastAsia"/>
          <w:sz w:val="24"/>
        </w:rPr>
        <w:t>，</w:t>
      </w:r>
      <w:r w:rsidRPr="00800D22">
        <w:rPr>
          <w:sz w:val="24"/>
        </w:rPr>
        <w:t>信托终止。</w:t>
      </w:r>
    </w:p>
    <w:p w14:paraId="01307D85" w14:textId="77777777" w:rsidR="002E2F38" w:rsidRPr="002E2F38" w:rsidRDefault="002E2F38">
      <w:pPr>
        <w:rPr>
          <w:rFonts w:hint="eastAsia"/>
        </w:rPr>
      </w:pPr>
    </w:p>
    <w:sectPr w:rsidR="002E2F38" w:rsidRPr="002E2F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C3B5" w14:textId="77777777" w:rsidR="001F7023" w:rsidRDefault="001F7023" w:rsidP="002E2F38">
      <w:pPr>
        <w:rPr>
          <w:rFonts w:hint="eastAsia"/>
        </w:rPr>
      </w:pPr>
      <w:r>
        <w:separator/>
      </w:r>
    </w:p>
  </w:endnote>
  <w:endnote w:type="continuationSeparator" w:id="0">
    <w:p w14:paraId="6724D2FA" w14:textId="77777777" w:rsidR="001F7023" w:rsidRDefault="001F7023" w:rsidP="002E2F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D42D" w14:textId="77777777" w:rsidR="001F7023" w:rsidRDefault="001F7023" w:rsidP="002E2F38">
      <w:pPr>
        <w:rPr>
          <w:rFonts w:hint="eastAsia"/>
        </w:rPr>
      </w:pPr>
      <w:r>
        <w:separator/>
      </w:r>
    </w:p>
  </w:footnote>
  <w:footnote w:type="continuationSeparator" w:id="0">
    <w:p w14:paraId="5BF3DDC7" w14:textId="77777777" w:rsidR="001F7023" w:rsidRDefault="001F7023" w:rsidP="002E2F38">
      <w:pPr>
        <w:rPr>
          <w:rFonts w:hint="eastAsia"/>
        </w:rPr>
      </w:pPr>
      <w:r>
        <w:continuationSeparator/>
      </w:r>
    </w:p>
  </w:footnote>
  <w:footnote w:id="1">
    <w:p w14:paraId="2B16A152" w14:textId="77777777" w:rsidR="002E2F38" w:rsidRDefault="002E2F38" w:rsidP="002E2F38">
      <w:pPr>
        <w:pStyle w:val="af3"/>
        <w:rPr>
          <w:rFonts w:hint="eastAsia"/>
        </w:rPr>
      </w:pPr>
      <w:r>
        <w:rPr>
          <w:rStyle w:val="af5"/>
        </w:rPr>
        <w:footnoteRef/>
      </w:r>
      <w:r>
        <w:rPr>
          <w:rFonts w:hint="eastAsia"/>
          <w:bCs/>
          <w:kern w:val="0"/>
          <w:szCs w:val="21"/>
        </w:rPr>
        <w:t xml:space="preserve"> </w:t>
      </w:r>
      <w:r w:rsidRPr="00751FD2">
        <w:rPr>
          <w:bCs/>
          <w:kern w:val="0"/>
          <w:szCs w:val="21"/>
        </w:rPr>
        <w:t>黄梅波、林洋</w:t>
      </w:r>
      <w:r w:rsidRPr="00751FD2">
        <w:rPr>
          <w:bCs/>
          <w:kern w:val="0"/>
          <w:szCs w:val="21"/>
        </w:rPr>
        <w:t xml:space="preserve">. </w:t>
      </w:r>
      <w:r w:rsidRPr="00751FD2">
        <w:rPr>
          <w:bCs/>
          <w:kern w:val="0"/>
          <w:szCs w:val="21"/>
        </w:rPr>
        <w:t>东亚新兴债券市场发展研究</w:t>
      </w:r>
      <w:r w:rsidRPr="00751FD2">
        <w:rPr>
          <w:rFonts w:eastAsia="新宋体"/>
          <w:kern w:val="0"/>
          <w:szCs w:val="21"/>
        </w:rPr>
        <w:t>[M]</w:t>
      </w:r>
      <w:r w:rsidRPr="00751FD2">
        <w:rPr>
          <w:bCs/>
          <w:kern w:val="0"/>
          <w:szCs w:val="21"/>
        </w:rPr>
        <w:t>，北京：经济科学出版社，</w:t>
      </w:r>
      <w:r w:rsidRPr="00751FD2">
        <w:rPr>
          <w:bCs/>
          <w:kern w:val="0"/>
          <w:szCs w:val="21"/>
        </w:rPr>
        <w:t>2008</w:t>
      </w:r>
      <w:r w:rsidRPr="00751FD2">
        <w:rPr>
          <w:bCs/>
          <w:kern w:val="0"/>
          <w:szCs w:val="21"/>
        </w:rPr>
        <w:t>，</w:t>
      </w:r>
      <w:r>
        <w:rPr>
          <w:rFonts w:hint="eastAsia"/>
          <w:bCs/>
          <w:kern w:val="0"/>
          <w:szCs w:val="21"/>
        </w:rPr>
        <w:t>124-125.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CE"/>
    <w:rsid w:val="001229D8"/>
    <w:rsid w:val="001B4656"/>
    <w:rsid w:val="001F7023"/>
    <w:rsid w:val="0025005C"/>
    <w:rsid w:val="0026744F"/>
    <w:rsid w:val="002E2F38"/>
    <w:rsid w:val="00341F2B"/>
    <w:rsid w:val="003B62CE"/>
    <w:rsid w:val="0072271E"/>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2050"/>
    <o:shapelayout v:ext="edit">
      <o:idmap v:ext="edit" data="2"/>
    </o:shapelayout>
  </w:shapeDefaults>
  <w:decimalSymbol w:val="."/>
  <w:listSeparator w:val=","/>
  <w14:docId w14:val="7110D37D"/>
  <w15:chartTrackingRefBased/>
  <w15:docId w15:val="{5DCE8191-BA09-4623-BE40-2522F172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F3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B62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B62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B62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2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2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2C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2C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2C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B62C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2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2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2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2CE"/>
    <w:rPr>
      <w:rFonts w:cstheme="majorBidi"/>
      <w:color w:val="2F5496" w:themeColor="accent1" w:themeShade="BF"/>
      <w:sz w:val="28"/>
      <w:szCs w:val="28"/>
    </w:rPr>
  </w:style>
  <w:style w:type="character" w:customStyle="1" w:styleId="50">
    <w:name w:val="标题 5 字符"/>
    <w:basedOn w:val="a0"/>
    <w:link w:val="5"/>
    <w:uiPriority w:val="9"/>
    <w:semiHidden/>
    <w:rsid w:val="003B62CE"/>
    <w:rPr>
      <w:rFonts w:cstheme="majorBidi"/>
      <w:color w:val="2F5496" w:themeColor="accent1" w:themeShade="BF"/>
      <w:sz w:val="24"/>
    </w:rPr>
  </w:style>
  <w:style w:type="character" w:customStyle="1" w:styleId="60">
    <w:name w:val="标题 6 字符"/>
    <w:basedOn w:val="a0"/>
    <w:link w:val="6"/>
    <w:uiPriority w:val="9"/>
    <w:semiHidden/>
    <w:rsid w:val="003B62CE"/>
    <w:rPr>
      <w:rFonts w:cstheme="majorBidi"/>
      <w:b/>
      <w:bCs/>
      <w:color w:val="2F5496" w:themeColor="accent1" w:themeShade="BF"/>
    </w:rPr>
  </w:style>
  <w:style w:type="character" w:customStyle="1" w:styleId="70">
    <w:name w:val="标题 7 字符"/>
    <w:basedOn w:val="a0"/>
    <w:link w:val="7"/>
    <w:uiPriority w:val="9"/>
    <w:semiHidden/>
    <w:rsid w:val="003B62CE"/>
    <w:rPr>
      <w:rFonts w:cstheme="majorBidi"/>
      <w:b/>
      <w:bCs/>
      <w:color w:val="595959" w:themeColor="text1" w:themeTint="A6"/>
    </w:rPr>
  </w:style>
  <w:style w:type="character" w:customStyle="1" w:styleId="80">
    <w:name w:val="标题 8 字符"/>
    <w:basedOn w:val="a0"/>
    <w:link w:val="8"/>
    <w:uiPriority w:val="9"/>
    <w:semiHidden/>
    <w:rsid w:val="003B62CE"/>
    <w:rPr>
      <w:rFonts w:cstheme="majorBidi"/>
      <w:color w:val="595959" w:themeColor="text1" w:themeTint="A6"/>
    </w:rPr>
  </w:style>
  <w:style w:type="character" w:customStyle="1" w:styleId="90">
    <w:name w:val="标题 9 字符"/>
    <w:basedOn w:val="a0"/>
    <w:link w:val="9"/>
    <w:uiPriority w:val="9"/>
    <w:semiHidden/>
    <w:rsid w:val="003B62CE"/>
    <w:rPr>
      <w:rFonts w:eastAsiaTheme="majorEastAsia" w:cstheme="majorBidi"/>
      <w:color w:val="595959" w:themeColor="text1" w:themeTint="A6"/>
    </w:rPr>
  </w:style>
  <w:style w:type="paragraph" w:styleId="a3">
    <w:name w:val="Title"/>
    <w:basedOn w:val="a"/>
    <w:next w:val="a"/>
    <w:link w:val="a4"/>
    <w:uiPriority w:val="10"/>
    <w:qFormat/>
    <w:rsid w:val="003B62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2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2CE"/>
    <w:pPr>
      <w:spacing w:before="160"/>
      <w:jc w:val="center"/>
    </w:pPr>
    <w:rPr>
      <w:i/>
      <w:iCs/>
      <w:color w:val="404040" w:themeColor="text1" w:themeTint="BF"/>
    </w:rPr>
  </w:style>
  <w:style w:type="character" w:customStyle="1" w:styleId="a8">
    <w:name w:val="引用 字符"/>
    <w:basedOn w:val="a0"/>
    <w:link w:val="a7"/>
    <w:uiPriority w:val="29"/>
    <w:rsid w:val="003B62CE"/>
    <w:rPr>
      <w:i/>
      <w:iCs/>
      <w:color w:val="404040" w:themeColor="text1" w:themeTint="BF"/>
    </w:rPr>
  </w:style>
  <w:style w:type="paragraph" w:styleId="a9">
    <w:name w:val="List Paragraph"/>
    <w:basedOn w:val="a"/>
    <w:uiPriority w:val="34"/>
    <w:qFormat/>
    <w:rsid w:val="003B62CE"/>
    <w:pPr>
      <w:ind w:left="720"/>
      <w:contextualSpacing/>
    </w:pPr>
  </w:style>
  <w:style w:type="character" w:styleId="aa">
    <w:name w:val="Intense Emphasis"/>
    <w:basedOn w:val="a0"/>
    <w:uiPriority w:val="21"/>
    <w:qFormat/>
    <w:rsid w:val="003B62CE"/>
    <w:rPr>
      <w:i/>
      <w:iCs/>
      <w:color w:val="2F5496" w:themeColor="accent1" w:themeShade="BF"/>
    </w:rPr>
  </w:style>
  <w:style w:type="paragraph" w:styleId="ab">
    <w:name w:val="Intense Quote"/>
    <w:basedOn w:val="a"/>
    <w:next w:val="a"/>
    <w:link w:val="ac"/>
    <w:uiPriority w:val="30"/>
    <w:qFormat/>
    <w:rsid w:val="003B6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2CE"/>
    <w:rPr>
      <w:i/>
      <w:iCs/>
      <w:color w:val="2F5496" w:themeColor="accent1" w:themeShade="BF"/>
    </w:rPr>
  </w:style>
  <w:style w:type="character" w:styleId="ad">
    <w:name w:val="Intense Reference"/>
    <w:basedOn w:val="a0"/>
    <w:uiPriority w:val="32"/>
    <w:qFormat/>
    <w:rsid w:val="003B62CE"/>
    <w:rPr>
      <w:b/>
      <w:bCs/>
      <w:smallCaps/>
      <w:color w:val="2F5496" w:themeColor="accent1" w:themeShade="BF"/>
      <w:spacing w:val="5"/>
    </w:rPr>
  </w:style>
  <w:style w:type="paragraph" w:styleId="ae">
    <w:name w:val="header"/>
    <w:basedOn w:val="a"/>
    <w:link w:val="af"/>
    <w:uiPriority w:val="99"/>
    <w:unhideWhenUsed/>
    <w:rsid w:val="002E2F38"/>
    <w:pPr>
      <w:tabs>
        <w:tab w:val="center" w:pos="4153"/>
        <w:tab w:val="right" w:pos="8306"/>
      </w:tabs>
      <w:snapToGrid w:val="0"/>
      <w:jc w:val="center"/>
    </w:pPr>
    <w:rPr>
      <w:sz w:val="18"/>
      <w:szCs w:val="18"/>
    </w:rPr>
  </w:style>
  <w:style w:type="character" w:customStyle="1" w:styleId="af">
    <w:name w:val="页眉 字符"/>
    <w:basedOn w:val="a0"/>
    <w:link w:val="ae"/>
    <w:uiPriority w:val="99"/>
    <w:rsid w:val="002E2F38"/>
    <w:rPr>
      <w:sz w:val="18"/>
      <w:szCs w:val="18"/>
    </w:rPr>
  </w:style>
  <w:style w:type="paragraph" w:styleId="af0">
    <w:name w:val="footer"/>
    <w:basedOn w:val="a"/>
    <w:link w:val="af1"/>
    <w:uiPriority w:val="99"/>
    <w:unhideWhenUsed/>
    <w:rsid w:val="002E2F38"/>
    <w:pPr>
      <w:tabs>
        <w:tab w:val="center" w:pos="4153"/>
        <w:tab w:val="right" w:pos="8306"/>
      </w:tabs>
      <w:snapToGrid w:val="0"/>
    </w:pPr>
    <w:rPr>
      <w:sz w:val="18"/>
      <w:szCs w:val="18"/>
    </w:rPr>
  </w:style>
  <w:style w:type="character" w:customStyle="1" w:styleId="af1">
    <w:name w:val="页脚 字符"/>
    <w:basedOn w:val="a0"/>
    <w:link w:val="af0"/>
    <w:uiPriority w:val="99"/>
    <w:rsid w:val="002E2F38"/>
    <w:rPr>
      <w:sz w:val="18"/>
      <w:szCs w:val="18"/>
    </w:rPr>
  </w:style>
  <w:style w:type="character" w:customStyle="1" w:styleId="3Char">
    <w:name w:val="标题 3 Char"/>
    <w:rsid w:val="002E2F38"/>
    <w:rPr>
      <w:rFonts w:eastAsia="宋体"/>
      <w:b/>
      <w:bCs/>
      <w:kern w:val="2"/>
      <w:sz w:val="32"/>
      <w:szCs w:val="32"/>
      <w:lang w:val="en-US" w:eastAsia="zh-CN" w:bidi="ar-SA"/>
    </w:rPr>
  </w:style>
  <w:style w:type="paragraph" w:styleId="af2">
    <w:name w:val="Normal (Web)"/>
    <w:basedOn w:val="a"/>
    <w:rsid w:val="002E2F38"/>
    <w:pPr>
      <w:widowControl/>
      <w:spacing w:before="100" w:beforeAutospacing="1" w:after="100" w:afterAutospacing="1"/>
      <w:jc w:val="left"/>
    </w:pPr>
    <w:rPr>
      <w:rFonts w:ascii="宋体" w:hAnsi="宋体" w:cs="宋体"/>
      <w:kern w:val="0"/>
      <w:sz w:val="24"/>
    </w:rPr>
  </w:style>
  <w:style w:type="paragraph" w:styleId="af3">
    <w:name w:val="footnote text"/>
    <w:basedOn w:val="a"/>
    <w:link w:val="Char"/>
    <w:semiHidden/>
    <w:rsid w:val="002E2F38"/>
    <w:pPr>
      <w:snapToGrid w:val="0"/>
      <w:jc w:val="left"/>
    </w:pPr>
    <w:rPr>
      <w:sz w:val="18"/>
      <w:szCs w:val="18"/>
    </w:rPr>
  </w:style>
  <w:style w:type="character" w:customStyle="1" w:styleId="af4">
    <w:name w:val="脚注文本 字符"/>
    <w:basedOn w:val="a0"/>
    <w:uiPriority w:val="99"/>
    <w:semiHidden/>
    <w:rsid w:val="002E2F38"/>
    <w:rPr>
      <w:rFonts w:ascii="Times New Roman" w:eastAsia="宋体" w:hAnsi="Times New Roman" w:cs="Times New Roman"/>
      <w:sz w:val="18"/>
      <w:szCs w:val="18"/>
      <w14:ligatures w14:val="none"/>
    </w:rPr>
  </w:style>
  <w:style w:type="character" w:customStyle="1" w:styleId="Char">
    <w:name w:val="脚注文本 Char"/>
    <w:link w:val="af3"/>
    <w:semiHidden/>
    <w:rsid w:val="002E2F38"/>
    <w:rPr>
      <w:rFonts w:ascii="Times New Roman" w:eastAsia="宋体" w:hAnsi="Times New Roman" w:cs="Times New Roman"/>
      <w:sz w:val="18"/>
      <w:szCs w:val="18"/>
      <w14:ligatures w14:val="none"/>
    </w:rPr>
  </w:style>
  <w:style w:type="character" w:styleId="af5">
    <w:name w:val="footnote reference"/>
    <w:semiHidden/>
    <w:rsid w:val="002E2F38"/>
    <w:rPr>
      <w:vertAlign w:val="superscript"/>
    </w:rPr>
  </w:style>
  <w:style w:type="character" w:styleId="af6">
    <w:name w:val="Strong"/>
    <w:qFormat/>
    <w:rsid w:val="002E2F38"/>
    <w:rPr>
      <w:b/>
      <w:bCs/>
    </w:rPr>
  </w:style>
  <w:style w:type="paragraph" w:styleId="af7">
    <w:name w:val="caption"/>
    <w:basedOn w:val="a"/>
    <w:next w:val="a"/>
    <w:qFormat/>
    <w:rsid w:val="002E2F38"/>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2025-10-21T09:03:00Z</dcterms:created>
  <dcterms:modified xsi:type="dcterms:W3CDTF">2025-10-21T09:05:00Z</dcterms:modified>
</cp:coreProperties>
</file>