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041D2" w14:textId="5C7C3B14" w:rsidR="00995E2A" w:rsidRPr="00800D22" w:rsidRDefault="00995E2A" w:rsidP="00995E2A">
      <w:pPr>
        <w:spacing w:beforeLines="50" w:before="156" w:afterLines="50" w:after="156" w:line="440" w:lineRule="exact"/>
        <w:jc w:val="center"/>
        <w:outlineLvl w:val="1"/>
        <w:rPr>
          <w:rFonts w:ascii="黑体" w:eastAsia="黑体" w:hint="eastAsia"/>
          <w:bCs/>
          <w:sz w:val="32"/>
          <w:szCs w:val="32"/>
        </w:rPr>
      </w:pPr>
      <w:bookmarkStart w:id="0" w:name="_Toc215459481"/>
      <w:bookmarkStart w:id="1" w:name="_Toc238701524"/>
      <w:bookmarkStart w:id="2" w:name="_Toc239689290"/>
      <w:bookmarkStart w:id="3" w:name="_Toc243383331"/>
      <w:bookmarkStart w:id="4" w:name="_Toc256506331"/>
      <w:r w:rsidRPr="00800D22">
        <w:rPr>
          <w:rFonts w:ascii="黑体" w:eastAsia="黑体"/>
          <w:bCs/>
          <w:sz w:val="32"/>
          <w:szCs w:val="32"/>
        </w:rPr>
        <w:t>韩国集合债券（P-CBO</w:t>
      </w:r>
      <w:r w:rsidRPr="00800D22">
        <w:rPr>
          <w:rStyle w:val="af8"/>
          <w:rFonts w:ascii="黑体" w:eastAsia="黑体"/>
          <w:bCs/>
          <w:sz w:val="32"/>
          <w:szCs w:val="32"/>
        </w:rPr>
        <w:footnoteReference w:id="1"/>
      </w:r>
      <w:r w:rsidRPr="00800D22">
        <w:rPr>
          <w:rFonts w:ascii="黑体" w:eastAsia="黑体"/>
          <w:bCs/>
          <w:sz w:val="32"/>
          <w:szCs w:val="32"/>
        </w:rPr>
        <w:t>）发行与增信经验借鉴</w:t>
      </w:r>
      <w:bookmarkEnd w:id="4"/>
    </w:p>
    <w:p w14:paraId="263A18F3" w14:textId="77777777" w:rsidR="00995E2A" w:rsidRPr="00995E2A" w:rsidRDefault="00995E2A" w:rsidP="00995E2A">
      <w:pPr>
        <w:autoSpaceDE w:val="0"/>
        <w:autoSpaceDN w:val="0"/>
        <w:adjustRightInd w:val="0"/>
        <w:spacing w:line="440" w:lineRule="exact"/>
        <w:ind w:firstLineChars="200" w:firstLine="480"/>
        <w:rPr>
          <w:kern w:val="0"/>
          <w:sz w:val="24"/>
        </w:rPr>
      </w:pPr>
      <w:bookmarkStart w:id="5" w:name="_Toc256506332"/>
      <w:bookmarkEnd w:id="0"/>
      <w:bookmarkEnd w:id="1"/>
      <w:bookmarkEnd w:id="2"/>
      <w:bookmarkEnd w:id="3"/>
    </w:p>
    <w:p w14:paraId="01B9F520" w14:textId="0CDA1A92" w:rsidR="00995E2A" w:rsidRPr="00800D22" w:rsidRDefault="00995E2A" w:rsidP="00995E2A">
      <w:pPr>
        <w:pStyle w:val="3"/>
        <w:adjustRightInd w:val="0"/>
        <w:spacing w:beforeLines="50" w:before="156" w:afterLines="50" w:after="156" w:line="440" w:lineRule="exact"/>
        <w:ind w:firstLineChars="200" w:firstLine="562"/>
        <w:jc w:val="left"/>
        <w:rPr>
          <w:rFonts w:ascii="黑体" w:eastAsia="黑体"/>
          <w:b/>
          <w:sz w:val="28"/>
          <w:szCs w:val="28"/>
        </w:rPr>
      </w:pPr>
      <w:r>
        <w:rPr>
          <w:rFonts w:ascii="黑体" w:eastAsia="黑体" w:hint="eastAsia"/>
          <w:b/>
          <w:sz w:val="28"/>
          <w:szCs w:val="28"/>
        </w:rPr>
        <w:t>一、</w:t>
      </w:r>
      <w:r w:rsidRPr="00800D22">
        <w:rPr>
          <w:rFonts w:ascii="黑体" w:eastAsia="黑体"/>
          <w:b/>
          <w:sz w:val="28"/>
          <w:szCs w:val="28"/>
        </w:rPr>
        <w:t>韩国P-CBO产生的背景</w:t>
      </w:r>
      <w:bookmarkEnd w:id="5"/>
    </w:p>
    <w:p w14:paraId="55FD8C50" w14:textId="77777777" w:rsidR="00995E2A" w:rsidRPr="00800D22" w:rsidRDefault="00995E2A" w:rsidP="00995E2A">
      <w:pPr>
        <w:autoSpaceDE w:val="0"/>
        <w:autoSpaceDN w:val="0"/>
        <w:adjustRightInd w:val="0"/>
        <w:spacing w:line="440" w:lineRule="exact"/>
        <w:ind w:firstLineChars="200" w:firstLine="480"/>
        <w:rPr>
          <w:kern w:val="0"/>
          <w:sz w:val="24"/>
        </w:rPr>
      </w:pPr>
      <w:r w:rsidRPr="00800D22">
        <w:rPr>
          <w:kern w:val="0"/>
          <w:sz w:val="24"/>
        </w:rPr>
        <w:t>同多数国家一样，韩国的中小企业在其国民经济中具有举足轻重的地位</w:t>
      </w:r>
      <w:r w:rsidRPr="00800D22">
        <w:rPr>
          <w:rFonts w:hint="eastAsia"/>
          <w:kern w:val="0"/>
          <w:sz w:val="24"/>
        </w:rPr>
        <w:t>。</w:t>
      </w:r>
      <w:r w:rsidRPr="00800D22">
        <w:rPr>
          <w:kern w:val="0"/>
          <w:sz w:val="24"/>
        </w:rPr>
        <w:t>据统计，</w:t>
      </w:r>
      <w:r w:rsidRPr="00800D22">
        <w:rPr>
          <w:rFonts w:hint="eastAsia"/>
          <w:kern w:val="0"/>
          <w:sz w:val="24"/>
        </w:rPr>
        <w:t>2009</w:t>
      </w:r>
      <w:r w:rsidRPr="00800D22">
        <w:rPr>
          <w:rFonts w:hint="eastAsia"/>
          <w:kern w:val="0"/>
          <w:sz w:val="24"/>
        </w:rPr>
        <w:t>年</w:t>
      </w:r>
      <w:r w:rsidRPr="00800D22">
        <w:rPr>
          <w:kern w:val="0"/>
          <w:sz w:val="24"/>
        </w:rPr>
        <w:t>韩国有</w:t>
      </w:r>
      <w:r w:rsidRPr="00800D22">
        <w:rPr>
          <w:kern w:val="0"/>
          <w:sz w:val="24"/>
        </w:rPr>
        <w:t>300</w:t>
      </w:r>
      <w:r w:rsidRPr="00800D22">
        <w:rPr>
          <w:kern w:val="0"/>
          <w:sz w:val="24"/>
        </w:rPr>
        <w:t>余万家中小企业，占韩国企业总数的</w:t>
      </w:r>
      <w:r w:rsidRPr="00800D22">
        <w:rPr>
          <w:kern w:val="0"/>
          <w:sz w:val="24"/>
        </w:rPr>
        <w:t>99%</w:t>
      </w:r>
      <w:r w:rsidRPr="00800D22">
        <w:rPr>
          <w:kern w:val="0"/>
          <w:sz w:val="24"/>
        </w:rPr>
        <w:t>，提供了</w:t>
      </w:r>
      <w:r w:rsidRPr="00800D22">
        <w:rPr>
          <w:kern w:val="0"/>
          <w:sz w:val="24"/>
        </w:rPr>
        <w:t>86%</w:t>
      </w:r>
      <w:r w:rsidRPr="00800D22">
        <w:rPr>
          <w:kern w:val="0"/>
          <w:sz w:val="24"/>
        </w:rPr>
        <w:t>的就业岗位</w:t>
      </w:r>
      <w:r w:rsidRPr="00800D22">
        <w:rPr>
          <w:rFonts w:hint="eastAsia"/>
          <w:kern w:val="0"/>
          <w:sz w:val="24"/>
        </w:rPr>
        <w:t>。</w:t>
      </w:r>
      <w:r w:rsidRPr="00800D22">
        <w:rPr>
          <w:kern w:val="0"/>
          <w:sz w:val="24"/>
        </w:rPr>
        <w:t>此外，在对外贸易中，中小企业亦扮演了同样重要的角色，</w:t>
      </w:r>
      <w:r w:rsidRPr="00800D22">
        <w:rPr>
          <w:rFonts w:hint="eastAsia"/>
          <w:kern w:val="0"/>
          <w:sz w:val="24"/>
        </w:rPr>
        <w:t>韩</w:t>
      </w:r>
      <w:r w:rsidRPr="00800D22">
        <w:rPr>
          <w:kern w:val="0"/>
          <w:sz w:val="24"/>
        </w:rPr>
        <w:t>国</w:t>
      </w:r>
      <w:r w:rsidRPr="00800D22">
        <w:rPr>
          <w:kern w:val="0"/>
          <w:sz w:val="24"/>
        </w:rPr>
        <w:t>43%</w:t>
      </w:r>
      <w:r w:rsidRPr="00800D22">
        <w:rPr>
          <w:kern w:val="0"/>
          <w:sz w:val="24"/>
        </w:rPr>
        <w:t>的出口产值由中小企业完成</w:t>
      </w:r>
      <w:r w:rsidRPr="00800D22">
        <w:rPr>
          <w:rFonts w:hint="eastAsia"/>
          <w:kern w:val="0"/>
          <w:sz w:val="24"/>
        </w:rPr>
        <w:t>。</w:t>
      </w:r>
      <w:r w:rsidRPr="00800D22">
        <w:rPr>
          <w:kern w:val="0"/>
          <w:sz w:val="24"/>
        </w:rPr>
        <w:t>中小企业已经成为韩国国民经济的重要支柱，在繁荣经济、增加就业</w:t>
      </w:r>
      <w:r w:rsidRPr="00800D22">
        <w:rPr>
          <w:rFonts w:hint="eastAsia"/>
          <w:kern w:val="0"/>
          <w:sz w:val="24"/>
        </w:rPr>
        <w:t>和</w:t>
      </w:r>
      <w:r w:rsidRPr="00800D22">
        <w:rPr>
          <w:kern w:val="0"/>
          <w:sz w:val="24"/>
        </w:rPr>
        <w:t>推动创新等方面发挥着越来越重要的作用。</w:t>
      </w:r>
    </w:p>
    <w:p w14:paraId="7AFCC209" w14:textId="77777777" w:rsidR="00995E2A" w:rsidRPr="00800D22" w:rsidRDefault="00995E2A" w:rsidP="00995E2A">
      <w:pPr>
        <w:autoSpaceDE w:val="0"/>
        <w:autoSpaceDN w:val="0"/>
        <w:adjustRightInd w:val="0"/>
        <w:spacing w:line="440" w:lineRule="exact"/>
        <w:ind w:firstLineChars="200" w:firstLine="480"/>
        <w:rPr>
          <w:kern w:val="0"/>
          <w:sz w:val="24"/>
        </w:rPr>
      </w:pPr>
      <w:r w:rsidRPr="00800D22">
        <w:rPr>
          <w:kern w:val="0"/>
          <w:sz w:val="24"/>
        </w:rPr>
        <w:t>但在历史上，韩国中小企业的发展同样经历了资金严重短缺的阶段。为突破融资渠道不畅的瓶颈，韩国出台了《中小企业创业支援法》</w:t>
      </w:r>
      <w:r w:rsidRPr="00800D22">
        <w:rPr>
          <w:rFonts w:hint="eastAsia"/>
          <w:kern w:val="0"/>
          <w:sz w:val="24"/>
        </w:rPr>
        <w:t>（</w:t>
      </w:r>
      <w:r w:rsidRPr="00800D22">
        <w:rPr>
          <w:rFonts w:hint="eastAsia"/>
          <w:kern w:val="0"/>
          <w:sz w:val="24"/>
        </w:rPr>
        <w:t>1996</w:t>
      </w:r>
      <w:r w:rsidRPr="00800D22">
        <w:rPr>
          <w:rFonts w:hint="eastAsia"/>
          <w:kern w:val="0"/>
          <w:sz w:val="24"/>
        </w:rPr>
        <w:t>年生效）及其它</w:t>
      </w:r>
      <w:r w:rsidRPr="00800D22">
        <w:rPr>
          <w:kern w:val="0"/>
          <w:sz w:val="24"/>
        </w:rPr>
        <w:t>一系列支持中小企业发展的政策法规，同时在政策性金融方面也采取了相应的措施，大力拓展中小企业的融资渠道。尽管如此，韩国中小企业的融资仍然高度依赖银行。</w:t>
      </w:r>
      <w:r w:rsidRPr="00800D22">
        <w:rPr>
          <w:kern w:val="0"/>
          <w:sz w:val="24"/>
        </w:rPr>
        <w:t>1997</w:t>
      </w:r>
      <w:r w:rsidRPr="00800D22">
        <w:rPr>
          <w:kern w:val="0"/>
          <w:sz w:val="24"/>
        </w:rPr>
        <w:t>年东南亚金融危机爆发后，韩国银行机构为控制风险都主动收缩贷款，信用质量较差的中小企业无疑成为银行信贷收缩的对象，信贷</w:t>
      </w:r>
      <w:proofErr w:type="gramStart"/>
      <w:r w:rsidRPr="00800D22">
        <w:rPr>
          <w:kern w:val="0"/>
          <w:sz w:val="24"/>
        </w:rPr>
        <w:t>紧缩让</w:t>
      </w:r>
      <w:proofErr w:type="gramEnd"/>
      <w:r w:rsidRPr="00800D22">
        <w:rPr>
          <w:kern w:val="0"/>
          <w:sz w:val="24"/>
        </w:rPr>
        <w:t>中小企业信贷融资难以开展，一大批中小企业因此纷纷倒闭。而</w:t>
      </w:r>
      <w:r w:rsidRPr="00800D22">
        <w:rPr>
          <w:kern w:val="0"/>
          <w:sz w:val="24"/>
        </w:rPr>
        <w:t>1999</w:t>
      </w:r>
      <w:r w:rsidRPr="00800D22">
        <w:rPr>
          <w:kern w:val="0"/>
          <w:sz w:val="24"/>
        </w:rPr>
        <w:t>年韩国超大型企业大宇集团发生破产又进一步加剧中小企业融资难的困境</w:t>
      </w:r>
      <w:r w:rsidRPr="00800D22">
        <w:rPr>
          <w:rFonts w:hint="eastAsia"/>
          <w:kern w:val="0"/>
          <w:sz w:val="24"/>
        </w:rPr>
        <w:t>。</w:t>
      </w:r>
      <w:r w:rsidRPr="00800D22">
        <w:rPr>
          <w:kern w:val="0"/>
          <w:sz w:val="24"/>
        </w:rPr>
        <w:t>大宇集团的破产再次引起韩国金融市场恐慌，债券市场出现明显的</w:t>
      </w:r>
      <w:r w:rsidRPr="00800D22">
        <w:rPr>
          <w:rFonts w:hint="eastAsia"/>
          <w:kern w:val="0"/>
          <w:sz w:val="24"/>
        </w:rPr>
        <w:t>“</w:t>
      </w:r>
      <w:r w:rsidRPr="00800D22">
        <w:rPr>
          <w:kern w:val="0"/>
          <w:sz w:val="24"/>
        </w:rPr>
        <w:t>避险投资现象</w:t>
      </w:r>
      <w:r w:rsidRPr="00800D22">
        <w:rPr>
          <w:rFonts w:hint="eastAsia"/>
          <w:kern w:val="0"/>
          <w:sz w:val="24"/>
        </w:rPr>
        <w:t>”</w:t>
      </w:r>
      <w:r w:rsidRPr="00800D22">
        <w:rPr>
          <w:kern w:val="0"/>
          <w:sz w:val="24"/>
        </w:rPr>
        <w:t>（</w:t>
      </w:r>
      <w:r w:rsidRPr="00800D22">
        <w:rPr>
          <w:rFonts w:hint="eastAsia"/>
          <w:kern w:val="0"/>
          <w:sz w:val="24"/>
        </w:rPr>
        <w:t>F</w:t>
      </w:r>
      <w:r w:rsidRPr="00800D22">
        <w:rPr>
          <w:kern w:val="0"/>
          <w:sz w:val="24"/>
        </w:rPr>
        <w:t xml:space="preserve">light </w:t>
      </w:r>
      <w:r w:rsidRPr="00800D22">
        <w:rPr>
          <w:rFonts w:hint="eastAsia"/>
          <w:kern w:val="0"/>
          <w:sz w:val="24"/>
        </w:rPr>
        <w:t>t</w:t>
      </w:r>
      <w:r w:rsidRPr="00800D22">
        <w:rPr>
          <w:kern w:val="0"/>
          <w:sz w:val="24"/>
        </w:rPr>
        <w:t xml:space="preserve">o </w:t>
      </w:r>
      <w:r w:rsidRPr="00800D22">
        <w:rPr>
          <w:rFonts w:hint="eastAsia"/>
          <w:kern w:val="0"/>
          <w:sz w:val="24"/>
        </w:rPr>
        <w:t>Q</w:t>
      </w:r>
      <w:r w:rsidRPr="00800D22">
        <w:rPr>
          <w:kern w:val="0"/>
          <w:sz w:val="24"/>
        </w:rPr>
        <w:t>uality</w:t>
      </w:r>
      <w:r w:rsidRPr="00800D22">
        <w:rPr>
          <w:kern w:val="0"/>
          <w:sz w:val="24"/>
        </w:rPr>
        <w:t>），投资者对企业的风险状况更为谨慎，低信用等级债券的发行量锐减，在没有垃圾债券市场的韩国，中小企业债券融资成为可望而不可及的事情。</w:t>
      </w:r>
    </w:p>
    <w:p w14:paraId="4DACD678" w14:textId="77777777" w:rsidR="00995E2A" w:rsidRPr="00800D22" w:rsidRDefault="00995E2A" w:rsidP="00995E2A">
      <w:pPr>
        <w:autoSpaceDE w:val="0"/>
        <w:autoSpaceDN w:val="0"/>
        <w:adjustRightInd w:val="0"/>
        <w:spacing w:line="440" w:lineRule="exact"/>
        <w:ind w:firstLineChars="200" w:firstLine="480"/>
        <w:rPr>
          <w:kern w:val="0"/>
          <w:sz w:val="24"/>
        </w:rPr>
      </w:pPr>
      <w:r w:rsidRPr="00800D22">
        <w:rPr>
          <w:kern w:val="0"/>
          <w:sz w:val="24"/>
        </w:rPr>
        <w:t>但中小企业毕竟是韩国经济的重要基础，中小企业的发展将对遭金融危机重创的韩国经济快速恢复起决定作用</w:t>
      </w:r>
      <w:r w:rsidRPr="00800D22">
        <w:rPr>
          <w:rFonts w:hint="eastAsia"/>
          <w:kern w:val="0"/>
          <w:sz w:val="24"/>
        </w:rPr>
        <w:t>。</w:t>
      </w:r>
      <w:r w:rsidRPr="00800D22">
        <w:rPr>
          <w:kern w:val="0"/>
          <w:sz w:val="24"/>
        </w:rPr>
        <w:t>为此，韩国政府采取各种措施来帮助中小企业融资，以促使其发展</w:t>
      </w:r>
      <w:r w:rsidRPr="00800D22">
        <w:rPr>
          <w:rFonts w:hint="eastAsia"/>
          <w:kern w:val="0"/>
          <w:sz w:val="24"/>
        </w:rPr>
        <w:t>。</w:t>
      </w:r>
      <w:r w:rsidRPr="00800D22">
        <w:rPr>
          <w:kern w:val="0"/>
          <w:sz w:val="24"/>
        </w:rPr>
        <w:t>在</w:t>
      </w:r>
      <w:r w:rsidRPr="00800D22">
        <w:rPr>
          <w:kern w:val="0"/>
          <w:sz w:val="24"/>
        </w:rPr>
        <w:t>1999</w:t>
      </w:r>
      <w:r w:rsidRPr="00800D22">
        <w:rPr>
          <w:kern w:val="0"/>
          <w:sz w:val="24"/>
        </w:rPr>
        <w:t>年底，韩国政府通过政策性金融机构</w:t>
      </w:r>
      <w:r w:rsidRPr="00800D22">
        <w:rPr>
          <w:kern w:val="0"/>
          <w:sz w:val="24"/>
        </w:rPr>
        <w:t>SBC</w:t>
      </w:r>
      <w:r w:rsidRPr="00800D22">
        <w:rPr>
          <w:kern w:val="0"/>
          <w:sz w:val="24"/>
        </w:rPr>
        <w:t>（</w:t>
      </w:r>
      <w:r w:rsidRPr="00800D22">
        <w:rPr>
          <w:kern w:val="0"/>
          <w:sz w:val="24"/>
        </w:rPr>
        <w:t>Small Business Company</w:t>
      </w:r>
      <w:r w:rsidRPr="00800D22">
        <w:rPr>
          <w:kern w:val="0"/>
          <w:sz w:val="24"/>
        </w:rPr>
        <w:t>）首次推出</w:t>
      </w:r>
      <w:r w:rsidRPr="00800D22">
        <w:rPr>
          <w:kern w:val="0"/>
          <w:sz w:val="24"/>
        </w:rPr>
        <w:t>P-CBO</w:t>
      </w:r>
      <w:r w:rsidRPr="00800D22">
        <w:rPr>
          <w:kern w:val="0"/>
          <w:sz w:val="24"/>
        </w:rPr>
        <w:t>，为韩国中小企业开创了一种全新的融资模式。</w:t>
      </w:r>
    </w:p>
    <w:p w14:paraId="7AAC9587" w14:textId="3F67DE85" w:rsidR="00995E2A" w:rsidRPr="00800D22" w:rsidRDefault="00995E2A" w:rsidP="00995E2A">
      <w:pPr>
        <w:autoSpaceDE w:val="0"/>
        <w:autoSpaceDN w:val="0"/>
        <w:adjustRightInd w:val="0"/>
        <w:spacing w:line="440" w:lineRule="exact"/>
        <w:ind w:firstLineChars="200" w:firstLine="480"/>
        <w:rPr>
          <w:rFonts w:hint="eastAsia"/>
          <w:kern w:val="0"/>
          <w:sz w:val="24"/>
        </w:rPr>
      </w:pPr>
      <w:r w:rsidRPr="00800D22">
        <w:rPr>
          <w:kern w:val="0"/>
          <w:sz w:val="24"/>
        </w:rPr>
        <w:t>P-CBO</w:t>
      </w:r>
      <w:r w:rsidRPr="00800D22">
        <w:rPr>
          <w:kern w:val="0"/>
          <w:sz w:val="24"/>
        </w:rPr>
        <w:t>是一款</w:t>
      </w:r>
      <w:r w:rsidRPr="00800D22">
        <w:rPr>
          <w:kern w:val="0"/>
          <w:sz w:val="24"/>
        </w:rPr>
        <w:t>ABS</w:t>
      </w:r>
      <w:r w:rsidRPr="00800D22">
        <w:rPr>
          <w:kern w:val="0"/>
          <w:sz w:val="24"/>
        </w:rPr>
        <w:t>产品，</w:t>
      </w:r>
      <w:r w:rsidRPr="00800D22">
        <w:rPr>
          <w:kern w:val="0"/>
          <w:sz w:val="24"/>
        </w:rPr>
        <w:t>P-CBO</w:t>
      </w:r>
      <w:r w:rsidRPr="00800D22">
        <w:rPr>
          <w:kern w:val="0"/>
          <w:sz w:val="24"/>
        </w:rPr>
        <w:t>的产生离不开韩国飞速发展的</w:t>
      </w:r>
      <w:r w:rsidRPr="00800D22">
        <w:rPr>
          <w:kern w:val="0"/>
          <w:sz w:val="24"/>
        </w:rPr>
        <w:t>ABS</w:t>
      </w:r>
      <w:r w:rsidRPr="00800D22">
        <w:rPr>
          <w:kern w:val="0"/>
          <w:sz w:val="24"/>
        </w:rPr>
        <w:t>市场。在推出</w:t>
      </w:r>
      <w:r w:rsidRPr="00800D22">
        <w:rPr>
          <w:kern w:val="0"/>
          <w:sz w:val="24"/>
        </w:rPr>
        <w:t>P-CBO</w:t>
      </w:r>
      <w:r w:rsidRPr="00800D22">
        <w:rPr>
          <w:kern w:val="0"/>
          <w:sz w:val="24"/>
        </w:rPr>
        <w:t>之前，韩国政府就已经出台了《资产证券化法</w:t>
      </w:r>
      <w:r w:rsidRPr="00800D22">
        <w:rPr>
          <w:rFonts w:hint="eastAsia"/>
          <w:kern w:val="0"/>
          <w:sz w:val="24"/>
        </w:rPr>
        <w:t>案</w:t>
      </w:r>
      <w:r w:rsidRPr="00800D22">
        <w:rPr>
          <w:kern w:val="0"/>
          <w:sz w:val="24"/>
        </w:rPr>
        <w:t>》（</w:t>
      </w:r>
      <w:r w:rsidRPr="00800D22">
        <w:rPr>
          <w:kern w:val="0"/>
          <w:sz w:val="24"/>
        </w:rPr>
        <w:t>1998</w:t>
      </w:r>
      <w:r w:rsidRPr="00800D22">
        <w:rPr>
          <w:kern w:val="0"/>
          <w:sz w:val="24"/>
        </w:rPr>
        <w:t>年</w:t>
      </w:r>
      <w:r w:rsidRPr="00800D22">
        <w:rPr>
          <w:rFonts w:hint="eastAsia"/>
          <w:kern w:val="0"/>
          <w:sz w:val="24"/>
        </w:rPr>
        <w:t>生效</w:t>
      </w:r>
      <w:r w:rsidRPr="00800D22">
        <w:rPr>
          <w:kern w:val="0"/>
          <w:sz w:val="24"/>
        </w:rPr>
        <w:t>）</w:t>
      </w:r>
      <w:r w:rsidRPr="00800D22">
        <w:rPr>
          <w:rFonts w:hint="eastAsia"/>
          <w:kern w:val="0"/>
          <w:sz w:val="24"/>
        </w:rPr>
        <w:t>。</w:t>
      </w:r>
      <w:r w:rsidRPr="00800D22">
        <w:rPr>
          <w:kern w:val="0"/>
          <w:sz w:val="24"/>
        </w:rPr>
        <w:t>受益于这部法律，韩国</w:t>
      </w:r>
      <w:r w:rsidRPr="00800D22">
        <w:rPr>
          <w:kern w:val="0"/>
          <w:sz w:val="24"/>
        </w:rPr>
        <w:t>ABS</w:t>
      </w:r>
      <w:r w:rsidRPr="00800D22">
        <w:rPr>
          <w:kern w:val="0"/>
          <w:sz w:val="24"/>
        </w:rPr>
        <w:t>得到了空前发展，</w:t>
      </w:r>
      <w:r w:rsidRPr="00800D22">
        <w:rPr>
          <w:kern w:val="0"/>
          <w:sz w:val="24"/>
        </w:rPr>
        <w:t>1999</w:t>
      </w:r>
      <w:r w:rsidRPr="00800D22">
        <w:rPr>
          <w:kern w:val="0"/>
          <w:sz w:val="24"/>
        </w:rPr>
        <w:t>年韩国</w:t>
      </w:r>
      <w:r w:rsidRPr="00800D22">
        <w:rPr>
          <w:kern w:val="0"/>
          <w:sz w:val="24"/>
        </w:rPr>
        <w:t>ABS</w:t>
      </w:r>
      <w:r w:rsidRPr="00800D22">
        <w:rPr>
          <w:kern w:val="0"/>
          <w:sz w:val="24"/>
        </w:rPr>
        <w:t>发行量达到</w:t>
      </w:r>
      <w:r w:rsidRPr="00800D22">
        <w:rPr>
          <w:kern w:val="0"/>
          <w:sz w:val="24"/>
        </w:rPr>
        <w:t>67,709</w:t>
      </w:r>
      <w:r w:rsidRPr="00800D22">
        <w:rPr>
          <w:kern w:val="0"/>
          <w:sz w:val="24"/>
        </w:rPr>
        <w:t>亿韩元。此外，由于当时韩国金融危机刚平息，投资者都</w:t>
      </w:r>
      <w:r w:rsidRPr="00800D22">
        <w:rPr>
          <w:rFonts w:hint="eastAsia"/>
          <w:kern w:val="0"/>
          <w:sz w:val="24"/>
        </w:rPr>
        <w:t>很</w:t>
      </w:r>
      <w:r w:rsidRPr="00800D22">
        <w:rPr>
          <w:kern w:val="0"/>
          <w:sz w:val="24"/>
        </w:rPr>
        <w:t>不愿意从事直接暴露于风险的投资，相反，</w:t>
      </w:r>
      <w:r w:rsidRPr="00800D22">
        <w:rPr>
          <w:kern w:val="0"/>
          <w:sz w:val="24"/>
        </w:rPr>
        <w:t>ABS</w:t>
      </w:r>
      <w:r w:rsidRPr="00800D22">
        <w:rPr>
          <w:kern w:val="0"/>
          <w:sz w:val="24"/>
        </w:rPr>
        <w:t>这类附有增信的产品则得到投资者的青睐，这也促使</w:t>
      </w:r>
      <w:r w:rsidRPr="00800D22">
        <w:rPr>
          <w:kern w:val="0"/>
          <w:sz w:val="24"/>
        </w:rPr>
        <w:lastRenderedPageBreak/>
        <w:t>了韩国</w:t>
      </w:r>
      <w:r w:rsidRPr="00800D22">
        <w:rPr>
          <w:kern w:val="0"/>
          <w:sz w:val="24"/>
        </w:rPr>
        <w:t>ABS</w:t>
      </w:r>
      <w:r w:rsidRPr="00800D22">
        <w:rPr>
          <w:kern w:val="0"/>
          <w:sz w:val="24"/>
        </w:rPr>
        <w:t>市场的兴起。在良好的</w:t>
      </w:r>
      <w:r w:rsidRPr="00800D22">
        <w:rPr>
          <w:kern w:val="0"/>
          <w:sz w:val="24"/>
        </w:rPr>
        <w:t>ABS</w:t>
      </w:r>
      <w:r w:rsidRPr="00800D22">
        <w:rPr>
          <w:kern w:val="0"/>
          <w:sz w:val="24"/>
        </w:rPr>
        <w:t>市场环境下，</w:t>
      </w:r>
      <w:r w:rsidRPr="00800D22">
        <w:rPr>
          <w:kern w:val="0"/>
          <w:sz w:val="24"/>
        </w:rPr>
        <w:t>P-CBO</w:t>
      </w:r>
      <w:r w:rsidRPr="00800D22">
        <w:rPr>
          <w:kern w:val="0"/>
          <w:sz w:val="24"/>
        </w:rPr>
        <w:t>这种以资产证券化为基础的融资工具得到了韩国政府的大力支持</w:t>
      </w:r>
      <w:r w:rsidRPr="00800D22">
        <w:rPr>
          <w:rFonts w:hint="eastAsia"/>
          <w:kern w:val="0"/>
          <w:sz w:val="24"/>
        </w:rPr>
        <w:t>。</w:t>
      </w:r>
      <w:r w:rsidRPr="00800D22">
        <w:rPr>
          <w:kern w:val="0"/>
          <w:sz w:val="24"/>
        </w:rPr>
        <w:t>在</w:t>
      </w:r>
      <w:r w:rsidRPr="00800D22">
        <w:rPr>
          <w:kern w:val="0"/>
          <w:sz w:val="24"/>
        </w:rPr>
        <w:t>1999</w:t>
      </w:r>
      <w:r w:rsidRPr="00800D22">
        <w:rPr>
          <w:kern w:val="0"/>
          <w:sz w:val="24"/>
        </w:rPr>
        <w:t>年底首次发行成功后，</w:t>
      </w:r>
      <w:r w:rsidRPr="00800D22">
        <w:rPr>
          <w:kern w:val="0"/>
          <w:sz w:val="24"/>
        </w:rPr>
        <w:t>P-CBO</w:t>
      </w:r>
      <w:r w:rsidRPr="00800D22">
        <w:rPr>
          <w:kern w:val="0"/>
          <w:sz w:val="24"/>
        </w:rPr>
        <w:t>立即获得了广大投资者的认可，成为了</w:t>
      </w:r>
      <w:r w:rsidRPr="00800D22">
        <w:rPr>
          <w:kern w:val="0"/>
          <w:sz w:val="24"/>
        </w:rPr>
        <w:t>ABS</w:t>
      </w:r>
      <w:r w:rsidRPr="00800D22">
        <w:rPr>
          <w:kern w:val="0"/>
          <w:sz w:val="24"/>
        </w:rPr>
        <w:t>市场的一种热门产品</w:t>
      </w:r>
      <w:r w:rsidRPr="00800D22">
        <w:rPr>
          <w:rFonts w:hint="eastAsia"/>
          <w:kern w:val="0"/>
          <w:sz w:val="24"/>
        </w:rPr>
        <w:t>。</w:t>
      </w:r>
      <w:r w:rsidRPr="00800D22">
        <w:rPr>
          <w:kern w:val="0"/>
          <w:sz w:val="24"/>
        </w:rPr>
        <w:t>到次年，韩国</w:t>
      </w:r>
      <w:r w:rsidRPr="00800D22">
        <w:rPr>
          <w:kern w:val="0"/>
          <w:sz w:val="24"/>
        </w:rPr>
        <w:t>ABS</w:t>
      </w:r>
      <w:r w:rsidRPr="00800D22">
        <w:rPr>
          <w:kern w:val="0"/>
          <w:sz w:val="24"/>
        </w:rPr>
        <w:t>发行量已经</w:t>
      </w:r>
      <w:r w:rsidRPr="00800D22">
        <w:rPr>
          <w:rFonts w:hint="eastAsia"/>
          <w:kern w:val="0"/>
          <w:sz w:val="24"/>
        </w:rPr>
        <w:t>扩大</w:t>
      </w:r>
      <w:r w:rsidRPr="00800D22">
        <w:rPr>
          <w:kern w:val="0"/>
          <w:sz w:val="24"/>
        </w:rPr>
        <w:t>到了</w:t>
      </w:r>
      <w:r w:rsidRPr="00800D22">
        <w:rPr>
          <w:kern w:val="0"/>
          <w:sz w:val="24"/>
        </w:rPr>
        <w:t>493,832</w:t>
      </w:r>
      <w:r w:rsidRPr="00800D22">
        <w:rPr>
          <w:kern w:val="0"/>
          <w:sz w:val="24"/>
        </w:rPr>
        <w:t>亿韩元，</w:t>
      </w:r>
      <w:r w:rsidRPr="00800D22">
        <w:rPr>
          <w:rFonts w:hint="eastAsia"/>
          <w:kern w:val="0"/>
          <w:sz w:val="24"/>
        </w:rPr>
        <w:t>约为韩国债券市场总额（不含资产证券化产品）的</w:t>
      </w:r>
      <w:r w:rsidRPr="00800D22">
        <w:rPr>
          <w:rFonts w:hint="eastAsia"/>
          <w:kern w:val="0"/>
          <w:sz w:val="24"/>
        </w:rPr>
        <w:t>10%</w:t>
      </w:r>
      <w:r w:rsidRPr="00800D22">
        <w:rPr>
          <w:rFonts w:hint="eastAsia"/>
          <w:kern w:val="0"/>
          <w:sz w:val="24"/>
        </w:rPr>
        <w:t>，</w:t>
      </w:r>
      <w:r w:rsidRPr="00800D22">
        <w:rPr>
          <w:kern w:val="0"/>
          <w:sz w:val="24"/>
        </w:rPr>
        <w:t>而</w:t>
      </w:r>
      <w:r w:rsidRPr="00800D22">
        <w:rPr>
          <w:kern w:val="0"/>
          <w:sz w:val="24"/>
        </w:rPr>
        <w:t>P-CBO</w:t>
      </w:r>
      <w:r w:rsidRPr="00800D22">
        <w:rPr>
          <w:kern w:val="0"/>
          <w:sz w:val="24"/>
        </w:rPr>
        <w:t>的发行量则达到了</w:t>
      </w:r>
      <w:r w:rsidRPr="00800D22">
        <w:rPr>
          <w:kern w:val="0"/>
          <w:sz w:val="24"/>
        </w:rPr>
        <w:t>73,073</w:t>
      </w:r>
      <w:r w:rsidRPr="00800D22">
        <w:rPr>
          <w:kern w:val="0"/>
          <w:sz w:val="24"/>
        </w:rPr>
        <w:t>亿韩元，占整个</w:t>
      </w:r>
      <w:r w:rsidRPr="00800D22">
        <w:rPr>
          <w:kern w:val="0"/>
          <w:sz w:val="24"/>
        </w:rPr>
        <w:t>ABS</w:t>
      </w:r>
      <w:r w:rsidRPr="00800D22">
        <w:rPr>
          <w:kern w:val="0"/>
          <w:sz w:val="24"/>
        </w:rPr>
        <w:t>发行量的</w:t>
      </w:r>
      <w:r w:rsidRPr="00800D22">
        <w:rPr>
          <w:kern w:val="0"/>
          <w:sz w:val="24"/>
        </w:rPr>
        <w:t>14.8%</w:t>
      </w:r>
      <w:r w:rsidRPr="00800D22">
        <w:rPr>
          <w:rFonts w:hint="eastAsia"/>
          <w:kern w:val="0"/>
          <w:sz w:val="24"/>
        </w:rPr>
        <w:t>，</w:t>
      </w:r>
      <w:r w:rsidRPr="00800D22">
        <w:rPr>
          <w:kern w:val="0"/>
          <w:sz w:val="24"/>
        </w:rPr>
        <w:t>如表</w:t>
      </w:r>
      <w:r>
        <w:rPr>
          <w:rFonts w:hint="eastAsia"/>
          <w:kern w:val="0"/>
          <w:sz w:val="24"/>
        </w:rPr>
        <w:t>1</w:t>
      </w:r>
      <w:r w:rsidRPr="00800D22">
        <w:rPr>
          <w:kern w:val="0"/>
          <w:sz w:val="24"/>
        </w:rPr>
        <w:t>所示：</w:t>
      </w:r>
    </w:p>
    <w:p w14:paraId="49F15760" w14:textId="0459AA5D" w:rsidR="00995E2A" w:rsidRPr="00800D22" w:rsidRDefault="00995E2A" w:rsidP="00995E2A">
      <w:pPr>
        <w:pStyle w:val="aff1"/>
        <w:spacing w:beforeLines="100" w:before="312"/>
        <w:jc w:val="center"/>
        <w:rPr>
          <w:rFonts w:ascii="Times New Roman" w:eastAsia="新宋体" w:hAnsi="新宋体" w:cs="Times New Roman" w:hint="eastAsia"/>
          <w:sz w:val="21"/>
          <w:szCs w:val="21"/>
        </w:rPr>
      </w:pPr>
      <w:r w:rsidRPr="00800D22">
        <w:rPr>
          <w:rFonts w:ascii="Times New Roman" w:eastAsia="新宋体" w:hAnsi="新宋体" w:cs="Times New Roman" w:hint="eastAsia"/>
          <w:sz w:val="21"/>
          <w:szCs w:val="21"/>
        </w:rPr>
        <w:t>表</w:t>
      </w:r>
      <w:r w:rsidRPr="00800D22">
        <w:rPr>
          <w:rFonts w:ascii="Times New Roman" w:eastAsia="新宋体" w:hAnsi="新宋体" w:cs="Times New Roman" w:hint="eastAsia"/>
          <w:sz w:val="21"/>
          <w:szCs w:val="21"/>
        </w:rPr>
        <w:t xml:space="preserve">1  </w:t>
      </w:r>
      <w:r w:rsidRPr="00800D22">
        <w:rPr>
          <w:rFonts w:ascii="Times New Roman" w:eastAsia="新宋体" w:hAnsi="新宋体" w:cs="Times New Roman" w:hint="eastAsia"/>
          <w:sz w:val="21"/>
          <w:szCs w:val="21"/>
        </w:rPr>
        <w:t>韩国</w:t>
      </w:r>
      <w:r w:rsidRPr="00800D22">
        <w:rPr>
          <w:rFonts w:ascii="Times New Roman" w:eastAsia="新宋体" w:hAnsi="新宋体" w:cs="Times New Roman" w:hint="eastAsia"/>
          <w:sz w:val="21"/>
          <w:szCs w:val="21"/>
        </w:rPr>
        <w:t>P-CBO</w:t>
      </w:r>
      <w:r w:rsidRPr="00800D22">
        <w:rPr>
          <w:rFonts w:ascii="Times New Roman" w:eastAsia="新宋体" w:hAnsi="新宋体" w:cs="Times New Roman" w:hint="eastAsia"/>
          <w:sz w:val="21"/>
          <w:szCs w:val="21"/>
        </w:rPr>
        <w:t>发行概况</w:t>
      </w:r>
    </w:p>
    <w:p w14:paraId="4AB1D71D" w14:textId="058677B1" w:rsidR="00995E2A" w:rsidRPr="00800D22" w:rsidRDefault="00995E2A" w:rsidP="00995E2A">
      <w:pPr>
        <w:keepNext/>
        <w:autoSpaceDE w:val="0"/>
        <w:autoSpaceDN w:val="0"/>
        <w:adjustRightInd w:val="0"/>
        <w:jc w:val="center"/>
        <w:rPr>
          <w:szCs w:val="21"/>
        </w:rPr>
      </w:pPr>
      <w:r w:rsidRPr="00800D22">
        <w:rPr>
          <w:rFonts w:hint="eastAsia"/>
          <w:szCs w:val="21"/>
        </w:rPr>
        <w:t xml:space="preserve">Table 1  The </w:t>
      </w:r>
      <w:proofErr w:type="spellStart"/>
      <w:r w:rsidRPr="00800D22">
        <w:rPr>
          <w:rFonts w:hint="eastAsia"/>
          <w:szCs w:val="21"/>
        </w:rPr>
        <w:t>issurance</w:t>
      </w:r>
      <w:proofErr w:type="spellEnd"/>
      <w:r w:rsidRPr="00800D22">
        <w:rPr>
          <w:rFonts w:hint="eastAsia"/>
          <w:szCs w:val="21"/>
        </w:rPr>
        <w:t xml:space="preserve"> of </w:t>
      </w:r>
      <w:r w:rsidRPr="00800D22">
        <w:rPr>
          <w:rFonts w:eastAsia="新宋体"/>
          <w:szCs w:val="21"/>
        </w:rPr>
        <w:t>Korea</w:t>
      </w:r>
      <w:r w:rsidRPr="00800D22">
        <w:rPr>
          <w:rFonts w:eastAsia="新宋体" w:hint="eastAsia"/>
          <w:szCs w:val="21"/>
        </w:rPr>
        <w:t xml:space="preserve"> P-CBO</w:t>
      </w:r>
    </w:p>
    <w:tbl>
      <w:tblPr>
        <w:tblW w:w="4876" w:type="pct"/>
        <w:tblBorders>
          <w:top w:val="single" w:sz="4" w:space="0" w:color="auto"/>
          <w:bottom w:val="single" w:sz="4" w:space="0" w:color="auto"/>
        </w:tblBorders>
        <w:tblLook w:val="01E0" w:firstRow="1" w:lastRow="1" w:firstColumn="1" w:lastColumn="1" w:noHBand="0" w:noVBand="0"/>
      </w:tblPr>
      <w:tblGrid>
        <w:gridCol w:w="1584"/>
        <w:gridCol w:w="1965"/>
        <w:gridCol w:w="1413"/>
        <w:gridCol w:w="1767"/>
        <w:gridCol w:w="1582"/>
      </w:tblGrid>
      <w:tr w:rsidR="00995E2A" w:rsidRPr="00800D22" w14:paraId="6EA95125" w14:textId="77777777" w:rsidTr="000A32F1">
        <w:tc>
          <w:tcPr>
            <w:tcW w:w="953" w:type="pct"/>
            <w:vMerge w:val="restart"/>
            <w:tcBorders>
              <w:top w:val="single" w:sz="4" w:space="0" w:color="auto"/>
              <w:bottom w:val="nil"/>
            </w:tcBorders>
            <w:vAlign w:val="center"/>
          </w:tcPr>
          <w:p w14:paraId="23965A30" w14:textId="77777777" w:rsidR="00995E2A" w:rsidRPr="00800D22" w:rsidRDefault="00995E2A" w:rsidP="000A32F1">
            <w:pPr>
              <w:autoSpaceDE w:val="0"/>
              <w:autoSpaceDN w:val="0"/>
              <w:adjustRightInd w:val="0"/>
              <w:rPr>
                <w:bCs/>
                <w:szCs w:val="21"/>
              </w:rPr>
            </w:pPr>
            <w:r w:rsidRPr="00800D22">
              <w:rPr>
                <w:bCs/>
                <w:szCs w:val="21"/>
              </w:rPr>
              <w:t>产品类型</w:t>
            </w:r>
          </w:p>
        </w:tc>
        <w:tc>
          <w:tcPr>
            <w:tcW w:w="2032" w:type="pct"/>
            <w:gridSpan w:val="2"/>
            <w:tcBorders>
              <w:top w:val="single" w:sz="4" w:space="0" w:color="auto"/>
              <w:bottom w:val="nil"/>
            </w:tcBorders>
            <w:vAlign w:val="center"/>
          </w:tcPr>
          <w:p w14:paraId="5A0EB76E" w14:textId="77777777" w:rsidR="00995E2A" w:rsidRPr="00800D22" w:rsidRDefault="00995E2A" w:rsidP="000A32F1">
            <w:pPr>
              <w:autoSpaceDE w:val="0"/>
              <w:autoSpaceDN w:val="0"/>
              <w:adjustRightInd w:val="0"/>
              <w:jc w:val="center"/>
              <w:rPr>
                <w:bCs/>
                <w:szCs w:val="21"/>
              </w:rPr>
            </w:pPr>
            <w:r w:rsidRPr="00800D22">
              <w:rPr>
                <w:bCs/>
                <w:szCs w:val="21"/>
              </w:rPr>
              <w:t>2000</w:t>
            </w:r>
            <w:r w:rsidRPr="00800D22">
              <w:rPr>
                <w:bCs/>
                <w:szCs w:val="21"/>
              </w:rPr>
              <w:t>年</w:t>
            </w:r>
          </w:p>
        </w:tc>
        <w:tc>
          <w:tcPr>
            <w:tcW w:w="2015" w:type="pct"/>
            <w:gridSpan w:val="2"/>
            <w:tcBorders>
              <w:top w:val="single" w:sz="4" w:space="0" w:color="auto"/>
              <w:bottom w:val="nil"/>
            </w:tcBorders>
            <w:vAlign w:val="center"/>
          </w:tcPr>
          <w:p w14:paraId="019FE88E" w14:textId="77777777" w:rsidR="00995E2A" w:rsidRPr="00800D22" w:rsidRDefault="00995E2A" w:rsidP="000A32F1">
            <w:pPr>
              <w:autoSpaceDE w:val="0"/>
              <w:autoSpaceDN w:val="0"/>
              <w:adjustRightInd w:val="0"/>
              <w:jc w:val="center"/>
              <w:rPr>
                <w:bCs/>
                <w:szCs w:val="21"/>
              </w:rPr>
            </w:pPr>
            <w:r w:rsidRPr="00800D22">
              <w:rPr>
                <w:bCs/>
                <w:szCs w:val="21"/>
              </w:rPr>
              <w:t>2001</w:t>
            </w:r>
            <w:r w:rsidRPr="00800D22">
              <w:rPr>
                <w:bCs/>
                <w:szCs w:val="21"/>
              </w:rPr>
              <w:t>年</w:t>
            </w:r>
          </w:p>
        </w:tc>
      </w:tr>
      <w:tr w:rsidR="00995E2A" w:rsidRPr="00800D22" w14:paraId="7B7290DF" w14:textId="77777777" w:rsidTr="000A32F1">
        <w:tc>
          <w:tcPr>
            <w:tcW w:w="953" w:type="pct"/>
            <w:vMerge/>
            <w:tcBorders>
              <w:top w:val="nil"/>
              <w:bottom w:val="single" w:sz="4" w:space="0" w:color="auto"/>
            </w:tcBorders>
            <w:vAlign w:val="center"/>
          </w:tcPr>
          <w:p w14:paraId="709AF62B" w14:textId="77777777" w:rsidR="00995E2A" w:rsidRPr="00800D22" w:rsidRDefault="00995E2A" w:rsidP="000A32F1">
            <w:pPr>
              <w:autoSpaceDE w:val="0"/>
              <w:autoSpaceDN w:val="0"/>
              <w:adjustRightInd w:val="0"/>
              <w:rPr>
                <w:szCs w:val="21"/>
              </w:rPr>
            </w:pPr>
          </w:p>
        </w:tc>
        <w:tc>
          <w:tcPr>
            <w:tcW w:w="1182" w:type="pct"/>
            <w:tcBorders>
              <w:top w:val="nil"/>
              <w:bottom w:val="single" w:sz="4" w:space="0" w:color="auto"/>
            </w:tcBorders>
            <w:vAlign w:val="center"/>
          </w:tcPr>
          <w:p w14:paraId="03E2D36D" w14:textId="77777777" w:rsidR="00995E2A" w:rsidRPr="00800D22" w:rsidRDefault="00995E2A" w:rsidP="000A32F1">
            <w:pPr>
              <w:autoSpaceDE w:val="0"/>
              <w:autoSpaceDN w:val="0"/>
              <w:adjustRightInd w:val="0"/>
              <w:rPr>
                <w:szCs w:val="21"/>
              </w:rPr>
            </w:pPr>
            <w:r w:rsidRPr="00800D22">
              <w:rPr>
                <w:szCs w:val="21"/>
              </w:rPr>
              <w:t>发行量（亿韩元）</w:t>
            </w:r>
          </w:p>
        </w:tc>
        <w:tc>
          <w:tcPr>
            <w:tcW w:w="850" w:type="pct"/>
            <w:tcBorders>
              <w:top w:val="nil"/>
              <w:bottom w:val="single" w:sz="4" w:space="0" w:color="auto"/>
            </w:tcBorders>
            <w:vAlign w:val="center"/>
          </w:tcPr>
          <w:p w14:paraId="2FD59D31" w14:textId="77777777" w:rsidR="00995E2A" w:rsidRPr="00800D22" w:rsidRDefault="00995E2A" w:rsidP="000A32F1">
            <w:pPr>
              <w:autoSpaceDE w:val="0"/>
              <w:autoSpaceDN w:val="0"/>
              <w:adjustRightInd w:val="0"/>
              <w:rPr>
                <w:szCs w:val="21"/>
              </w:rPr>
            </w:pPr>
            <w:r w:rsidRPr="00800D22">
              <w:rPr>
                <w:szCs w:val="21"/>
              </w:rPr>
              <w:t>比例</w:t>
            </w:r>
          </w:p>
        </w:tc>
        <w:tc>
          <w:tcPr>
            <w:tcW w:w="1063" w:type="pct"/>
            <w:tcBorders>
              <w:top w:val="nil"/>
              <w:bottom w:val="single" w:sz="4" w:space="0" w:color="auto"/>
            </w:tcBorders>
            <w:vAlign w:val="center"/>
          </w:tcPr>
          <w:p w14:paraId="30FC3B2A" w14:textId="77777777" w:rsidR="00995E2A" w:rsidRPr="00800D22" w:rsidRDefault="00995E2A" w:rsidP="000A32F1">
            <w:pPr>
              <w:autoSpaceDE w:val="0"/>
              <w:autoSpaceDN w:val="0"/>
              <w:adjustRightInd w:val="0"/>
              <w:rPr>
                <w:szCs w:val="21"/>
              </w:rPr>
            </w:pPr>
            <w:r w:rsidRPr="00800D22">
              <w:rPr>
                <w:szCs w:val="21"/>
              </w:rPr>
              <w:t>发行量（亿韩元）</w:t>
            </w:r>
          </w:p>
        </w:tc>
        <w:tc>
          <w:tcPr>
            <w:tcW w:w="951" w:type="pct"/>
            <w:tcBorders>
              <w:top w:val="nil"/>
              <w:bottom w:val="single" w:sz="4" w:space="0" w:color="auto"/>
            </w:tcBorders>
            <w:vAlign w:val="center"/>
          </w:tcPr>
          <w:p w14:paraId="57769658" w14:textId="77777777" w:rsidR="00995E2A" w:rsidRPr="00800D22" w:rsidRDefault="00995E2A" w:rsidP="000A32F1">
            <w:pPr>
              <w:autoSpaceDE w:val="0"/>
              <w:autoSpaceDN w:val="0"/>
              <w:adjustRightInd w:val="0"/>
              <w:rPr>
                <w:szCs w:val="21"/>
              </w:rPr>
            </w:pPr>
            <w:r w:rsidRPr="00800D22">
              <w:rPr>
                <w:szCs w:val="21"/>
              </w:rPr>
              <w:t>比例</w:t>
            </w:r>
          </w:p>
        </w:tc>
      </w:tr>
      <w:tr w:rsidR="00995E2A" w:rsidRPr="00800D22" w14:paraId="01A73578" w14:textId="77777777" w:rsidTr="000A32F1">
        <w:trPr>
          <w:trHeight w:val="367"/>
        </w:trPr>
        <w:tc>
          <w:tcPr>
            <w:tcW w:w="953" w:type="pct"/>
            <w:tcBorders>
              <w:top w:val="single" w:sz="4" w:space="0" w:color="auto"/>
            </w:tcBorders>
            <w:vAlign w:val="center"/>
          </w:tcPr>
          <w:p w14:paraId="752CB238" w14:textId="77777777" w:rsidR="00995E2A" w:rsidRPr="00800D22" w:rsidRDefault="00995E2A" w:rsidP="000A32F1">
            <w:pPr>
              <w:autoSpaceDE w:val="0"/>
              <w:autoSpaceDN w:val="0"/>
              <w:adjustRightInd w:val="0"/>
              <w:rPr>
                <w:sz w:val="18"/>
                <w:szCs w:val="18"/>
              </w:rPr>
            </w:pPr>
            <w:r w:rsidRPr="00800D22">
              <w:rPr>
                <w:sz w:val="18"/>
                <w:szCs w:val="18"/>
              </w:rPr>
              <w:t>P-CBO</w:t>
            </w:r>
          </w:p>
        </w:tc>
        <w:tc>
          <w:tcPr>
            <w:tcW w:w="1182" w:type="pct"/>
            <w:tcBorders>
              <w:top w:val="single" w:sz="4" w:space="0" w:color="auto"/>
            </w:tcBorders>
            <w:vAlign w:val="center"/>
          </w:tcPr>
          <w:p w14:paraId="4EBE0E3F" w14:textId="77777777" w:rsidR="00995E2A" w:rsidRPr="00800D22" w:rsidRDefault="00995E2A" w:rsidP="000A32F1">
            <w:pPr>
              <w:pStyle w:val="aff2"/>
              <w:tabs>
                <w:tab w:val="left" w:pos="25600"/>
                <w:tab w:val="left" w:pos="26400"/>
                <w:tab w:val="left" w:pos="27200"/>
                <w:tab w:val="left" w:pos="28000"/>
                <w:tab w:val="left" w:pos="28800"/>
                <w:tab w:val="left" w:pos="29600"/>
                <w:tab w:val="left" w:pos="30400"/>
                <w:tab w:val="left" w:pos="31200"/>
              </w:tabs>
              <w:wordWrap/>
              <w:spacing w:line="240" w:lineRule="auto"/>
              <w:ind w:right="120"/>
              <w:rPr>
                <w:rFonts w:ascii="Times New Roman" w:eastAsia="宋体"/>
                <w:color w:val="auto"/>
                <w:sz w:val="18"/>
                <w:szCs w:val="18"/>
              </w:rPr>
            </w:pPr>
            <w:r w:rsidRPr="00800D22">
              <w:rPr>
                <w:rFonts w:ascii="Times New Roman" w:eastAsia="宋体"/>
                <w:color w:val="auto"/>
                <w:sz w:val="18"/>
                <w:szCs w:val="18"/>
              </w:rPr>
              <w:t>73,073</w:t>
            </w:r>
          </w:p>
        </w:tc>
        <w:tc>
          <w:tcPr>
            <w:tcW w:w="850" w:type="pct"/>
            <w:tcBorders>
              <w:top w:val="single" w:sz="4" w:space="0" w:color="auto"/>
            </w:tcBorders>
            <w:vAlign w:val="center"/>
          </w:tcPr>
          <w:p w14:paraId="6C35631F" w14:textId="77777777" w:rsidR="00995E2A" w:rsidRPr="00800D22" w:rsidRDefault="00995E2A" w:rsidP="000A32F1">
            <w:pPr>
              <w:pStyle w:val="aff2"/>
              <w:tabs>
                <w:tab w:val="left" w:pos="25600"/>
                <w:tab w:val="left" w:pos="26400"/>
                <w:tab w:val="left" w:pos="27200"/>
                <w:tab w:val="left" w:pos="28000"/>
                <w:tab w:val="left" w:pos="28800"/>
                <w:tab w:val="left" w:pos="29600"/>
                <w:tab w:val="left" w:pos="30400"/>
                <w:tab w:val="left" w:pos="31200"/>
              </w:tabs>
              <w:wordWrap/>
              <w:spacing w:line="240" w:lineRule="auto"/>
              <w:ind w:right="43"/>
              <w:rPr>
                <w:rFonts w:ascii="Times New Roman" w:eastAsia="宋体"/>
                <w:color w:val="auto"/>
                <w:sz w:val="18"/>
                <w:szCs w:val="18"/>
                <w:lang w:eastAsia="zh-CN"/>
              </w:rPr>
            </w:pPr>
            <w:r w:rsidRPr="00800D22">
              <w:rPr>
                <w:rFonts w:ascii="Times New Roman" w:eastAsia="宋体"/>
                <w:color w:val="auto"/>
                <w:sz w:val="18"/>
                <w:szCs w:val="18"/>
              </w:rPr>
              <w:t>14.8%</w:t>
            </w:r>
          </w:p>
        </w:tc>
        <w:tc>
          <w:tcPr>
            <w:tcW w:w="1063" w:type="pct"/>
            <w:tcBorders>
              <w:top w:val="single" w:sz="4" w:space="0" w:color="auto"/>
            </w:tcBorders>
            <w:vAlign w:val="center"/>
          </w:tcPr>
          <w:p w14:paraId="57288D1A" w14:textId="77777777" w:rsidR="00995E2A" w:rsidRPr="00800D22" w:rsidRDefault="00995E2A" w:rsidP="000A32F1">
            <w:pPr>
              <w:pStyle w:val="aff2"/>
              <w:tabs>
                <w:tab w:val="left" w:pos="25600"/>
                <w:tab w:val="left" w:pos="26400"/>
                <w:tab w:val="left" w:pos="27200"/>
                <w:tab w:val="left" w:pos="28000"/>
                <w:tab w:val="left" w:pos="28800"/>
                <w:tab w:val="left" w:pos="29600"/>
                <w:tab w:val="left" w:pos="30400"/>
                <w:tab w:val="left" w:pos="31200"/>
              </w:tabs>
              <w:wordWrap/>
              <w:spacing w:line="240" w:lineRule="auto"/>
              <w:ind w:right="120"/>
              <w:rPr>
                <w:rFonts w:ascii="Times New Roman" w:eastAsia="宋体"/>
                <w:color w:val="auto"/>
                <w:sz w:val="18"/>
                <w:szCs w:val="18"/>
              </w:rPr>
            </w:pPr>
            <w:r w:rsidRPr="00800D22">
              <w:rPr>
                <w:rFonts w:ascii="Times New Roman" w:eastAsia="宋体"/>
                <w:color w:val="auto"/>
                <w:sz w:val="18"/>
                <w:szCs w:val="18"/>
              </w:rPr>
              <w:t xml:space="preserve">75,406 </w:t>
            </w:r>
          </w:p>
        </w:tc>
        <w:tc>
          <w:tcPr>
            <w:tcW w:w="951" w:type="pct"/>
            <w:tcBorders>
              <w:top w:val="single" w:sz="4" w:space="0" w:color="auto"/>
            </w:tcBorders>
            <w:vAlign w:val="center"/>
          </w:tcPr>
          <w:p w14:paraId="49BA0D90" w14:textId="77777777" w:rsidR="00995E2A" w:rsidRPr="00800D22" w:rsidRDefault="00995E2A" w:rsidP="000A32F1">
            <w:pPr>
              <w:pStyle w:val="aff2"/>
              <w:tabs>
                <w:tab w:val="left" w:pos="25600"/>
                <w:tab w:val="left" w:pos="26400"/>
                <w:tab w:val="left" w:pos="27200"/>
                <w:tab w:val="left" w:pos="28000"/>
                <w:tab w:val="left" w:pos="28800"/>
                <w:tab w:val="left" w:pos="29600"/>
                <w:tab w:val="left" w:pos="30400"/>
                <w:tab w:val="left" w:pos="31200"/>
              </w:tabs>
              <w:wordWrap/>
              <w:spacing w:line="240" w:lineRule="auto"/>
              <w:rPr>
                <w:rFonts w:ascii="Times New Roman" w:eastAsia="宋体"/>
                <w:color w:val="auto"/>
                <w:sz w:val="18"/>
                <w:szCs w:val="18"/>
                <w:lang w:eastAsia="zh-CN"/>
              </w:rPr>
            </w:pPr>
            <w:r w:rsidRPr="00800D22">
              <w:rPr>
                <w:rFonts w:ascii="Times New Roman" w:eastAsia="宋体"/>
                <w:color w:val="auto"/>
                <w:sz w:val="18"/>
                <w:szCs w:val="18"/>
              </w:rPr>
              <w:t>14.8%</w:t>
            </w:r>
          </w:p>
        </w:tc>
      </w:tr>
      <w:tr w:rsidR="00995E2A" w:rsidRPr="00800D22" w14:paraId="561934A0" w14:textId="77777777" w:rsidTr="000A32F1">
        <w:trPr>
          <w:trHeight w:val="174"/>
        </w:trPr>
        <w:tc>
          <w:tcPr>
            <w:tcW w:w="953" w:type="pct"/>
            <w:vAlign w:val="center"/>
          </w:tcPr>
          <w:p w14:paraId="06BADC24" w14:textId="77777777" w:rsidR="00995E2A" w:rsidRPr="00800D22" w:rsidRDefault="00995E2A" w:rsidP="000A32F1">
            <w:pPr>
              <w:autoSpaceDE w:val="0"/>
              <w:autoSpaceDN w:val="0"/>
              <w:adjustRightInd w:val="0"/>
              <w:rPr>
                <w:sz w:val="18"/>
                <w:szCs w:val="18"/>
              </w:rPr>
            </w:pPr>
            <w:r w:rsidRPr="00800D22">
              <w:rPr>
                <w:sz w:val="18"/>
                <w:szCs w:val="18"/>
              </w:rPr>
              <w:t>ABS</w:t>
            </w:r>
          </w:p>
        </w:tc>
        <w:tc>
          <w:tcPr>
            <w:tcW w:w="1182" w:type="pct"/>
            <w:vAlign w:val="center"/>
          </w:tcPr>
          <w:p w14:paraId="499C169D" w14:textId="77777777" w:rsidR="00995E2A" w:rsidRPr="00800D22" w:rsidRDefault="00995E2A" w:rsidP="000A32F1">
            <w:pPr>
              <w:pStyle w:val="aff2"/>
              <w:wordWrap/>
              <w:spacing w:line="240" w:lineRule="auto"/>
              <w:rPr>
                <w:rFonts w:ascii="Times New Roman" w:eastAsia="宋体"/>
                <w:color w:val="auto"/>
                <w:sz w:val="18"/>
                <w:szCs w:val="18"/>
                <w:lang w:eastAsia="zh-CN"/>
              </w:rPr>
            </w:pPr>
            <w:r w:rsidRPr="00800D22">
              <w:rPr>
                <w:rFonts w:ascii="Times New Roman" w:eastAsia="宋体"/>
                <w:color w:val="auto"/>
                <w:sz w:val="18"/>
                <w:szCs w:val="18"/>
              </w:rPr>
              <w:t>493,832</w:t>
            </w:r>
          </w:p>
        </w:tc>
        <w:tc>
          <w:tcPr>
            <w:tcW w:w="850" w:type="pct"/>
            <w:vAlign w:val="center"/>
          </w:tcPr>
          <w:p w14:paraId="041C5999" w14:textId="77777777" w:rsidR="00995E2A" w:rsidRPr="00800D22" w:rsidRDefault="00995E2A" w:rsidP="000A32F1">
            <w:pPr>
              <w:pStyle w:val="aff2"/>
              <w:tabs>
                <w:tab w:val="left" w:pos="25600"/>
                <w:tab w:val="left" w:pos="26400"/>
                <w:tab w:val="left" w:pos="27200"/>
                <w:tab w:val="left" w:pos="28000"/>
                <w:tab w:val="left" w:pos="28800"/>
                <w:tab w:val="left" w:pos="29600"/>
                <w:tab w:val="left" w:pos="30400"/>
                <w:tab w:val="left" w:pos="31200"/>
              </w:tabs>
              <w:wordWrap/>
              <w:spacing w:line="240" w:lineRule="auto"/>
              <w:ind w:right="43"/>
              <w:rPr>
                <w:rFonts w:ascii="Times New Roman" w:eastAsia="宋体"/>
                <w:color w:val="auto"/>
                <w:spacing w:val="-16"/>
                <w:sz w:val="18"/>
                <w:szCs w:val="18"/>
                <w:lang w:eastAsia="zh-CN"/>
              </w:rPr>
            </w:pPr>
            <w:r w:rsidRPr="00800D22">
              <w:rPr>
                <w:rFonts w:ascii="Times New Roman" w:eastAsia="宋体"/>
                <w:color w:val="auto"/>
                <w:spacing w:val="-16"/>
                <w:sz w:val="18"/>
                <w:szCs w:val="18"/>
              </w:rPr>
              <w:t>100.0%</w:t>
            </w:r>
          </w:p>
        </w:tc>
        <w:tc>
          <w:tcPr>
            <w:tcW w:w="1063" w:type="pct"/>
            <w:vAlign w:val="center"/>
          </w:tcPr>
          <w:p w14:paraId="4EA5E234" w14:textId="77777777" w:rsidR="00995E2A" w:rsidRPr="00800D22" w:rsidRDefault="00995E2A" w:rsidP="000A32F1">
            <w:pPr>
              <w:pStyle w:val="aff2"/>
              <w:tabs>
                <w:tab w:val="left" w:pos="25600"/>
                <w:tab w:val="left" w:pos="26400"/>
                <w:tab w:val="left" w:pos="27200"/>
                <w:tab w:val="left" w:pos="28000"/>
                <w:tab w:val="left" w:pos="28800"/>
                <w:tab w:val="left" w:pos="29600"/>
                <w:tab w:val="left" w:pos="30400"/>
                <w:tab w:val="left" w:pos="31200"/>
              </w:tabs>
              <w:wordWrap/>
              <w:spacing w:line="240" w:lineRule="auto"/>
              <w:ind w:right="120"/>
              <w:rPr>
                <w:rFonts w:ascii="Times New Roman" w:eastAsia="宋体"/>
                <w:color w:val="auto"/>
                <w:sz w:val="18"/>
                <w:szCs w:val="18"/>
              </w:rPr>
            </w:pPr>
            <w:r w:rsidRPr="00800D22">
              <w:rPr>
                <w:rFonts w:ascii="Times New Roman" w:eastAsia="宋体"/>
                <w:color w:val="auto"/>
                <w:sz w:val="18"/>
                <w:szCs w:val="18"/>
              </w:rPr>
              <w:t xml:space="preserve">509,342 </w:t>
            </w:r>
          </w:p>
        </w:tc>
        <w:tc>
          <w:tcPr>
            <w:tcW w:w="951" w:type="pct"/>
            <w:vAlign w:val="center"/>
          </w:tcPr>
          <w:p w14:paraId="4CE3B164" w14:textId="77777777" w:rsidR="00995E2A" w:rsidRPr="00800D22" w:rsidRDefault="00995E2A" w:rsidP="000A32F1">
            <w:pPr>
              <w:pStyle w:val="aff2"/>
              <w:tabs>
                <w:tab w:val="left" w:pos="25600"/>
                <w:tab w:val="left" w:pos="26400"/>
                <w:tab w:val="left" w:pos="27200"/>
                <w:tab w:val="left" w:pos="28000"/>
                <w:tab w:val="left" w:pos="28800"/>
                <w:tab w:val="left" w:pos="29600"/>
                <w:tab w:val="left" w:pos="30400"/>
                <w:tab w:val="left" w:pos="31200"/>
              </w:tabs>
              <w:wordWrap/>
              <w:spacing w:line="240" w:lineRule="auto"/>
              <w:rPr>
                <w:rFonts w:ascii="Times New Roman" w:eastAsia="宋体"/>
                <w:color w:val="auto"/>
                <w:spacing w:val="-16"/>
                <w:sz w:val="18"/>
                <w:szCs w:val="18"/>
                <w:lang w:eastAsia="zh-CN"/>
              </w:rPr>
            </w:pPr>
            <w:r w:rsidRPr="00800D22">
              <w:rPr>
                <w:rFonts w:ascii="Times New Roman" w:eastAsia="宋体"/>
                <w:color w:val="auto"/>
                <w:spacing w:val="-16"/>
                <w:sz w:val="18"/>
                <w:szCs w:val="18"/>
              </w:rPr>
              <w:t>100.0%</w:t>
            </w:r>
          </w:p>
        </w:tc>
      </w:tr>
    </w:tbl>
    <w:p w14:paraId="2004BC2A" w14:textId="77777777" w:rsidR="00995E2A" w:rsidRPr="00800D22" w:rsidRDefault="00995E2A" w:rsidP="00995E2A">
      <w:pPr>
        <w:autoSpaceDE w:val="0"/>
        <w:autoSpaceDN w:val="0"/>
        <w:adjustRightInd w:val="0"/>
        <w:spacing w:afterLines="100" w:after="312"/>
        <w:jc w:val="left"/>
        <w:rPr>
          <w:rFonts w:hint="eastAsia"/>
          <w:b/>
          <w:sz w:val="18"/>
          <w:szCs w:val="18"/>
        </w:rPr>
      </w:pPr>
      <w:r w:rsidRPr="00800D22">
        <w:rPr>
          <w:sz w:val="18"/>
          <w:szCs w:val="18"/>
        </w:rPr>
        <w:t>数据来源</w:t>
      </w:r>
      <w:r w:rsidRPr="00800D22">
        <w:rPr>
          <w:b/>
          <w:sz w:val="18"/>
          <w:szCs w:val="18"/>
        </w:rPr>
        <w:t xml:space="preserve"> </w:t>
      </w:r>
      <w:r w:rsidRPr="00800D22">
        <w:rPr>
          <w:sz w:val="18"/>
          <w:szCs w:val="18"/>
        </w:rPr>
        <w:t>:</w:t>
      </w:r>
      <w:r w:rsidRPr="00800D22">
        <w:rPr>
          <w:b/>
          <w:sz w:val="18"/>
          <w:szCs w:val="18"/>
        </w:rPr>
        <w:t xml:space="preserve"> </w:t>
      </w:r>
      <w:r w:rsidRPr="00800D22">
        <w:rPr>
          <w:sz w:val="18"/>
          <w:szCs w:val="18"/>
        </w:rPr>
        <w:t>Financial</w:t>
      </w:r>
      <w:r w:rsidRPr="00800D22">
        <w:rPr>
          <w:b/>
          <w:sz w:val="18"/>
          <w:szCs w:val="18"/>
        </w:rPr>
        <w:t xml:space="preserve"> </w:t>
      </w:r>
      <w:r w:rsidRPr="00800D22">
        <w:rPr>
          <w:sz w:val="18"/>
          <w:szCs w:val="18"/>
        </w:rPr>
        <w:t>Supervisory</w:t>
      </w:r>
      <w:r w:rsidRPr="00800D22">
        <w:rPr>
          <w:b/>
          <w:sz w:val="18"/>
          <w:szCs w:val="18"/>
        </w:rPr>
        <w:t xml:space="preserve"> </w:t>
      </w:r>
      <w:r w:rsidRPr="00800D22">
        <w:rPr>
          <w:sz w:val="18"/>
          <w:szCs w:val="18"/>
        </w:rPr>
        <w:t>Service</w:t>
      </w:r>
      <w:r w:rsidRPr="00800D22">
        <w:rPr>
          <w:b/>
          <w:sz w:val="18"/>
          <w:szCs w:val="18"/>
        </w:rPr>
        <w:t xml:space="preserve"> </w:t>
      </w:r>
      <w:r w:rsidRPr="00800D22">
        <w:rPr>
          <w:sz w:val="18"/>
          <w:szCs w:val="18"/>
        </w:rPr>
        <w:t>(FSS),</w:t>
      </w:r>
      <w:r w:rsidRPr="00800D22">
        <w:rPr>
          <w:b/>
          <w:sz w:val="18"/>
          <w:szCs w:val="18"/>
        </w:rPr>
        <w:t xml:space="preserve"> </w:t>
      </w:r>
      <w:r w:rsidRPr="00800D22">
        <w:rPr>
          <w:sz w:val="18"/>
          <w:szCs w:val="18"/>
        </w:rPr>
        <w:t>“ABS</w:t>
      </w:r>
      <w:r w:rsidRPr="00800D22">
        <w:rPr>
          <w:b/>
          <w:sz w:val="18"/>
          <w:szCs w:val="18"/>
        </w:rPr>
        <w:t xml:space="preserve"> </w:t>
      </w:r>
      <w:r w:rsidRPr="00800D22">
        <w:rPr>
          <w:sz w:val="18"/>
          <w:szCs w:val="18"/>
        </w:rPr>
        <w:t>Market</w:t>
      </w:r>
      <w:r w:rsidRPr="00800D22">
        <w:rPr>
          <w:b/>
          <w:sz w:val="18"/>
          <w:szCs w:val="18"/>
        </w:rPr>
        <w:t xml:space="preserve"> </w:t>
      </w:r>
      <w:r w:rsidRPr="00800D22">
        <w:rPr>
          <w:sz w:val="18"/>
          <w:szCs w:val="18"/>
        </w:rPr>
        <w:t>of</w:t>
      </w:r>
      <w:r w:rsidRPr="00800D22">
        <w:rPr>
          <w:b/>
          <w:sz w:val="18"/>
          <w:szCs w:val="18"/>
        </w:rPr>
        <w:t xml:space="preserve"> </w:t>
      </w:r>
      <w:r w:rsidRPr="00800D22">
        <w:rPr>
          <w:sz w:val="18"/>
          <w:szCs w:val="18"/>
        </w:rPr>
        <w:t>Korea</w:t>
      </w:r>
      <w:r w:rsidRPr="00800D22">
        <w:rPr>
          <w:b/>
          <w:sz w:val="18"/>
          <w:szCs w:val="18"/>
        </w:rPr>
        <w:t xml:space="preserve"> </w:t>
      </w:r>
      <w:r w:rsidRPr="00800D22">
        <w:rPr>
          <w:sz w:val="18"/>
          <w:szCs w:val="18"/>
        </w:rPr>
        <w:t>in</w:t>
      </w:r>
      <w:r w:rsidRPr="00800D22">
        <w:rPr>
          <w:b/>
          <w:sz w:val="18"/>
          <w:szCs w:val="18"/>
        </w:rPr>
        <w:t xml:space="preserve"> </w:t>
      </w:r>
      <w:r w:rsidRPr="00800D22">
        <w:rPr>
          <w:sz w:val="18"/>
          <w:szCs w:val="18"/>
        </w:rPr>
        <w:t>2001</w:t>
      </w:r>
      <w:r w:rsidRPr="00800D22">
        <w:rPr>
          <w:b/>
          <w:sz w:val="18"/>
          <w:szCs w:val="18"/>
        </w:rPr>
        <w:t xml:space="preserve"> </w:t>
      </w:r>
      <w:r w:rsidRPr="00800D22">
        <w:rPr>
          <w:sz w:val="18"/>
          <w:szCs w:val="18"/>
        </w:rPr>
        <w:t>,</w:t>
      </w:r>
      <w:r w:rsidRPr="00800D22">
        <w:rPr>
          <w:b/>
          <w:sz w:val="18"/>
          <w:szCs w:val="18"/>
        </w:rPr>
        <w:t xml:space="preserve"> </w:t>
      </w:r>
      <w:smartTag w:uri="urn:schemas-microsoft-com:office:smarttags" w:element="chmetcnv">
        <w:smartTagPr>
          <w:attr w:name="UnitName" w:val="”"/>
          <w:attr w:name="SourceValue" w:val="2002"/>
          <w:attr w:name="HasSpace" w:val="False"/>
          <w:attr w:name="Negative" w:val="False"/>
          <w:attr w:name="NumberType" w:val="1"/>
          <w:attr w:name="TCSC" w:val="0"/>
        </w:smartTagPr>
        <w:r w:rsidRPr="00800D22">
          <w:rPr>
            <w:sz w:val="18"/>
            <w:szCs w:val="18"/>
          </w:rPr>
          <w:t>2002”</w:t>
        </w:r>
      </w:smartTag>
      <w:r w:rsidRPr="00800D22">
        <w:rPr>
          <w:sz w:val="18"/>
          <w:szCs w:val="18"/>
        </w:rPr>
        <w:t xml:space="preserve">    </w:t>
      </w:r>
      <w:r w:rsidRPr="00800D22">
        <w:rPr>
          <w:b/>
          <w:sz w:val="18"/>
          <w:szCs w:val="18"/>
        </w:rPr>
        <w:t xml:space="preserve">            </w:t>
      </w:r>
    </w:p>
    <w:p w14:paraId="70B34928" w14:textId="6BC59D51" w:rsidR="00995E2A" w:rsidRPr="00800D22" w:rsidRDefault="00995E2A" w:rsidP="00995E2A">
      <w:pPr>
        <w:pStyle w:val="3"/>
        <w:adjustRightInd w:val="0"/>
        <w:spacing w:beforeLines="50" w:before="156" w:afterLines="50" w:after="156" w:line="440" w:lineRule="exact"/>
        <w:ind w:firstLineChars="200" w:firstLine="562"/>
        <w:jc w:val="left"/>
        <w:rPr>
          <w:rFonts w:ascii="黑体" w:eastAsia="黑体"/>
          <w:b/>
          <w:sz w:val="28"/>
          <w:szCs w:val="28"/>
        </w:rPr>
      </w:pPr>
      <w:bookmarkStart w:id="6" w:name="_Toc215459482"/>
      <w:bookmarkStart w:id="7" w:name="_Toc238701525"/>
      <w:bookmarkStart w:id="8" w:name="_Toc239689291"/>
      <w:bookmarkStart w:id="9" w:name="_Toc256506333"/>
      <w:r>
        <w:rPr>
          <w:rFonts w:ascii="黑体" w:eastAsia="黑体" w:hint="eastAsia"/>
          <w:b/>
          <w:sz w:val="28"/>
          <w:szCs w:val="28"/>
        </w:rPr>
        <w:t>二、</w:t>
      </w:r>
      <w:r w:rsidRPr="00800D22">
        <w:rPr>
          <w:rFonts w:ascii="黑体" w:eastAsia="黑体"/>
          <w:b/>
          <w:sz w:val="28"/>
          <w:szCs w:val="28"/>
        </w:rPr>
        <w:t>P-CBO的基本交易结构</w:t>
      </w:r>
      <w:bookmarkEnd w:id="6"/>
      <w:bookmarkEnd w:id="7"/>
      <w:bookmarkEnd w:id="8"/>
      <w:bookmarkEnd w:id="9"/>
    </w:p>
    <w:p w14:paraId="290A82B0" w14:textId="5C0B4073" w:rsidR="00995E2A" w:rsidRPr="00800D22" w:rsidRDefault="00995E2A" w:rsidP="00995E2A">
      <w:pPr>
        <w:autoSpaceDE w:val="0"/>
        <w:autoSpaceDN w:val="0"/>
        <w:adjustRightInd w:val="0"/>
        <w:spacing w:afterLines="100" w:after="312" w:line="440" w:lineRule="exact"/>
        <w:ind w:firstLineChars="200" w:firstLine="480"/>
        <w:rPr>
          <w:kern w:val="0"/>
          <w:sz w:val="24"/>
        </w:rPr>
      </w:pPr>
      <w:r w:rsidRPr="00800D22">
        <w:rPr>
          <w:kern w:val="0"/>
          <w:sz w:val="24"/>
        </w:rPr>
        <w:t>P-CBO</w:t>
      </w:r>
      <w:r w:rsidRPr="00800D22">
        <w:rPr>
          <w:kern w:val="0"/>
          <w:sz w:val="24"/>
        </w:rPr>
        <w:t>是</w:t>
      </w:r>
      <w:r w:rsidRPr="00800D22">
        <w:rPr>
          <w:kern w:val="0"/>
          <w:sz w:val="24"/>
        </w:rPr>
        <w:t>CBO</w:t>
      </w:r>
      <w:r w:rsidRPr="00800D22">
        <w:rPr>
          <w:kern w:val="0"/>
          <w:sz w:val="24"/>
        </w:rPr>
        <w:t>（</w:t>
      </w:r>
      <w:r w:rsidRPr="00800D22">
        <w:rPr>
          <w:kern w:val="0"/>
          <w:sz w:val="24"/>
        </w:rPr>
        <w:t>Collateralized Bond Obligation</w:t>
      </w:r>
      <w:r w:rsidRPr="00800D22">
        <w:rPr>
          <w:kern w:val="0"/>
          <w:sz w:val="24"/>
        </w:rPr>
        <w:t>）的一种</w:t>
      </w:r>
      <w:r w:rsidRPr="00800D22">
        <w:rPr>
          <w:rFonts w:hint="eastAsia"/>
          <w:kern w:val="0"/>
          <w:sz w:val="24"/>
        </w:rPr>
        <w:t>。</w:t>
      </w:r>
      <w:r w:rsidRPr="00800D22">
        <w:rPr>
          <w:kern w:val="0"/>
          <w:sz w:val="24"/>
        </w:rPr>
        <w:t>所谓</w:t>
      </w:r>
      <w:r w:rsidRPr="00800D22">
        <w:rPr>
          <w:kern w:val="0"/>
          <w:sz w:val="24"/>
        </w:rPr>
        <w:t>CBO</w:t>
      </w:r>
      <w:r w:rsidRPr="00800D22">
        <w:rPr>
          <w:kern w:val="0"/>
          <w:sz w:val="24"/>
        </w:rPr>
        <w:t>就是以一组垃圾债券为标的资产的</w:t>
      </w:r>
      <w:r w:rsidRPr="00800D22">
        <w:rPr>
          <w:kern w:val="0"/>
          <w:sz w:val="24"/>
        </w:rPr>
        <w:t>ABS</w:t>
      </w:r>
      <w:r w:rsidRPr="00800D22">
        <w:rPr>
          <w:kern w:val="0"/>
          <w:sz w:val="24"/>
        </w:rPr>
        <w:t>产品，其目的就是通过资产证券化，将一组高收益的垃圾债券重新打包成多组不同风险和收益的债券，以满足不同投资者的需求。尽管</w:t>
      </w:r>
      <w:r w:rsidRPr="00800D22">
        <w:rPr>
          <w:kern w:val="0"/>
          <w:sz w:val="24"/>
        </w:rPr>
        <w:t>CBO</w:t>
      </w:r>
      <w:r w:rsidRPr="00800D22">
        <w:rPr>
          <w:kern w:val="0"/>
          <w:sz w:val="24"/>
        </w:rPr>
        <w:t>的标的资产为垃圾债券，信用质量较差，但由于债券数量较多，信用风险能够足够分散，使得重新打包成的优先级别较高的债券达到投资级债券标准，因此从这个角度看，</w:t>
      </w:r>
      <w:proofErr w:type="spellStart"/>
      <w:r w:rsidRPr="00800D22">
        <w:rPr>
          <w:kern w:val="0"/>
          <w:sz w:val="24"/>
        </w:rPr>
        <w:t>CBO</w:t>
      </w:r>
      <w:proofErr w:type="spellEnd"/>
      <w:r w:rsidRPr="00800D22">
        <w:rPr>
          <w:kern w:val="0"/>
          <w:sz w:val="24"/>
        </w:rPr>
        <w:t>实际上就是一种将垃圾债券转化为投资级债券的工具。</w:t>
      </w:r>
      <w:r w:rsidRPr="00800D22">
        <w:rPr>
          <w:kern w:val="0"/>
          <w:sz w:val="24"/>
        </w:rPr>
        <w:t>CBO</w:t>
      </w:r>
      <w:r w:rsidRPr="00800D22">
        <w:rPr>
          <w:kern w:val="0"/>
          <w:sz w:val="24"/>
        </w:rPr>
        <w:t>交易过程中设有破产隔离机制</w:t>
      </w:r>
      <w:r w:rsidRPr="00800D22">
        <w:rPr>
          <w:kern w:val="0"/>
          <w:sz w:val="24"/>
        </w:rPr>
        <w:t>SPV</w:t>
      </w:r>
      <w:r w:rsidRPr="00800D22">
        <w:rPr>
          <w:kern w:val="0"/>
          <w:sz w:val="24"/>
        </w:rPr>
        <w:t>，</w:t>
      </w:r>
      <w:r w:rsidRPr="00800D22">
        <w:rPr>
          <w:kern w:val="0"/>
          <w:sz w:val="24"/>
        </w:rPr>
        <w:t>SPV</w:t>
      </w:r>
      <w:r w:rsidRPr="00800D22">
        <w:rPr>
          <w:kern w:val="0"/>
          <w:sz w:val="24"/>
        </w:rPr>
        <w:t>通常表现为</w:t>
      </w:r>
      <w:r w:rsidRPr="00800D22">
        <w:rPr>
          <w:kern w:val="0"/>
          <w:sz w:val="24"/>
        </w:rPr>
        <w:t xml:space="preserve">SPC </w:t>
      </w:r>
      <w:r w:rsidRPr="00800D22">
        <w:rPr>
          <w:rFonts w:hint="eastAsia"/>
          <w:kern w:val="0"/>
          <w:sz w:val="24"/>
        </w:rPr>
        <w:t>（</w:t>
      </w:r>
      <w:r w:rsidRPr="00800D22">
        <w:rPr>
          <w:kern w:val="0"/>
          <w:sz w:val="24"/>
        </w:rPr>
        <w:t>Special Purpose Company</w:t>
      </w:r>
      <w:r w:rsidRPr="00800D22">
        <w:rPr>
          <w:rFonts w:hint="eastAsia"/>
          <w:kern w:val="0"/>
          <w:sz w:val="24"/>
        </w:rPr>
        <w:t>）</w:t>
      </w:r>
      <w:r w:rsidRPr="00800D22">
        <w:rPr>
          <w:kern w:val="0"/>
          <w:sz w:val="24"/>
        </w:rPr>
        <w:t>或</w:t>
      </w:r>
      <w:r w:rsidRPr="00800D22">
        <w:rPr>
          <w:kern w:val="0"/>
          <w:sz w:val="24"/>
        </w:rPr>
        <w:t>SPT</w:t>
      </w:r>
      <w:r w:rsidRPr="00800D22">
        <w:rPr>
          <w:rFonts w:hint="eastAsia"/>
          <w:kern w:val="0"/>
          <w:sz w:val="24"/>
        </w:rPr>
        <w:t>（</w:t>
      </w:r>
      <w:r w:rsidRPr="00800D22">
        <w:rPr>
          <w:kern w:val="0"/>
          <w:sz w:val="24"/>
        </w:rPr>
        <w:t>Special Purpose Trust</w:t>
      </w:r>
      <w:r w:rsidRPr="00800D22">
        <w:rPr>
          <w:rFonts w:hint="eastAsia"/>
          <w:kern w:val="0"/>
          <w:sz w:val="24"/>
        </w:rPr>
        <w:t>）。</w:t>
      </w:r>
      <w:r w:rsidRPr="00800D22">
        <w:rPr>
          <w:kern w:val="0"/>
          <w:sz w:val="24"/>
        </w:rPr>
        <w:t>在</w:t>
      </w:r>
      <w:r w:rsidRPr="00800D22">
        <w:rPr>
          <w:kern w:val="0"/>
          <w:sz w:val="24"/>
        </w:rPr>
        <w:t>CBO</w:t>
      </w:r>
      <w:r w:rsidRPr="00800D22">
        <w:rPr>
          <w:kern w:val="0"/>
          <w:sz w:val="24"/>
        </w:rPr>
        <w:t>交易中，</w:t>
      </w:r>
      <w:r w:rsidRPr="00800D22">
        <w:rPr>
          <w:kern w:val="0"/>
          <w:sz w:val="24"/>
        </w:rPr>
        <w:t>SPV</w:t>
      </w:r>
      <w:r w:rsidRPr="00800D22">
        <w:rPr>
          <w:kern w:val="0"/>
          <w:sz w:val="24"/>
        </w:rPr>
        <w:t>从资产原始权益人（即发起人）处购买债券组合，以自身名义发行资产支持证券进行融资，再将所募集到的资金用于偿还购买发起人债券组合的价款</w:t>
      </w:r>
      <w:r w:rsidRPr="00800D22">
        <w:rPr>
          <w:rFonts w:hint="eastAsia"/>
          <w:kern w:val="0"/>
          <w:sz w:val="24"/>
        </w:rPr>
        <w:t>。</w:t>
      </w:r>
      <w:r w:rsidRPr="00800D22">
        <w:rPr>
          <w:kern w:val="0"/>
          <w:sz w:val="24"/>
        </w:rPr>
        <w:t>通常</w:t>
      </w:r>
      <w:r w:rsidRPr="00800D22">
        <w:rPr>
          <w:kern w:val="0"/>
          <w:sz w:val="24"/>
        </w:rPr>
        <w:t>CBO</w:t>
      </w:r>
      <w:r w:rsidRPr="00800D22">
        <w:rPr>
          <w:kern w:val="0"/>
          <w:sz w:val="24"/>
        </w:rPr>
        <w:t>具有如下交易结构，如图</w:t>
      </w:r>
      <w:r w:rsidRPr="00800D22">
        <w:rPr>
          <w:rFonts w:hint="eastAsia"/>
          <w:kern w:val="0"/>
          <w:sz w:val="24"/>
        </w:rPr>
        <w:t>1</w:t>
      </w:r>
      <w:r w:rsidRPr="00800D22">
        <w:rPr>
          <w:kern w:val="0"/>
          <w:sz w:val="24"/>
        </w:rPr>
        <w:t>所示：</w:t>
      </w:r>
    </w:p>
    <w:p w14:paraId="134456DB" w14:textId="77777777" w:rsidR="00995E2A" w:rsidRPr="00800D22" w:rsidRDefault="00995E2A" w:rsidP="00995E2A">
      <w:pPr>
        <w:autoSpaceDE w:val="0"/>
        <w:autoSpaceDN w:val="0"/>
        <w:adjustRightInd w:val="0"/>
        <w:jc w:val="center"/>
        <w:rPr>
          <w:sz w:val="24"/>
        </w:rPr>
      </w:pPr>
      <w:r w:rsidRPr="00800D22">
        <w:rPr>
          <w:noProof/>
          <w:sz w:val="24"/>
        </w:rPr>
      </w:r>
      <w:r w:rsidRPr="00800D22">
        <w:rPr>
          <w:sz w:val="24"/>
        </w:rPr>
        <w:pict w14:anchorId="3FEB2B8B">
          <v:group id="_x0000_s1084" editas="canvas" style="width:414pt;height:273pt;mso-position-horizontal-relative:char;mso-position-vertical-relative:line" coordorigin="1980,4248" coordsize="8280,54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5" type="#_x0000_t75" style="position:absolute;left:1980;top:4248;width:8280;height:5460" o:preferrelative="f" stroked="t" strokecolor="white">
              <v:fill o:detectmouseclick="t"/>
              <v:path o:extrusionok="t" o:connecttype="none"/>
              <o:lock v:ext="edit" text="t"/>
            </v:shape>
            <v:group id="_x0000_s1086" style="position:absolute;left:2160;top:4404;width:7920;height:5148" coordorigin="2160,4404" coordsize="7905,4992">
              <v:rect id="_x0000_s1087" style="position:absolute;left:2820;top:4404;width:1979;height:1092">
                <v:textbox style="mso-next-textbox:#_x0000_s1087">
                  <w:txbxContent>
                    <w:p w14:paraId="1276FBEC" w14:textId="77777777" w:rsidR="00995E2A" w:rsidRDefault="00995E2A" w:rsidP="00995E2A">
                      <w:pPr>
                        <w:jc w:val="center"/>
                        <w:rPr>
                          <w:rFonts w:hint="eastAsia"/>
                          <w:b/>
                        </w:rPr>
                      </w:pPr>
                      <w:r w:rsidRPr="00800E2E">
                        <w:rPr>
                          <w:rFonts w:hint="eastAsia"/>
                          <w:b/>
                        </w:rPr>
                        <w:t>资产管理机构</w:t>
                      </w:r>
                    </w:p>
                    <w:p w14:paraId="79AB3544" w14:textId="77777777" w:rsidR="00995E2A" w:rsidRPr="00355609" w:rsidRDefault="00995E2A" w:rsidP="00995E2A">
                      <w:pPr>
                        <w:jc w:val="center"/>
                        <w:rPr>
                          <w:rFonts w:hint="eastAsia"/>
                        </w:rPr>
                      </w:pPr>
                      <w:r>
                        <w:rPr>
                          <w:rFonts w:hint="eastAsia"/>
                        </w:rPr>
                        <w:t>（</w:t>
                      </w:r>
                      <w:r w:rsidRPr="002231B1">
                        <w:rPr>
                          <w:rFonts w:hint="eastAsia"/>
                          <w:sz w:val="18"/>
                          <w:szCs w:val="18"/>
                        </w:rPr>
                        <w:t>负责管理</w:t>
                      </w:r>
                      <w:r>
                        <w:rPr>
                          <w:rFonts w:hint="eastAsia"/>
                          <w:sz w:val="18"/>
                          <w:szCs w:val="18"/>
                        </w:rPr>
                        <w:t>标</w:t>
                      </w:r>
                      <w:r w:rsidRPr="002231B1">
                        <w:rPr>
                          <w:rFonts w:hint="eastAsia"/>
                          <w:sz w:val="18"/>
                          <w:szCs w:val="18"/>
                        </w:rPr>
                        <w:t>的资产</w:t>
                      </w:r>
                      <w:r>
                        <w:rPr>
                          <w:rFonts w:hint="eastAsia"/>
                        </w:rPr>
                        <w:t>）</w:t>
                      </w:r>
                    </w:p>
                    <w:p w14:paraId="38277C2C" w14:textId="77777777" w:rsidR="00995E2A" w:rsidRPr="002231B1" w:rsidRDefault="00995E2A" w:rsidP="00995E2A">
                      <w:pPr>
                        <w:rPr>
                          <w:rFonts w:hint="eastAsia"/>
                          <w:b/>
                          <w:sz w:val="18"/>
                          <w:szCs w:val="18"/>
                        </w:rPr>
                      </w:pPr>
                    </w:p>
                  </w:txbxContent>
                </v:textbox>
              </v:rect>
              <v:rect id="_x0000_s1088" style="position:absolute;left:7545;top:4404;width:1980;height:1092">
                <v:textbox style="mso-next-textbox:#_x0000_s1088">
                  <w:txbxContent>
                    <w:p w14:paraId="13ABEF0E" w14:textId="77777777" w:rsidR="00995E2A" w:rsidRDefault="00995E2A" w:rsidP="00995E2A">
                      <w:pPr>
                        <w:jc w:val="center"/>
                        <w:rPr>
                          <w:rFonts w:hint="eastAsia"/>
                          <w:b/>
                        </w:rPr>
                      </w:pPr>
                      <w:r w:rsidRPr="00800E2E">
                        <w:rPr>
                          <w:rFonts w:hint="eastAsia"/>
                          <w:b/>
                        </w:rPr>
                        <w:t>托管机构</w:t>
                      </w:r>
                    </w:p>
                    <w:p w14:paraId="45FEA0E9" w14:textId="77777777" w:rsidR="00995E2A" w:rsidRPr="00355609" w:rsidRDefault="00995E2A" w:rsidP="00995E2A">
                      <w:pPr>
                        <w:jc w:val="center"/>
                        <w:rPr>
                          <w:rFonts w:hint="eastAsia"/>
                          <w:sz w:val="18"/>
                          <w:szCs w:val="18"/>
                        </w:rPr>
                      </w:pPr>
                      <w:r>
                        <w:rPr>
                          <w:rFonts w:hint="eastAsia"/>
                        </w:rPr>
                        <w:t>（</w:t>
                      </w:r>
                      <w:r w:rsidRPr="00355609">
                        <w:rPr>
                          <w:rFonts w:hint="eastAsia"/>
                          <w:sz w:val="18"/>
                          <w:szCs w:val="18"/>
                        </w:rPr>
                        <w:t>保护投资者对标的资产的利益</w:t>
                      </w:r>
                      <w:r>
                        <w:rPr>
                          <w:rFonts w:hint="eastAsia"/>
                        </w:rPr>
                        <w:t>）</w:t>
                      </w:r>
                    </w:p>
                  </w:txbxContent>
                </v:textbox>
              </v:rect>
              <v:rect id="_x0000_s1089" style="position:absolute;left:5040;top:6134;width:2160;height:1093">
                <v:textbox style="mso-next-textbox:#_x0000_s1089">
                  <w:txbxContent>
                    <w:p w14:paraId="63F096F7" w14:textId="77777777" w:rsidR="00995E2A" w:rsidRPr="00D66257" w:rsidRDefault="00995E2A" w:rsidP="00995E2A">
                      <w:pPr>
                        <w:jc w:val="center"/>
                        <w:rPr>
                          <w:rFonts w:hint="eastAsia"/>
                          <w:b/>
                        </w:rPr>
                      </w:pPr>
                      <w:r w:rsidRPr="00D66257">
                        <w:rPr>
                          <w:rFonts w:hint="eastAsia"/>
                          <w:b/>
                        </w:rPr>
                        <w:t>发行人（</w:t>
                      </w:r>
                      <w:r w:rsidRPr="00D66257">
                        <w:rPr>
                          <w:rFonts w:hint="eastAsia"/>
                          <w:b/>
                        </w:rPr>
                        <w:t>SPV</w:t>
                      </w:r>
                      <w:r w:rsidRPr="00D66257">
                        <w:rPr>
                          <w:rFonts w:hint="eastAsia"/>
                          <w:b/>
                        </w:rPr>
                        <w:t>）</w:t>
                      </w:r>
                    </w:p>
                    <w:p w14:paraId="1FDC7D11" w14:textId="77777777" w:rsidR="00995E2A" w:rsidRPr="00355609" w:rsidRDefault="00995E2A" w:rsidP="00995E2A">
                      <w:pPr>
                        <w:jc w:val="center"/>
                        <w:rPr>
                          <w:rFonts w:ascii="宋体" w:hAnsi="宋体" w:hint="eastAsia"/>
                          <w:b/>
                          <w:sz w:val="18"/>
                          <w:szCs w:val="18"/>
                        </w:rPr>
                      </w:pPr>
                      <w:r>
                        <w:rPr>
                          <w:rFonts w:hint="eastAsia"/>
                        </w:rPr>
                        <w:t>（</w:t>
                      </w:r>
                      <w:r w:rsidRPr="00355609">
                        <w:rPr>
                          <w:rFonts w:ascii="宋体" w:hAnsi="宋体" w:hint="eastAsia"/>
                          <w:sz w:val="18"/>
                          <w:szCs w:val="18"/>
                        </w:rPr>
                        <w:t>购买</w:t>
                      </w:r>
                      <w:r>
                        <w:rPr>
                          <w:rFonts w:ascii="宋体" w:hAnsi="宋体" w:hint="eastAsia"/>
                          <w:sz w:val="18"/>
                          <w:szCs w:val="18"/>
                        </w:rPr>
                        <w:t>标的债券组合</w:t>
                      </w:r>
                      <w:r w:rsidRPr="00355609">
                        <w:rPr>
                          <w:rFonts w:ascii="宋体" w:hAnsi="宋体" w:hint="eastAsia"/>
                          <w:sz w:val="18"/>
                          <w:szCs w:val="18"/>
                        </w:rPr>
                        <w:t>，并以此发行</w:t>
                      </w:r>
                      <w:r>
                        <w:rPr>
                          <w:rFonts w:ascii="宋体" w:hAnsi="宋体" w:hint="eastAsia"/>
                          <w:sz w:val="18"/>
                          <w:szCs w:val="18"/>
                        </w:rPr>
                        <w:t>ABS</w:t>
                      </w:r>
                      <w:r>
                        <w:rPr>
                          <w:rFonts w:hint="eastAsia"/>
                        </w:rPr>
                        <w:t>）</w:t>
                      </w:r>
                    </w:p>
                  </w:txbxContent>
                </v:textbox>
              </v:rect>
              <v:rect id="_x0000_s1090" style="position:absolute;left:2160;top:6134;width:1800;height:1093">
                <v:textbox style="mso-next-textbox:#_x0000_s1090">
                  <w:txbxContent>
                    <w:p w14:paraId="425421A2" w14:textId="77777777" w:rsidR="00995E2A" w:rsidRPr="004461A2" w:rsidRDefault="00995E2A" w:rsidP="00995E2A">
                      <w:pPr>
                        <w:jc w:val="center"/>
                        <w:rPr>
                          <w:rFonts w:hint="eastAsia"/>
                          <w:b/>
                        </w:rPr>
                      </w:pPr>
                      <w:r w:rsidRPr="004461A2">
                        <w:rPr>
                          <w:rFonts w:hint="eastAsia"/>
                          <w:b/>
                        </w:rPr>
                        <w:t>投资者</w:t>
                      </w:r>
                    </w:p>
                    <w:p w14:paraId="309B2017" w14:textId="77777777" w:rsidR="00995E2A" w:rsidRPr="0029233B" w:rsidRDefault="00995E2A" w:rsidP="00995E2A">
                      <w:pPr>
                        <w:jc w:val="center"/>
                        <w:rPr>
                          <w:rFonts w:hint="eastAsia"/>
                          <w:sz w:val="18"/>
                          <w:szCs w:val="18"/>
                        </w:rPr>
                      </w:pPr>
                      <w:r w:rsidRPr="0029233B">
                        <w:rPr>
                          <w:rFonts w:hint="eastAsia"/>
                          <w:sz w:val="18"/>
                          <w:szCs w:val="18"/>
                        </w:rPr>
                        <w:t>（购买</w:t>
                      </w:r>
                      <w:r>
                        <w:rPr>
                          <w:rFonts w:hint="eastAsia"/>
                          <w:sz w:val="18"/>
                          <w:szCs w:val="18"/>
                        </w:rPr>
                        <w:t>CBO</w:t>
                      </w:r>
                      <w:r w:rsidRPr="0029233B">
                        <w:rPr>
                          <w:rFonts w:hint="eastAsia"/>
                          <w:sz w:val="18"/>
                          <w:szCs w:val="18"/>
                        </w:rPr>
                        <w:t>）</w:t>
                      </w:r>
                    </w:p>
                  </w:txbxContent>
                </v:textbox>
              </v:rect>
              <v:rect id="_x0000_s1091" style="position:absolute;left:8160;top:6119;width:1800;height:1093">
                <v:textbox style="mso-next-textbox:#_x0000_s1091">
                  <w:txbxContent>
                    <w:p w14:paraId="6966C658" w14:textId="77777777" w:rsidR="00995E2A" w:rsidRPr="00355609" w:rsidRDefault="00995E2A" w:rsidP="00995E2A">
                      <w:pPr>
                        <w:rPr>
                          <w:rFonts w:hint="eastAsia"/>
                          <w:sz w:val="18"/>
                          <w:szCs w:val="18"/>
                        </w:rPr>
                      </w:pPr>
                      <w:r w:rsidRPr="00355609">
                        <w:rPr>
                          <w:rFonts w:hint="eastAsia"/>
                          <w:b/>
                        </w:rPr>
                        <w:t>承销商</w:t>
                      </w:r>
                      <w:r w:rsidRPr="00355609">
                        <w:rPr>
                          <w:rFonts w:hint="eastAsia"/>
                          <w:b/>
                        </w:rPr>
                        <w:t>/</w:t>
                      </w:r>
                      <w:r w:rsidRPr="00355609">
                        <w:rPr>
                          <w:rFonts w:hint="eastAsia"/>
                          <w:b/>
                        </w:rPr>
                        <w:t>服务商</w:t>
                      </w:r>
                      <w:r>
                        <w:rPr>
                          <w:rFonts w:hint="eastAsia"/>
                        </w:rPr>
                        <w:t>（</w:t>
                      </w:r>
                      <w:r w:rsidRPr="00355609">
                        <w:rPr>
                          <w:rFonts w:hint="eastAsia"/>
                          <w:sz w:val="18"/>
                          <w:szCs w:val="18"/>
                        </w:rPr>
                        <w:t>向发行人出售债券</w:t>
                      </w:r>
                      <w:r>
                        <w:rPr>
                          <w:rFonts w:hint="eastAsia"/>
                        </w:rPr>
                        <w:t>）</w:t>
                      </w:r>
                    </w:p>
                  </w:txbxContent>
                </v:textbox>
              </v:rect>
              <v:rect id="_x0000_s1092" style="position:absolute;left:2160;top:8149;width:1800;height:1091">
                <v:textbox style="mso-next-textbox:#_x0000_s1092">
                  <w:txbxContent>
                    <w:p w14:paraId="32A4AF03" w14:textId="77777777" w:rsidR="00995E2A" w:rsidRPr="004461A2" w:rsidRDefault="00995E2A" w:rsidP="00995E2A">
                      <w:pPr>
                        <w:rPr>
                          <w:rFonts w:hint="eastAsia"/>
                          <w:sz w:val="18"/>
                          <w:szCs w:val="18"/>
                        </w:rPr>
                      </w:pPr>
                      <w:r>
                        <w:rPr>
                          <w:rFonts w:hint="eastAsia"/>
                          <w:b/>
                        </w:rPr>
                        <w:t>信用增级</w:t>
                      </w:r>
                      <w:r w:rsidRPr="00355609">
                        <w:rPr>
                          <w:rFonts w:hint="eastAsia"/>
                          <w:b/>
                        </w:rPr>
                        <w:t>机构</w:t>
                      </w:r>
                      <w:r>
                        <w:rPr>
                          <w:rFonts w:hint="eastAsia"/>
                        </w:rPr>
                        <w:t>（</w:t>
                      </w:r>
                      <w:r w:rsidRPr="004461A2">
                        <w:rPr>
                          <w:rFonts w:hint="eastAsia"/>
                          <w:sz w:val="18"/>
                          <w:szCs w:val="18"/>
                        </w:rPr>
                        <w:t>提供违约保险等</w:t>
                      </w:r>
                      <w:r>
                        <w:rPr>
                          <w:rFonts w:hint="eastAsia"/>
                        </w:rPr>
                        <w:t>）</w:t>
                      </w:r>
                    </w:p>
                    <w:p w14:paraId="72DACADF" w14:textId="77777777" w:rsidR="00995E2A" w:rsidRDefault="00995E2A" w:rsidP="00995E2A">
                      <w:pPr>
                        <w:rPr>
                          <w:rFonts w:hint="eastAsia"/>
                        </w:rPr>
                      </w:pPr>
                    </w:p>
                  </w:txbxContent>
                </v:textbox>
              </v:rect>
              <v:rect id="_x0000_s1093" style="position:absolute;left:5220;top:8148;width:1800;height:1092">
                <v:textbox style="mso-next-textbox:#_x0000_s1093">
                  <w:txbxContent>
                    <w:p w14:paraId="4848D98A" w14:textId="77777777" w:rsidR="00995E2A" w:rsidRDefault="00995E2A" w:rsidP="00995E2A">
                      <w:pPr>
                        <w:jc w:val="center"/>
                        <w:rPr>
                          <w:rFonts w:hint="eastAsia"/>
                          <w:b/>
                        </w:rPr>
                      </w:pPr>
                      <w:r w:rsidRPr="00355609">
                        <w:rPr>
                          <w:rFonts w:hint="eastAsia"/>
                          <w:b/>
                        </w:rPr>
                        <w:t>利率互换</w:t>
                      </w:r>
                    </w:p>
                    <w:p w14:paraId="2DCE6225" w14:textId="77777777" w:rsidR="00995E2A" w:rsidRPr="00355609" w:rsidRDefault="00995E2A" w:rsidP="00995E2A">
                      <w:pPr>
                        <w:jc w:val="center"/>
                        <w:rPr>
                          <w:rFonts w:hint="eastAsia"/>
                        </w:rPr>
                      </w:pPr>
                      <w:r>
                        <w:rPr>
                          <w:rFonts w:hint="eastAsia"/>
                        </w:rPr>
                        <w:t>（</w:t>
                      </w:r>
                      <w:r w:rsidRPr="00355609">
                        <w:rPr>
                          <w:rFonts w:hint="eastAsia"/>
                          <w:sz w:val="18"/>
                          <w:szCs w:val="18"/>
                        </w:rPr>
                        <w:t>对冲利息风险</w:t>
                      </w:r>
                      <w:r>
                        <w:rPr>
                          <w:rFonts w:hint="eastAsia"/>
                        </w:rPr>
                        <w:t>）</w:t>
                      </w:r>
                    </w:p>
                    <w:p w14:paraId="6197E534" w14:textId="77777777" w:rsidR="00995E2A" w:rsidRPr="00355609" w:rsidRDefault="00995E2A" w:rsidP="00995E2A">
                      <w:pPr>
                        <w:rPr>
                          <w:rFonts w:hint="eastAsia"/>
                          <w:sz w:val="18"/>
                          <w:szCs w:val="18"/>
                        </w:rPr>
                      </w:pPr>
                    </w:p>
                  </w:txbxContent>
                </v:textbox>
              </v:re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94" type="#_x0000_t115" style="position:absolute;left:8085;top:7992;width:1980;height:1404;flip:x">
                <v:textbox style="mso-next-textbox:#_x0000_s1094">
                  <w:txbxContent>
                    <w:p w14:paraId="24A43275" w14:textId="77777777" w:rsidR="00995E2A" w:rsidRDefault="00995E2A" w:rsidP="00995E2A">
                      <w:pPr>
                        <w:jc w:val="center"/>
                        <w:rPr>
                          <w:rFonts w:hint="eastAsia"/>
                          <w:b/>
                        </w:rPr>
                      </w:pPr>
                      <w:r w:rsidRPr="00355609">
                        <w:rPr>
                          <w:rFonts w:hint="eastAsia"/>
                          <w:b/>
                        </w:rPr>
                        <w:t>债券组合</w:t>
                      </w:r>
                    </w:p>
                    <w:p w14:paraId="4A307172" w14:textId="77777777" w:rsidR="00995E2A" w:rsidRPr="00A668DA" w:rsidRDefault="00995E2A" w:rsidP="00995E2A">
                      <w:pPr>
                        <w:jc w:val="center"/>
                        <w:rPr>
                          <w:rFonts w:ascii="宋体" w:hAnsi="宋体" w:hint="eastAsia"/>
                          <w:sz w:val="18"/>
                          <w:szCs w:val="18"/>
                        </w:rPr>
                      </w:pPr>
                      <w:r w:rsidRPr="00A668DA">
                        <w:rPr>
                          <w:rFonts w:ascii="宋体" w:hAnsi="宋体" w:hint="eastAsia"/>
                          <w:sz w:val="18"/>
                          <w:szCs w:val="18"/>
                        </w:rPr>
                        <w:t>（</w:t>
                      </w:r>
                      <w:r w:rsidRPr="00A668DA">
                        <w:rPr>
                          <w:rFonts w:ascii="宋体" w:hAnsi="宋体" w:hint="eastAsia"/>
                          <w:sz w:val="18"/>
                          <w:szCs w:val="18"/>
                        </w:rPr>
                        <w:t>作为CBO的标的资产）</w:t>
                      </w:r>
                    </w:p>
                    <w:p w14:paraId="3F7CEC12" w14:textId="77777777" w:rsidR="00995E2A" w:rsidRPr="00355609" w:rsidRDefault="00995E2A" w:rsidP="00995E2A">
                      <w:pPr>
                        <w:jc w:val="center"/>
                        <w:rPr>
                          <w:rFonts w:hint="eastAsia"/>
                          <w:sz w:val="18"/>
                          <w:szCs w:val="18"/>
                        </w:rPr>
                      </w:pPr>
                    </w:p>
                  </w:txbxContent>
                </v:textbox>
              </v:shape>
              <v:shapetype id="_x0000_t32" coordsize="21600,21600" o:spt="32" o:oned="t" path="m,l21600,21600e" filled="f">
                <v:path arrowok="t" fillok="f" o:connecttype="none"/>
                <o:lock v:ext="edit" shapetype="t"/>
              </v:shapetype>
              <v:shape id="_x0000_s1095" type="#_x0000_t32" style="position:absolute;left:3810;top:5496;width:2310;height:638" o:connectortype="straight">
                <v:stroke startarrow="block" endarrow="block"/>
              </v:shape>
              <v:shape id="_x0000_s1096" type="#_x0000_t32" style="position:absolute;left:6120;top:5496;width:2415;height:638;flip:y" o:connectortype="straight">
                <v:stroke startarrow="block" endarrow="block"/>
              </v:shape>
              <v:shape id="_x0000_s1097" type="#_x0000_t32" style="position:absolute;left:3060;top:7227;width:1;height:922;flip:y" o:connectortype="straight">
                <v:stroke endarrow="block"/>
              </v:shape>
              <v:shape id="_x0000_s1098" type="#_x0000_t32" style="position:absolute;left:9060;top:7212;width:15;height:780;flip:x y" o:connectortype="straight">
                <v:stroke endarrow="block"/>
              </v:shape>
              <v:shape id="_x0000_s1099" type="#_x0000_t32" style="position:absolute;left:6120;top:7227;width:1;height:921" o:connectortype="straight">
                <v:stroke startarrow="block" endarrow="block"/>
              </v:shape>
              <v:line id="_x0000_s1100" style="position:absolute;flip:x" from="3960,6276" to="5040,6276">
                <v:stroke endarrow="block"/>
              </v:line>
              <v:line id="_x0000_s1101" style="position:absolute" from="3960,6483" to="5040,6484">
                <v:stroke endarrow="block"/>
              </v:line>
              <v:line id="_x0000_s1102" style="position:absolute;flip:x" from="3960,7056" to="5040,7056">
                <v:stroke endarrow="block"/>
              </v:line>
              <v:rect id="_x0000_s1103" style="position:absolute;left:4140;top:5868;width:720;height:468" filled="f" stroked="f">
                <v:textbox style="mso-next-textbox:#_x0000_s1103">
                  <w:txbxContent>
                    <w:p w14:paraId="63484086" w14:textId="77777777" w:rsidR="00995E2A" w:rsidRPr="0050119C" w:rsidRDefault="00995E2A" w:rsidP="00995E2A">
                      <w:pPr>
                        <w:rPr>
                          <w:rFonts w:hint="eastAsia"/>
                          <w:sz w:val="18"/>
                          <w:szCs w:val="18"/>
                        </w:rPr>
                      </w:pPr>
                      <w:r>
                        <w:rPr>
                          <w:rFonts w:hint="eastAsia"/>
                          <w:sz w:val="18"/>
                          <w:szCs w:val="18"/>
                        </w:rPr>
                        <w:t>ABS</w:t>
                      </w:r>
                    </w:p>
                  </w:txbxContent>
                </v:textbox>
              </v:rect>
              <v:rect id="_x0000_s1104" style="position:absolute;left:3960;top:6432;width:1080;height:468" filled="f" stroked="f">
                <v:textbox style="mso-next-textbox:#_x0000_s1104">
                  <w:txbxContent>
                    <w:p w14:paraId="67C6AF0F" w14:textId="77777777" w:rsidR="00995E2A" w:rsidRPr="0050119C" w:rsidRDefault="00995E2A" w:rsidP="00995E2A">
                      <w:pPr>
                        <w:rPr>
                          <w:rFonts w:hint="eastAsia"/>
                          <w:sz w:val="18"/>
                          <w:szCs w:val="18"/>
                        </w:rPr>
                      </w:pPr>
                      <w:r>
                        <w:rPr>
                          <w:rFonts w:hint="eastAsia"/>
                          <w:sz w:val="18"/>
                          <w:szCs w:val="18"/>
                        </w:rPr>
                        <w:t>募集资金</w:t>
                      </w:r>
                    </w:p>
                  </w:txbxContent>
                </v:textbox>
              </v:rect>
              <v:rect id="_x0000_s1105" style="position:absolute;left:3960;top:7056;width:1440;height:468" filled="f" stroked="f">
                <v:textbox style="mso-next-textbox:#_x0000_s1105">
                  <w:txbxContent>
                    <w:p w14:paraId="6C3F593A" w14:textId="77777777" w:rsidR="00995E2A" w:rsidRPr="0050119C" w:rsidRDefault="00995E2A" w:rsidP="00995E2A">
                      <w:pPr>
                        <w:rPr>
                          <w:rFonts w:hint="eastAsia"/>
                          <w:sz w:val="18"/>
                          <w:szCs w:val="18"/>
                        </w:rPr>
                      </w:pPr>
                      <w:r>
                        <w:rPr>
                          <w:rFonts w:hint="eastAsia"/>
                          <w:sz w:val="18"/>
                          <w:szCs w:val="18"/>
                        </w:rPr>
                        <w:t>利息及本金</w:t>
                      </w:r>
                    </w:p>
                  </w:txbxContent>
                </v:textbox>
              </v:rect>
              <v:shape id="_x0000_s1106" style="position:absolute;left:7200;top:6270;width:990;height:7;mso-wrap-style:square;mso-wrap-distance-left:9pt;mso-wrap-distance-top:0;mso-wrap-distance-right:9pt;mso-wrap-distance-bottom:0;mso-position-horizontal:absolute;mso-position-horizontal-relative:text;mso-position-vertical:absolute;mso-position-vertical-relative:text;v-text-anchor:top" coordsize="990,7" path="m990,l,7e" filled="f">
                <v:stroke endarrow="block"/>
                <v:path arrowok="t"/>
              </v:shape>
              <v:shape id="_x0000_s1107" style="position:absolute;left:7200;top:6465;width:960;height:12;mso-wrap-style:square;mso-wrap-distance-left:9pt;mso-wrap-distance-top:0;mso-wrap-distance-right:9pt;mso-wrap-distance-bottom:0;mso-position-horizontal:absolute;mso-position-horizontal-relative:text;mso-position-vertical:absolute;mso-position-vertical-relative:text;v-text-anchor:top" coordsize="960,12" path="m,12l960,e" filled="f">
                <v:stroke endarrow="block"/>
                <v:path arrowok="t"/>
              </v:shape>
              <v:line id="_x0000_s1108" style="position:absolute;flip:x" from="7200,7056" to="8100,7056">
                <v:stroke endarrow="block"/>
              </v:line>
              <v:rect id="_x0000_s1109" style="position:absolute;left:7260;top:5934;width:1080;height:468" filled="f" stroked="f">
                <v:textbox style="mso-next-textbox:#_x0000_s1109">
                  <w:txbxContent>
                    <w:p w14:paraId="53B35CF9" w14:textId="77777777" w:rsidR="00995E2A" w:rsidRPr="0050119C" w:rsidRDefault="00995E2A" w:rsidP="00995E2A">
                      <w:pPr>
                        <w:rPr>
                          <w:rFonts w:hint="eastAsia"/>
                          <w:sz w:val="18"/>
                          <w:szCs w:val="18"/>
                        </w:rPr>
                      </w:pPr>
                      <w:r>
                        <w:rPr>
                          <w:rFonts w:hint="eastAsia"/>
                          <w:sz w:val="18"/>
                          <w:szCs w:val="18"/>
                        </w:rPr>
                        <w:t>债券组合</w:t>
                      </w:r>
                    </w:p>
                  </w:txbxContent>
                </v:textbox>
              </v:rect>
              <v:rect id="_x0000_s1110" style="position:absolute;left:7200;top:6432;width:1080;height:468" filled="f" stroked="f">
                <v:textbox style="mso-next-textbox:#_x0000_s1110">
                  <w:txbxContent>
                    <w:p w14:paraId="349D5B2C" w14:textId="77777777" w:rsidR="00995E2A" w:rsidRPr="0050119C" w:rsidRDefault="00995E2A" w:rsidP="00995E2A">
                      <w:pPr>
                        <w:rPr>
                          <w:rFonts w:hint="eastAsia"/>
                          <w:sz w:val="18"/>
                          <w:szCs w:val="18"/>
                        </w:rPr>
                      </w:pPr>
                      <w:r>
                        <w:rPr>
                          <w:rFonts w:hint="eastAsia"/>
                          <w:sz w:val="18"/>
                          <w:szCs w:val="18"/>
                        </w:rPr>
                        <w:t>募集资金</w:t>
                      </w:r>
                    </w:p>
                  </w:txbxContent>
                </v:textbox>
              </v:rect>
              <v:rect id="_x0000_s1111" style="position:absolute;left:7095;top:7056;width:1440;height:468" filled="f" stroked="f">
                <v:textbox style="mso-next-textbox:#_x0000_s1111">
                  <w:txbxContent>
                    <w:p w14:paraId="321A6EB8" w14:textId="77777777" w:rsidR="00995E2A" w:rsidRPr="0050119C" w:rsidRDefault="00995E2A" w:rsidP="00995E2A">
                      <w:pPr>
                        <w:rPr>
                          <w:rFonts w:hint="eastAsia"/>
                          <w:sz w:val="18"/>
                          <w:szCs w:val="18"/>
                        </w:rPr>
                      </w:pPr>
                      <w:r>
                        <w:rPr>
                          <w:rFonts w:hint="eastAsia"/>
                          <w:sz w:val="18"/>
                          <w:szCs w:val="18"/>
                        </w:rPr>
                        <w:t>利息及本金</w:t>
                      </w:r>
                    </w:p>
                  </w:txbxContent>
                </v:textbox>
              </v:rect>
              <v:rect id="_x0000_s1112" style="position:absolute;left:7920;top:7521;width:1440;height:468" filled="f" stroked="f">
                <v:textbox style="mso-next-textbox:#_x0000_s1112">
                  <w:txbxContent>
                    <w:p w14:paraId="606AF812" w14:textId="77777777" w:rsidR="00995E2A" w:rsidRPr="0050119C" w:rsidRDefault="00995E2A" w:rsidP="00995E2A">
                      <w:pPr>
                        <w:rPr>
                          <w:rFonts w:hint="eastAsia"/>
                          <w:sz w:val="18"/>
                          <w:szCs w:val="18"/>
                        </w:rPr>
                      </w:pPr>
                      <w:r>
                        <w:rPr>
                          <w:rFonts w:hint="eastAsia"/>
                          <w:sz w:val="18"/>
                          <w:szCs w:val="18"/>
                        </w:rPr>
                        <w:t>利息及本金</w:t>
                      </w:r>
                    </w:p>
                  </w:txbxContent>
                </v:textbox>
              </v:rect>
              <v:rect id="_x0000_s1113" style="position:absolute;left:5250;top:4710;width:1800;height:468">
                <v:textbox style="mso-next-textbox:#_x0000_s1113">
                  <w:txbxContent>
                    <w:p w14:paraId="74CBC154" w14:textId="77777777" w:rsidR="00995E2A" w:rsidRPr="004B7292" w:rsidRDefault="00995E2A" w:rsidP="00995E2A">
                      <w:pPr>
                        <w:jc w:val="center"/>
                        <w:rPr>
                          <w:rFonts w:hint="eastAsia"/>
                          <w:b/>
                        </w:rPr>
                      </w:pPr>
                      <w:r w:rsidRPr="004B7292">
                        <w:rPr>
                          <w:rFonts w:hint="eastAsia"/>
                          <w:b/>
                        </w:rPr>
                        <w:t>信用评级机构</w:t>
                      </w:r>
                    </w:p>
                  </w:txbxContent>
                </v:textbox>
              </v:rect>
              <v:line id="_x0000_s1114" style="position:absolute" from="6120,5184" to="6120,6120" strokeweight="1pt">
                <v:stroke endarrow="block"/>
              </v:line>
              <v:rect id="_x0000_s1115" style="position:absolute;left:6075;top:5340;width:1080;height:468" filled="f" stroked="f">
                <v:textbox style="mso-next-textbox:#_x0000_s1115">
                  <w:txbxContent>
                    <w:p w14:paraId="5E8335DD" w14:textId="77777777" w:rsidR="00995E2A" w:rsidRPr="0050119C" w:rsidRDefault="00995E2A" w:rsidP="00995E2A">
                      <w:pPr>
                        <w:rPr>
                          <w:rFonts w:hint="eastAsia"/>
                          <w:sz w:val="18"/>
                          <w:szCs w:val="18"/>
                        </w:rPr>
                      </w:pPr>
                      <w:r>
                        <w:rPr>
                          <w:rFonts w:hint="eastAsia"/>
                          <w:sz w:val="18"/>
                          <w:szCs w:val="18"/>
                        </w:rPr>
                        <w:t>信用评级</w:t>
                      </w:r>
                    </w:p>
                  </w:txbxContent>
                </v:textbox>
              </v:rect>
            </v:group>
            <w10:anchorlock/>
          </v:group>
        </w:pict>
      </w:r>
    </w:p>
    <w:p w14:paraId="3FC4DCE3" w14:textId="1A2E7D0C" w:rsidR="00995E2A" w:rsidRPr="00800D22" w:rsidRDefault="00995E2A" w:rsidP="00995E2A">
      <w:pPr>
        <w:pStyle w:val="aff1"/>
        <w:jc w:val="center"/>
        <w:rPr>
          <w:rFonts w:ascii="Times New Roman" w:eastAsia="新宋体" w:hAnsi="新宋体" w:cs="Times New Roman"/>
          <w:sz w:val="21"/>
          <w:szCs w:val="21"/>
        </w:rPr>
      </w:pPr>
      <w:bookmarkStart w:id="10" w:name="_Toc256507184"/>
      <w:r w:rsidRPr="00800D22">
        <w:rPr>
          <w:rFonts w:ascii="Times New Roman" w:eastAsia="新宋体" w:hAnsi="新宋体" w:cs="Times New Roman" w:hint="eastAsia"/>
          <w:sz w:val="21"/>
          <w:szCs w:val="21"/>
        </w:rPr>
        <w:t>图</w:t>
      </w:r>
      <w:r w:rsidRPr="00800D22">
        <w:rPr>
          <w:rFonts w:ascii="Times New Roman" w:eastAsia="新宋体" w:hAnsi="新宋体" w:cs="Times New Roman" w:hint="eastAsia"/>
          <w:sz w:val="21"/>
          <w:szCs w:val="21"/>
        </w:rPr>
        <w:t>1  CBO</w:t>
      </w:r>
      <w:r w:rsidRPr="00800D22">
        <w:rPr>
          <w:rFonts w:ascii="Times New Roman" w:eastAsia="新宋体" w:hAnsi="新宋体" w:cs="Times New Roman" w:hint="eastAsia"/>
          <w:sz w:val="21"/>
          <w:szCs w:val="21"/>
        </w:rPr>
        <w:t>的基本交易结构</w:t>
      </w:r>
      <w:bookmarkEnd w:id="10"/>
    </w:p>
    <w:p w14:paraId="7E5AB552" w14:textId="3255E679" w:rsidR="00995E2A" w:rsidRPr="00800D22" w:rsidRDefault="00995E2A" w:rsidP="00995E2A">
      <w:pPr>
        <w:autoSpaceDE w:val="0"/>
        <w:autoSpaceDN w:val="0"/>
        <w:adjustRightInd w:val="0"/>
        <w:jc w:val="center"/>
        <w:rPr>
          <w:rFonts w:hint="eastAsia"/>
          <w:szCs w:val="21"/>
        </w:rPr>
      </w:pPr>
      <w:r w:rsidRPr="00800D22">
        <w:rPr>
          <w:rFonts w:hint="eastAsia"/>
          <w:szCs w:val="21"/>
        </w:rPr>
        <w:t>Figure 1  Basic exchange structure of CBO</w:t>
      </w:r>
    </w:p>
    <w:p w14:paraId="78EB0837" w14:textId="77777777" w:rsidR="00995E2A" w:rsidRPr="00800D22" w:rsidRDefault="00995E2A" w:rsidP="00995E2A">
      <w:pPr>
        <w:autoSpaceDE w:val="0"/>
        <w:autoSpaceDN w:val="0"/>
        <w:adjustRightInd w:val="0"/>
        <w:spacing w:afterLines="50" w:after="156"/>
        <w:ind w:firstLineChars="100" w:firstLine="180"/>
        <w:rPr>
          <w:sz w:val="18"/>
          <w:szCs w:val="18"/>
        </w:rPr>
      </w:pPr>
      <w:r w:rsidRPr="00800D22">
        <w:rPr>
          <w:sz w:val="18"/>
          <w:szCs w:val="18"/>
        </w:rPr>
        <w:t>资料来源：</w:t>
      </w:r>
      <w:r w:rsidRPr="00800D22">
        <w:rPr>
          <w:sz w:val="18"/>
          <w:szCs w:val="18"/>
        </w:rPr>
        <w:t>S&amp;P Global, “CBO/CLO Criteria”</w:t>
      </w:r>
    </w:p>
    <w:p w14:paraId="6BA728E1" w14:textId="77777777" w:rsidR="00995E2A" w:rsidRPr="00800D22" w:rsidRDefault="00995E2A" w:rsidP="00995E2A">
      <w:pPr>
        <w:autoSpaceDE w:val="0"/>
        <w:autoSpaceDN w:val="0"/>
        <w:adjustRightInd w:val="0"/>
        <w:spacing w:beforeLines="50" w:before="156" w:line="440" w:lineRule="exact"/>
        <w:ind w:firstLineChars="200" w:firstLine="480"/>
        <w:rPr>
          <w:kern w:val="0"/>
          <w:sz w:val="24"/>
        </w:rPr>
      </w:pPr>
      <w:r w:rsidRPr="00800D22">
        <w:rPr>
          <w:kern w:val="0"/>
          <w:sz w:val="24"/>
        </w:rPr>
        <w:t>根据</w:t>
      </w:r>
      <w:r w:rsidRPr="00800D22">
        <w:rPr>
          <w:kern w:val="0"/>
          <w:sz w:val="24"/>
        </w:rPr>
        <w:t>CBO</w:t>
      </w:r>
      <w:r w:rsidRPr="00800D22">
        <w:rPr>
          <w:kern w:val="0"/>
          <w:sz w:val="24"/>
        </w:rPr>
        <w:t>标的债券组合的交易特性，</w:t>
      </w:r>
      <w:r w:rsidRPr="00800D22">
        <w:rPr>
          <w:kern w:val="0"/>
          <w:sz w:val="24"/>
        </w:rPr>
        <w:t>CBO</w:t>
      </w:r>
      <w:r w:rsidRPr="00800D22">
        <w:rPr>
          <w:kern w:val="0"/>
          <w:sz w:val="24"/>
        </w:rPr>
        <w:t>通常可以分为</w:t>
      </w:r>
      <w:r w:rsidRPr="00800D22">
        <w:rPr>
          <w:kern w:val="0"/>
          <w:sz w:val="24"/>
        </w:rPr>
        <w:t>S-CBO</w:t>
      </w:r>
      <w:r w:rsidRPr="00800D22">
        <w:rPr>
          <w:kern w:val="0"/>
          <w:sz w:val="24"/>
        </w:rPr>
        <w:t>（</w:t>
      </w:r>
      <w:r w:rsidRPr="00800D22">
        <w:rPr>
          <w:kern w:val="0"/>
          <w:sz w:val="24"/>
        </w:rPr>
        <w:t>Second Collateralized Bond Obligation</w:t>
      </w:r>
      <w:r w:rsidRPr="00800D22">
        <w:rPr>
          <w:kern w:val="0"/>
          <w:sz w:val="24"/>
        </w:rPr>
        <w:t>）和</w:t>
      </w:r>
      <w:r w:rsidRPr="00800D22">
        <w:rPr>
          <w:kern w:val="0"/>
          <w:sz w:val="24"/>
        </w:rPr>
        <w:t>P-CBO</w:t>
      </w:r>
      <w:r w:rsidRPr="00800D22">
        <w:rPr>
          <w:kern w:val="0"/>
          <w:sz w:val="24"/>
        </w:rPr>
        <w:t>，</w:t>
      </w:r>
      <w:r w:rsidRPr="00800D22">
        <w:rPr>
          <w:kern w:val="0"/>
          <w:sz w:val="24"/>
        </w:rPr>
        <w:t>S-CBO</w:t>
      </w:r>
      <w:r w:rsidRPr="00800D22">
        <w:rPr>
          <w:kern w:val="0"/>
          <w:sz w:val="24"/>
        </w:rPr>
        <w:t>同</w:t>
      </w:r>
      <w:r w:rsidRPr="00800D22">
        <w:rPr>
          <w:kern w:val="0"/>
          <w:sz w:val="24"/>
        </w:rPr>
        <w:t>P-CBO</w:t>
      </w:r>
      <w:r w:rsidRPr="00800D22">
        <w:rPr>
          <w:kern w:val="0"/>
          <w:sz w:val="24"/>
        </w:rPr>
        <w:t>之间的差异在于标的债券组合是一级市场债券还是二级市场债券。</w:t>
      </w:r>
      <w:r w:rsidRPr="00800D22">
        <w:rPr>
          <w:kern w:val="0"/>
          <w:sz w:val="24"/>
        </w:rPr>
        <w:t>S-CBO</w:t>
      </w:r>
      <w:r w:rsidRPr="00800D22">
        <w:rPr>
          <w:kern w:val="0"/>
          <w:sz w:val="24"/>
        </w:rPr>
        <w:t>的标的债券组合为已经在二级市场上交易的债券</w:t>
      </w:r>
      <w:r w:rsidRPr="00800D22">
        <w:rPr>
          <w:rFonts w:hint="eastAsia"/>
          <w:kern w:val="0"/>
          <w:sz w:val="24"/>
        </w:rPr>
        <w:t>。</w:t>
      </w:r>
      <w:r w:rsidRPr="00800D22">
        <w:rPr>
          <w:kern w:val="0"/>
          <w:sz w:val="24"/>
        </w:rPr>
        <w:t>由于</w:t>
      </w:r>
      <w:r w:rsidRPr="00800D22">
        <w:rPr>
          <w:kern w:val="0"/>
          <w:sz w:val="24"/>
        </w:rPr>
        <w:t>S-CBO</w:t>
      </w:r>
      <w:r w:rsidRPr="00800D22">
        <w:rPr>
          <w:kern w:val="0"/>
          <w:sz w:val="24"/>
        </w:rPr>
        <w:t>的各优先层债券的利率同标的债券组合利率之间的存在一定的利差，因此，</w:t>
      </w:r>
      <w:r w:rsidRPr="00800D22">
        <w:rPr>
          <w:kern w:val="0"/>
          <w:sz w:val="24"/>
        </w:rPr>
        <w:t>S-CBO</w:t>
      </w:r>
      <w:r w:rsidRPr="00800D22">
        <w:rPr>
          <w:kern w:val="0"/>
          <w:sz w:val="24"/>
        </w:rPr>
        <w:t>更多地被用于套利目的。而</w:t>
      </w:r>
      <w:r w:rsidRPr="00800D22">
        <w:rPr>
          <w:kern w:val="0"/>
          <w:sz w:val="24"/>
        </w:rPr>
        <w:t>P-CBO</w:t>
      </w:r>
      <w:r w:rsidRPr="00800D22">
        <w:rPr>
          <w:kern w:val="0"/>
          <w:sz w:val="24"/>
        </w:rPr>
        <w:t>的标的债券组合则为一级市场上新发行的债券，</w:t>
      </w:r>
      <w:r w:rsidRPr="00800D22">
        <w:rPr>
          <w:kern w:val="0"/>
          <w:sz w:val="24"/>
        </w:rPr>
        <w:t>P-CBO</w:t>
      </w:r>
      <w:r w:rsidRPr="00800D22">
        <w:rPr>
          <w:kern w:val="0"/>
          <w:sz w:val="24"/>
        </w:rPr>
        <w:t>募集的资金直接用于购买一揽子即将发行债券，相对于</w:t>
      </w:r>
      <w:r w:rsidRPr="00800D22">
        <w:rPr>
          <w:kern w:val="0"/>
          <w:sz w:val="24"/>
        </w:rPr>
        <w:t>S-CBO</w:t>
      </w:r>
      <w:r w:rsidRPr="00800D22">
        <w:rPr>
          <w:kern w:val="0"/>
          <w:sz w:val="24"/>
        </w:rPr>
        <w:t>，</w:t>
      </w:r>
      <w:r w:rsidRPr="00800D22">
        <w:rPr>
          <w:kern w:val="0"/>
          <w:sz w:val="24"/>
        </w:rPr>
        <w:t>P-CBO</w:t>
      </w:r>
      <w:r w:rsidRPr="00800D22">
        <w:rPr>
          <w:kern w:val="0"/>
          <w:sz w:val="24"/>
        </w:rPr>
        <w:t>更多地作为融资工具而被使用。</w:t>
      </w:r>
    </w:p>
    <w:p w14:paraId="06D8262B" w14:textId="4BC674E0" w:rsidR="00995E2A" w:rsidRPr="00800D22" w:rsidRDefault="00995E2A" w:rsidP="00995E2A">
      <w:pPr>
        <w:autoSpaceDE w:val="0"/>
        <w:autoSpaceDN w:val="0"/>
        <w:adjustRightInd w:val="0"/>
        <w:spacing w:afterLines="100" w:after="312" w:line="440" w:lineRule="exact"/>
        <w:ind w:firstLineChars="200" w:firstLine="480"/>
        <w:rPr>
          <w:kern w:val="0"/>
          <w:sz w:val="24"/>
        </w:rPr>
      </w:pPr>
      <w:r w:rsidRPr="00800D22">
        <w:rPr>
          <w:kern w:val="0"/>
          <w:sz w:val="24"/>
        </w:rPr>
        <w:t>韩国积极</w:t>
      </w:r>
      <w:r w:rsidRPr="00800D22">
        <w:rPr>
          <w:rFonts w:hint="eastAsia"/>
          <w:kern w:val="0"/>
          <w:sz w:val="24"/>
        </w:rPr>
        <w:t>地</w:t>
      </w:r>
      <w:r w:rsidRPr="00800D22">
        <w:rPr>
          <w:kern w:val="0"/>
          <w:sz w:val="24"/>
        </w:rPr>
        <w:t>利用了</w:t>
      </w:r>
      <w:r w:rsidRPr="00800D22">
        <w:rPr>
          <w:kern w:val="0"/>
          <w:sz w:val="24"/>
        </w:rPr>
        <w:t>P-CBO</w:t>
      </w:r>
      <w:r w:rsidRPr="00800D22">
        <w:rPr>
          <w:kern w:val="0"/>
          <w:sz w:val="24"/>
        </w:rPr>
        <w:t>的融资优势</w:t>
      </w:r>
      <w:r w:rsidRPr="00800D22">
        <w:rPr>
          <w:rFonts w:hint="eastAsia"/>
          <w:kern w:val="0"/>
          <w:sz w:val="24"/>
        </w:rPr>
        <w:t>。</w:t>
      </w:r>
      <w:r w:rsidRPr="00800D22">
        <w:rPr>
          <w:kern w:val="0"/>
          <w:sz w:val="24"/>
        </w:rPr>
        <w:t>在</w:t>
      </w:r>
      <w:r w:rsidRPr="00800D22">
        <w:rPr>
          <w:kern w:val="0"/>
          <w:sz w:val="24"/>
        </w:rPr>
        <w:t>1999</w:t>
      </w:r>
      <w:r w:rsidRPr="00800D22">
        <w:rPr>
          <w:kern w:val="0"/>
          <w:sz w:val="24"/>
        </w:rPr>
        <w:t>年底，韩国政策性金融机构</w:t>
      </w:r>
      <w:r w:rsidRPr="00800D22">
        <w:rPr>
          <w:kern w:val="0"/>
          <w:sz w:val="24"/>
        </w:rPr>
        <w:t>SBC</w:t>
      </w:r>
      <w:r w:rsidRPr="00800D22">
        <w:rPr>
          <w:rFonts w:hint="eastAsia"/>
          <w:kern w:val="0"/>
          <w:sz w:val="24"/>
        </w:rPr>
        <w:t>（</w:t>
      </w:r>
      <w:r w:rsidRPr="00800D22">
        <w:rPr>
          <w:kern w:val="0"/>
          <w:sz w:val="24"/>
        </w:rPr>
        <w:t>Small Business Corporation</w:t>
      </w:r>
      <w:r w:rsidRPr="00800D22">
        <w:rPr>
          <w:kern w:val="0"/>
          <w:sz w:val="24"/>
        </w:rPr>
        <w:t>，简称</w:t>
      </w:r>
      <w:r w:rsidRPr="00800D22">
        <w:rPr>
          <w:rFonts w:hint="eastAsia"/>
          <w:kern w:val="0"/>
          <w:sz w:val="24"/>
        </w:rPr>
        <w:t>“</w:t>
      </w:r>
      <w:r w:rsidRPr="00800D22">
        <w:rPr>
          <w:kern w:val="0"/>
          <w:sz w:val="24"/>
        </w:rPr>
        <w:t>SBC</w:t>
      </w:r>
      <w:r w:rsidRPr="00800D22">
        <w:rPr>
          <w:rFonts w:hint="eastAsia"/>
          <w:kern w:val="0"/>
          <w:sz w:val="24"/>
        </w:rPr>
        <w:t>”）</w:t>
      </w:r>
      <w:r w:rsidRPr="00800D22">
        <w:rPr>
          <w:kern w:val="0"/>
          <w:sz w:val="24"/>
        </w:rPr>
        <w:t>成功组织发行了第一个</w:t>
      </w:r>
      <w:r w:rsidRPr="00800D22">
        <w:rPr>
          <w:kern w:val="0"/>
          <w:sz w:val="24"/>
        </w:rPr>
        <w:t>P-CBO</w:t>
      </w:r>
      <w:r w:rsidRPr="00800D22">
        <w:rPr>
          <w:kern w:val="0"/>
          <w:sz w:val="24"/>
        </w:rPr>
        <w:t>。在该</w:t>
      </w:r>
      <w:r w:rsidRPr="00800D22">
        <w:rPr>
          <w:kern w:val="0"/>
          <w:sz w:val="24"/>
        </w:rPr>
        <w:t>P-CBO</w:t>
      </w:r>
      <w:r w:rsidRPr="00800D22">
        <w:rPr>
          <w:kern w:val="0"/>
          <w:sz w:val="24"/>
        </w:rPr>
        <w:t>交易中，首先，</w:t>
      </w:r>
      <w:r w:rsidRPr="00800D22">
        <w:rPr>
          <w:kern w:val="0"/>
          <w:sz w:val="24"/>
        </w:rPr>
        <w:t>23</w:t>
      </w:r>
      <w:r w:rsidRPr="00800D22">
        <w:rPr>
          <w:kern w:val="0"/>
          <w:sz w:val="24"/>
        </w:rPr>
        <w:t>家中小企业在</w:t>
      </w:r>
      <w:r w:rsidRPr="00800D22">
        <w:rPr>
          <w:kern w:val="0"/>
          <w:sz w:val="24"/>
        </w:rPr>
        <w:t>SBC</w:t>
      </w:r>
      <w:r w:rsidRPr="00800D22">
        <w:rPr>
          <w:kern w:val="0"/>
          <w:sz w:val="24"/>
        </w:rPr>
        <w:t>的统一组织协调下联合向</w:t>
      </w:r>
      <w:r w:rsidRPr="00800D22">
        <w:rPr>
          <w:kern w:val="0"/>
          <w:sz w:val="24"/>
        </w:rPr>
        <w:t>SPC</w:t>
      </w:r>
      <w:r w:rsidRPr="00800D22">
        <w:rPr>
          <w:kern w:val="0"/>
          <w:sz w:val="24"/>
        </w:rPr>
        <w:t>（</w:t>
      </w:r>
      <w:proofErr w:type="spellStart"/>
      <w:r w:rsidRPr="00800D22">
        <w:rPr>
          <w:kern w:val="0"/>
          <w:sz w:val="24"/>
        </w:rPr>
        <w:t>SPC</w:t>
      </w:r>
      <w:proofErr w:type="spellEnd"/>
      <w:r w:rsidRPr="00800D22">
        <w:rPr>
          <w:kern w:val="0"/>
          <w:sz w:val="24"/>
        </w:rPr>
        <w:t>是专为该次交易设立的一家特殊目的公司）发行</w:t>
      </w:r>
      <w:r w:rsidRPr="00800D22">
        <w:rPr>
          <w:kern w:val="0"/>
          <w:sz w:val="24"/>
        </w:rPr>
        <w:t>720</w:t>
      </w:r>
      <w:r w:rsidRPr="00800D22">
        <w:rPr>
          <w:kern w:val="0"/>
          <w:sz w:val="24"/>
        </w:rPr>
        <w:t>亿韩元的债券，</w:t>
      </w:r>
      <w:r w:rsidRPr="00800D22">
        <w:rPr>
          <w:kern w:val="0"/>
          <w:sz w:val="24"/>
        </w:rPr>
        <w:t>23</w:t>
      </w:r>
      <w:r w:rsidRPr="00800D22">
        <w:rPr>
          <w:kern w:val="0"/>
          <w:sz w:val="24"/>
        </w:rPr>
        <w:t>家公司的平均信用等级为</w:t>
      </w:r>
      <w:r w:rsidRPr="00800D22">
        <w:rPr>
          <w:kern w:val="0"/>
          <w:sz w:val="24"/>
        </w:rPr>
        <w:t>BB</w:t>
      </w:r>
      <w:r w:rsidRPr="00800D22">
        <w:rPr>
          <w:kern w:val="0"/>
          <w:sz w:val="24"/>
        </w:rPr>
        <w:t>，所发行的债券均属于垃圾债券；随后，为了吸引投资者，</w:t>
      </w:r>
      <w:r w:rsidRPr="00800D22">
        <w:rPr>
          <w:kern w:val="0"/>
          <w:sz w:val="24"/>
        </w:rPr>
        <w:t>SPC</w:t>
      </w:r>
      <w:r w:rsidRPr="00800D22">
        <w:rPr>
          <w:kern w:val="0"/>
          <w:sz w:val="24"/>
        </w:rPr>
        <w:t>将该</w:t>
      </w:r>
      <w:r w:rsidRPr="00800D22">
        <w:rPr>
          <w:kern w:val="0"/>
          <w:sz w:val="24"/>
        </w:rPr>
        <w:t>720</w:t>
      </w:r>
      <w:r w:rsidRPr="00800D22">
        <w:rPr>
          <w:kern w:val="0"/>
          <w:sz w:val="24"/>
        </w:rPr>
        <w:t>亿韩元的债券组合重新打包成两大类不同优先级别的</w:t>
      </w:r>
      <w:r w:rsidRPr="00800D22">
        <w:rPr>
          <w:kern w:val="0"/>
          <w:sz w:val="24"/>
        </w:rPr>
        <w:t>ABS</w:t>
      </w:r>
      <w:r w:rsidRPr="00800D22">
        <w:rPr>
          <w:kern w:val="0"/>
          <w:sz w:val="24"/>
        </w:rPr>
        <w:t>，其中一部分为</w:t>
      </w:r>
      <w:r w:rsidRPr="00800D22">
        <w:rPr>
          <w:kern w:val="0"/>
          <w:sz w:val="24"/>
        </w:rPr>
        <w:t>445</w:t>
      </w:r>
      <w:r w:rsidRPr="00800D22">
        <w:rPr>
          <w:kern w:val="0"/>
          <w:sz w:val="24"/>
        </w:rPr>
        <w:t>亿韩元的优先层债券（</w:t>
      </w:r>
      <w:r w:rsidRPr="00800D22">
        <w:rPr>
          <w:kern w:val="0"/>
          <w:sz w:val="24"/>
        </w:rPr>
        <w:t>2</w:t>
      </w:r>
      <w:r w:rsidRPr="00800D22">
        <w:rPr>
          <w:kern w:val="0"/>
          <w:sz w:val="24"/>
        </w:rPr>
        <w:t>年期为</w:t>
      </w:r>
      <w:r w:rsidRPr="00800D22">
        <w:rPr>
          <w:kern w:val="0"/>
          <w:sz w:val="24"/>
        </w:rPr>
        <w:t>80</w:t>
      </w:r>
      <w:r w:rsidRPr="00800D22">
        <w:rPr>
          <w:kern w:val="0"/>
          <w:sz w:val="24"/>
        </w:rPr>
        <w:t>亿韩元，</w:t>
      </w:r>
      <w:r w:rsidRPr="00800D22">
        <w:rPr>
          <w:kern w:val="0"/>
          <w:sz w:val="24"/>
        </w:rPr>
        <w:t>3</w:t>
      </w:r>
      <w:r w:rsidRPr="00800D22">
        <w:rPr>
          <w:kern w:val="0"/>
          <w:sz w:val="24"/>
        </w:rPr>
        <w:t>年期为</w:t>
      </w:r>
      <w:r w:rsidRPr="00800D22">
        <w:rPr>
          <w:kern w:val="0"/>
          <w:sz w:val="24"/>
        </w:rPr>
        <w:t>360</w:t>
      </w:r>
      <w:r w:rsidRPr="00800D22">
        <w:rPr>
          <w:kern w:val="0"/>
          <w:sz w:val="24"/>
        </w:rPr>
        <w:t>亿韩元），该部分债券向广大投资者发售，余下的</w:t>
      </w:r>
      <w:r w:rsidRPr="00800D22">
        <w:rPr>
          <w:kern w:val="0"/>
          <w:sz w:val="24"/>
        </w:rPr>
        <w:t>275</w:t>
      </w:r>
      <w:r w:rsidRPr="00800D22">
        <w:rPr>
          <w:kern w:val="0"/>
          <w:sz w:val="24"/>
        </w:rPr>
        <w:t>亿</w:t>
      </w:r>
      <w:r w:rsidRPr="00800D22">
        <w:rPr>
          <w:rFonts w:hint="eastAsia"/>
          <w:kern w:val="0"/>
          <w:sz w:val="24"/>
        </w:rPr>
        <w:t>韩元</w:t>
      </w:r>
      <w:r w:rsidRPr="00800D22">
        <w:rPr>
          <w:kern w:val="0"/>
          <w:sz w:val="24"/>
        </w:rPr>
        <w:t>为次级层债券则由</w:t>
      </w:r>
      <w:r w:rsidRPr="00800D22">
        <w:rPr>
          <w:kern w:val="0"/>
          <w:sz w:val="24"/>
        </w:rPr>
        <w:t>SBC</w:t>
      </w:r>
      <w:r w:rsidRPr="00800D22">
        <w:rPr>
          <w:rFonts w:hint="eastAsia"/>
          <w:kern w:val="0"/>
          <w:sz w:val="24"/>
        </w:rPr>
        <w:t>自己</w:t>
      </w:r>
      <w:r w:rsidRPr="00800D22">
        <w:rPr>
          <w:kern w:val="0"/>
          <w:sz w:val="24"/>
        </w:rPr>
        <w:t>持有。根据发行安排，</w:t>
      </w:r>
      <w:r w:rsidRPr="00800D22">
        <w:rPr>
          <w:kern w:val="0"/>
          <w:sz w:val="24"/>
        </w:rPr>
        <w:t>23</w:t>
      </w:r>
      <w:r w:rsidRPr="00800D22">
        <w:rPr>
          <w:kern w:val="0"/>
          <w:sz w:val="24"/>
        </w:rPr>
        <w:t>家中小企业的偿债资金首先用于偿还优先层债券，只有当优先层债券部分的本金完全清偿完毕后，偿债资金才开始用于偿付次级层债券，如此安排使得债券组合的违约损失首先由</w:t>
      </w:r>
      <w:r w:rsidRPr="00800D22">
        <w:rPr>
          <w:kern w:val="0"/>
          <w:sz w:val="24"/>
        </w:rPr>
        <w:t>SBC</w:t>
      </w:r>
      <w:r w:rsidRPr="00800D22">
        <w:rPr>
          <w:kern w:val="0"/>
          <w:sz w:val="24"/>
        </w:rPr>
        <w:t>全额承担，只有当违约损失超过</w:t>
      </w:r>
      <w:r w:rsidRPr="00800D22">
        <w:rPr>
          <w:kern w:val="0"/>
          <w:sz w:val="24"/>
        </w:rPr>
        <w:t>275</w:t>
      </w:r>
      <w:r w:rsidRPr="00800D22">
        <w:rPr>
          <w:kern w:val="0"/>
          <w:sz w:val="24"/>
        </w:rPr>
        <w:t>亿</w:t>
      </w:r>
      <w:r w:rsidRPr="00800D22">
        <w:rPr>
          <w:rFonts w:hint="eastAsia"/>
          <w:kern w:val="0"/>
          <w:sz w:val="24"/>
        </w:rPr>
        <w:t>韩元</w:t>
      </w:r>
      <w:r w:rsidRPr="00800D22">
        <w:rPr>
          <w:kern w:val="0"/>
          <w:sz w:val="24"/>
        </w:rPr>
        <w:t>时，优先层债券的投资者才开始承担超出的损失，因此，通过债券分层设计，优先层债券投资</w:t>
      </w:r>
      <w:r w:rsidRPr="00800D22">
        <w:rPr>
          <w:rFonts w:hint="eastAsia"/>
          <w:kern w:val="0"/>
          <w:sz w:val="24"/>
        </w:rPr>
        <w:t>者</w:t>
      </w:r>
      <w:r w:rsidRPr="00800D22">
        <w:rPr>
          <w:kern w:val="0"/>
          <w:sz w:val="24"/>
        </w:rPr>
        <w:t>承担的违约风险已经大为降低。与此同时，韩国的住房和商业银行（</w:t>
      </w:r>
      <w:r w:rsidRPr="00800D22">
        <w:rPr>
          <w:kern w:val="0"/>
          <w:sz w:val="24"/>
        </w:rPr>
        <w:t>The Housing and Commercial Bank</w:t>
      </w:r>
      <w:r w:rsidRPr="00800D22">
        <w:rPr>
          <w:kern w:val="0"/>
          <w:sz w:val="24"/>
        </w:rPr>
        <w:t>）为参与企业提供</w:t>
      </w:r>
      <w:r w:rsidRPr="00800D22">
        <w:rPr>
          <w:kern w:val="0"/>
          <w:sz w:val="24"/>
        </w:rPr>
        <w:t>100</w:t>
      </w:r>
      <w:r w:rsidRPr="00800D22">
        <w:rPr>
          <w:kern w:val="0"/>
          <w:sz w:val="24"/>
        </w:rPr>
        <w:t>亿韩元的流动性支持，在必要时，为中小企业提供一定的信贷资金，保障到期债券的偿付，进一步提升债券的信用质量</w:t>
      </w:r>
      <w:r w:rsidRPr="00800D22">
        <w:rPr>
          <w:rFonts w:hint="eastAsia"/>
          <w:kern w:val="0"/>
          <w:sz w:val="24"/>
        </w:rPr>
        <w:t>。</w:t>
      </w:r>
      <w:r w:rsidRPr="00800D22">
        <w:rPr>
          <w:kern w:val="0"/>
          <w:sz w:val="24"/>
        </w:rPr>
        <w:t>本次</w:t>
      </w:r>
      <w:r w:rsidRPr="00800D22">
        <w:rPr>
          <w:kern w:val="0"/>
          <w:sz w:val="24"/>
        </w:rPr>
        <w:t>P-CBO</w:t>
      </w:r>
      <w:r w:rsidRPr="00800D22">
        <w:rPr>
          <w:kern w:val="0"/>
          <w:sz w:val="24"/>
        </w:rPr>
        <w:t>的交易结构如图</w:t>
      </w:r>
      <w:r w:rsidRPr="00800D22">
        <w:rPr>
          <w:rFonts w:hint="eastAsia"/>
          <w:kern w:val="0"/>
          <w:sz w:val="24"/>
        </w:rPr>
        <w:t>2</w:t>
      </w:r>
      <w:r w:rsidRPr="00800D22">
        <w:rPr>
          <w:kern w:val="0"/>
          <w:sz w:val="24"/>
        </w:rPr>
        <w:t>所示：</w:t>
      </w:r>
      <w:r w:rsidRPr="00800D22">
        <w:rPr>
          <w:kern w:val="0"/>
          <w:sz w:val="24"/>
        </w:rPr>
        <w:t xml:space="preserve">                  </w:t>
      </w:r>
    </w:p>
    <w:p w14:paraId="2D3CFECA" w14:textId="77777777" w:rsidR="00995E2A" w:rsidRPr="00800D22" w:rsidRDefault="00995E2A" w:rsidP="00995E2A">
      <w:pPr>
        <w:autoSpaceDE w:val="0"/>
        <w:autoSpaceDN w:val="0"/>
        <w:adjustRightInd w:val="0"/>
        <w:spacing w:line="360" w:lineRule="auto"/>
        <w:jc w:val="center"/>
        <w:rPr>
          <w:b/>
          <w:szCs w:val="21"/>
        </w:rPr>
      </w:pPr>
      <w:r w:rsidRPr="00800D22">
        <w:rPr>
          <w:noProof/>
          <w:sz w:val="24"/>
        </w:rPr>
      </w:r>
      <w:r w:rsidRPr="00800D22">
        <w:rPr>
          <w:sz w:val="24"/>
        </w:rPr>
        <w:pict w14:anchorId="3BF238F5">
          <v:group id="_x0000_s1059" editas="canvas" style="width:405pt;height:280.8pt;mso-position-horizontal-relative:char;mso-position-vertical-relative:line" coordorigin="2280,1519" coordsize="8100,5616">
            <o:lock v:ext="edit" aspectratio="t"/>
            <v:shape id="_x0000_s1060" type="#_x0000_t75" style="position:absolute;left:2280;top:1519;width:8100;height:5616" o:preferrelative="f" stroked="t" strokecolor="white">
              <v:fill o:detectmouseclick="t"/>
              <v:path o:extrusionok="t" o:connecttype="none"/>
              <o:lock v:ext="edit" text="t"/>
            </v:shape>
            <v:rect id="_x0000_s1061" style="position:absolute;left:5160;top:1675;width:2160;height:467">
              <v:textbox style="mso-next-textbox:#_x0000_s1061">
                <w:txbxContent>
                  <w:p w14:paraId="6B61364E" w14:textId="77777777" w:rsidR="00995E2A" w:rsidRPr="00C93A7A" w:rsidRDefault="00995E2A" w:rsidP="00995E2A">
                    <w:pPr>
                      <w:jc w:val="center"/>
                      <w:rPr>
                        <w:b/>
                      </w:rPr>
                    </w:pPr>
                    <w:r w:rsidRPr="00C93A7A">
                      <w:rPr>
                        <w:b/>
                      </w:rPr>
                      <w:t>23</w:t>
                    </w:r>
                    <w:r w:rsidRPr="00C93A7A">
                      <w:rPr>
                        <w:rFonts w:hAnsi="宋体"/>
                        <w:b/>
                      </w:rPr>
                      <w:t>家中小企业</w:t>
                    </w:r>
                  </w:p>
                </w:txbxContent>
              </v:textbox>
            </v:rect>
            <v:rect id="_x0000_s1062" style="position:absolute;left:4620;top:2768;width:3240;height:467">
              <v:textbox style="mso-next-textbox:#_x0000_s1062">
                <w:txbxContent>
                  <w:p w14:paraId="777FA316" w14:textId="77777777" w:rsidR="00995E2A" w:rsidRPr="009867DB" w:rsidRDefault="00995E2A" w:rsidP="00995E2A">
                    <w:pPr>
                      <w:jc w:val="center"/>
                      <w:rPr>
                        <w:rFonts w:hint="eastAsia"/>
                        <w:b/>
                      </w:rPr>
                    </w:pPr>
                    <w:r w:rsidRPr="00AE7888">
                      <w:rPr>
                        <w:rFonts w:hint="eastAsia"/>
                        <w:b/>
                      </w:rPr>
                      <w:t>Small Business Corporation</w:t>
                    </w:r>
                  </w:p>
                </w:txbxContent>
              </v:textbox>
            </v:rect>
            <v:rect id="_x0000_s1063" style="position:absolute;left:5520;top:3703;width:1440;height:468">
              <v:textbox style="mso-next-textbox:#_x0000_s1063">
                <w:txbxContent>
                  <w:p w14:paraId="05ED1177" w14:textId="77777777" w:rsidR="00995E2A" w:rsidRPr="00AE7888" w:rsidRDefault="00995E2A" w:rsidP="00995E2A">
                    <w:pPr>
                      <w:jc w:val="center"/>
                      <w:rPr>
                        <w:rFonts w:hint="eastAsia"/>
                        <w:b/>
                      </w:rPr>
                    </w:pPr>
                    <w:r w:rsidRPr="00AE7888">
                      <w:rPr>
                        <w:rFonts w:hint="eastAsia"/>
                        <w:b/>
                      </w:rPr>
                      <w:t>SPC</w:t>
                    </w:r>
                  </w:p>
                </w:txbxContent>
              </v:textbox>
            </v:rect>
            <v:rect id="_x0000_s1064" style="position:absolute;left:2745;top:5263;width:3420;height:826">
              <v:textbox style="mso-next-textbox:#_x0000_s1064">
                <w:txbxContent>
                  <w:p w14:paraId="596F2ECE" w14:textId="77777777" w:rsidR="00995E2A" w:rsidRPr="009867DB" w:rsidRDefault="00995E2A" w:rsidP="00995E2A">
                    <w:pPr>
                      <w:jc w:val="center"/>
                      <w:rPr>
                        <w:b/>
                        <w:szCs w:val="21"/>
                      </w:rPr>
                    </w:pPr>
                    <w:r w:rsidRPr="009867DB">
                      <w:rPr>
                        <w:b/>
                        <w:szCs w:val="21"/>
                      </w:rPr>
                      <w:t>优先层债券</w:t>
                    </w:r>
                  </w:p>
                  <w:p w14:paraId="19636E14" w14:textId="77777777" w:rsidR="00995E2A" w:rsidRPr="00C93A7A" w:rsidRDefault="00995E2A" w:rsidP="00995E2A">
                    <w:pPr>
                      <w:rPr>
                        <w:sz w:val="18"/>
                        <w:szCs w:val="18"/>
                      </w:rPr>
                    </w:pPr>
                    <w:r w:rsidRPr="00C93A7A">
                      <w:rPr>
                        <w:sz w:val="18"/>
                        <w:szCs w:val="18"/>
                      </w:rPr>
                      <w:t>（</w:t>
                    </w:r>
                    <w:r w:rsidRPr="00C93A7A">
                      <w:rPr>
                        <w:sz w:val="18"/>
                        <w:szCs w:val="18"/>
                      </w:rPr>
                      <w:t>2</w:t>
                    </w:r>
                    <w:r w:rsidRPr="00C93A7A">
                      <w:rPr>
                        <w:sz w:val="18"/>
                        <w:szCs w:val="18"/>
                      </w:rPr>
                      <w:t>年期</w:t>
                    </w:r>
                    <w:r w:rsidRPr="00C93A7A">
                      <w:rPr>
                        <w:sz w:val="18"/>
                        <w:szCs w:val="18"/>
                      </w:rPr>
                      <w:t>85</w:t>
                    </w:r>
                    <w:r w:rsidRPr="00C93A7A">
                      <w:rPr>
                        <w:sz w:val="18"/>
                        <w:szCs w:val="18"/>
                      </w:rPr>
                      <w:t>亿韩元，</w:t>
                    </w:r>
                    <w:r w:rsidRPr="00C93A7A">
                      <w:rPr>
                        <w:sz w:val="18"/>
                        <w:szCs w:val="18"/>
                      </w:rPr>
                      <w:t>3</w:t>
                    </w:r>
                    <w:r w:rsidRPr="00C93A7A">
                      <w:rPr>
                        <w:sz w:val="18"/>
                        <w:szCs w:val="18"/>
                      </w:rPr>
                      <w:t>年期</w:t>
                    </w:r>
                    <w:r w:rsidRPr="00C93A7A">
                      <w:rPr>
                        <w:sz w:val="18"/>
                        <w:szCs w:val="18"/>
                      </w:rPr>
                      <w:t>360</w:t>
                    </w:r>
                    <w:r w:rsidRPr="00C93A7A">
                      <w:rPr>
                        <w:sz w:val="18"/>
                        <w:szCs w:val="18"/>
                      </w:rPr>
                      <w:t>亿韩元）</w:t>
                    </w:r>
                  </w:p>
                  <w:p w14:paraId="1682B58F" w14:textId="77777777" w:rsidR="00995E2A" w:rsidRDefault="00995E2A" w:rsidP="00995E2A">
                    <w:pPr>
                      <w:rPr>
                        <w:rFonts w:hint="eastAsia"/>
                      </w:rPr>
                    </w:pPr>
                  </w:p>
                </w:txbxContent>
              </v:textbox>
            </v:rect>
            <v:rect id="_x0000_s1065" style="position:absolute;left:7065;top:5263;width:1800;height:781">
              <v:textbox style="mso-next-textbox:#_x0000_s1065">
                <w:txbxContent>
                  <w:p w14:paraId="3DCA0B5B" w14:textId="77777777" w:rsidR="00995E2A" w:rsidRPr="00C93A7A" w:rsidRDefault="00995E2A" w:rsidP="00995E2A">
                    <w:pPr>
                      <w:jc w:val="center"/>
                      <w:rPr>
                        <w:b/>
                      </w:rPr>
                    </w:pPr>
                    <w:r>
                      <w:rPr>
                        <w:rFonts w:hint="eastAsia"/>
                        <w:b/>
                      </w:rPr>
                      <w:t>次级</w:t>
                    </w:r>
                    <w:r w:rsidRPr="00C93A7A">
                      <w:rPr>
                        <w:b/>
                      </w:rPr>
                      <w:t>层债券</w:t>
                    </w:r>
                  </w:p>
                  <w:p w14:paraId="0B2289FD" w14:textId="77777777" w:rsidR="00995E2A" w:rsidRPr="00C93A7A" w:rsidRDefault="00995E2A" w:rsidP="00995E2A">
                    <w:pPr>
                      <w:ind w:firstLineChars="50" w:firstLine="90"/>
                      <w:jc w:val="center"/>
                      <w:rPr>
                        <w:sz w:val="18"/>
                        <w:szCs w:val="18"/>
                      </w:rPr>
                    </w:pPr>
                    <w:r w:rsidRPr="00C93A7A">
                      <w:rPr>
                        <w:sz w:val="18"/>
                        <w:szCs w:val="18"/>
                      </w:rPr>
                      <w:t>（</w:t>
                    </w:r>
                    <w:r w:rsidRPr="00C93A7A">
                      <w:rPr>
                        <w:sz w:val="18"/>
                        <w:szCs w:val="18"/>
                      </w:rPr>
                      <w:t>275</w:t>
                    </w:r>
                    <w:r w:rsidRPr="00C93A7A">
                      <w:rPr>
                        <w:sz w:val="18"/>
                        <w:szCs w:val="18"/>
                      </w:rPr>
                      <w:t>亿韩元）</w:t>
                    </w:r>
                  </w:p>
                </w:txbxContent>
              </v:textbox>
            </v:rect>
            <v:rect id="_x0000_s1066" style="position:absolute;left:7500;top:3895;width:2340;height:779">
              <v:textbox style="mso-next-textbox:#_x0000_s1066">
                <w:txbxContent>
                  <w:p w14:paraId="73B065E7" w14:textId="77777777" w:rsidR="00995E2A" w:rsidRPr="00C93A7A" w:rsidRDefault="00995E2A" w:rsidP="00995E2A">
                    <w:pPr>
                      <w:jc w:val="center"/>
                      <w:rPr>
                        <w:rFonts w:hAnsi="宋体" w:hint="eastAsia"/>
                        <w:b/>
                        <w:color w:val="000000"/>
                        <w:szCs w:val="21"/>
                      </w:rPr>
                    </w:pPr>
                    <w:r w:rsidRPr="00C93A7A">
                      <w:rPr>
                        <w:rFonts w:hAnsi="宋体"/>
                        <w:b/>
                        <w:color w:val="000000"/>
                        <w:szCs w:val="21"/>
                      </w:rPr>
                      <w:t>住房和商业银行</w:t>
                    </w:r>
                  </w:p>
                  <w:p w14:paraId="51423D36" w14:textId="77777777" w:rsidR="00995E2A" w:rsidRPr="00C93A7A" w:rsidRDefault="00995E2A" w:rsidP="00995E2A">
                    <w:pPr>
                      <w:ind w:leftChars="-42" w:left="2" w:hangingChars="50" w:hanging="90"/>
                      <w:jc w:val="center"/>
                      <w:rPr>
                        <w:rFonts w:hint="eastAsia"/>
                        <w:sz w:val="18"/>
                        <w:szCs w:val="18"/>
                      </w:rPr>
                    </w:pPr>
                    <w:r w:rsidRPr="00C93A7A">
                      <w:rPr>
                        <w:rFonts w:hint="eastAsia"/>
                        <w:color w:val="000000"/>
                        <w:kern w:val="0"/>
                        <w:sz w:val="18"/>
                        <w:szCs w:val="18"/>
                      </w:rPr>
                      <w:t>（</w:t>
                    </w:r>
                    <w:r>
                      <w:rPr>
                        <w:rFonts w:hint="eastAsia"/>
                        <w:color w:val="000000"/>
                        <w:kern w:val="0"/>
                        <w:sz w:val="18"/>
                        <w:szCs w:val="18"/>
                      </w:rPr>
                      <w:t>100</w:t>
                    </w:r>
                    <w:r>
                      <w:rPr>
                        <w:rFonts w:hint="eastAsia"/>
                        <w:color w:val="000000"/>
                        <w:kern w:val="0"/>
                        <w:sz w:val="18"/>
                        <w:szCs w:val="18"/>
                      </w:rPr>
                      <w:t>亿韩元流动性支持）</w:t>
                    </w:r>
                  </w:p>
                </w:txbxContent>
              </v:textbox>
            </v:rect>
            <v:line id="_x0000_s1067" style="position:absolute;flip:y" from="6600,2143" to="6601,2767">
              <v:stroke endarrow="block"/>
            </v:line>
            <v:line id="_x0000_s1068" style="position:absolute" from="6015,2143" to="6016,2767">
              <v:stroke endarrow="block"/>
            </v:line>
            <v:line id="_x0000_s1069" style="position:absolute" from="6240,3235" to="6241,3703">
              <v:stroke endarrow="block"/>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70" type="#_x0000_t34" style="position:absolute;left:4802;top:3824;width:1092;height:1785;rotation:90" o:connectortype="elbow" adj=",-32091,-78330">
              <v:stroke endarrow="block"/>
            </v:shape>
            <v:shape id="_x0000_s1071" type="#_x0000_t34" style="position:absolute;left:6557;top:3854;width:1092;height:1725;rotation:90;flip:x" o:connectortype="elbow" adj=",33208,-78330">
              <v:stroke endarrow="block"/>
            </v:shape>
            <v:line id="_x0000_s1072" style="position:absolute;flip:x" from="6240,4482" to="7500,4483">
              <v:stroke endarrow="block"/>
            </v:line>
            <v:line id="_x0000_s1073" style="position:absolute" from="4440,6088" to="4441,6400">
              <v:stroke endarrow="block"/>
            </v:line>
            <v:line id="_x0000_s1074" style="position:absolute" from="8040,6043" to="8041,6355">
              <v:stroke endarrow="block"/>
            </v:line>
            <v:rect id="_x0000_s1075" style="position:absolute;left:3360;top:6421;width:2160;height:468">
              <v:textbox style="mso-next-textbox:#_x0000_s1075">
                <w:txbxContent>
                  <w:p w14:paraId="46B2B358" w14:textId="77777777" w:rsidR="00995E2A" w:rsidRPr="009867DB" w:rsidRDefault="00995E2A" w:rsidP="00995E2A">
                    <w:pPr>
                      <w:jc w:val="center"/>
                      <w:rPr>
                        <w:rFonts w:hint="eastAsia"/>
                        <w:b/>
                      </w:rPr>
                    </w:pPr>
                    <w:r w:rsidRPr="009867DB">
                      <w:rPr>
                        <w:rFonts w:hint="eastAsia"/>
                        <w:b/>
                      </w:rPr>
                      <w:t>投资者</w:t>
                    </w:r>
                  </w:p>
                </w:txbxContent>
              </v:textbox>
            </v:rect>
            <v:rect id="_x0000_s1076" style="position:absolute;left:6600;top:6370;width:2880;height:468">
              <v:textbox style="mso-next-textbox:#_x0000_s1076">
                <w:txbxContent>
                  <w:p w14:paraId="50890E8F" w14:textId="77777777" w:rsidR="00995E2A" w:rsidRPr="00AE7888" w:rsidRDefault="00995E2A" w:rsidP="00995E2A">
                    <w:pPr>
                      <w:jc w:val="center"/>
                      <w:rPr>
                        <w:rFonts w:hint="eastAsia"/>
                        <w:b/>
                      </w:rPr>
                    </w:pPr>
                    <w:r w:rsidRPr="00AE7888">
                      <w:rPr>
                        <w:rFonts w:hint="eastAsia"/>
                        <w:b/>
                      </w:rPr>
                      <w:t>Small Business Corporation</w:t>
                    </w:r>
                  </w:p>
                  <w:p w14:paraId="350055D9" w14:textId="77777777" w:rsidR="00995E2A" w:rsidRPr="00AE7888" w:rsidRDefault="00995E2A" w:rsidP="00995E2A">
                    <w:pPr>
                      <w:jc w:val="center"/>
                      <w:rPr>
                        <w:rFonts w:hint="eastAsia"/>
                        <w:b/>
                      </w:rPr>
                    </w:pPr>
                    <w:r w:rsidRPr="00AE7888">
                      <w:rPr>
                        <w:rFonts w:hint="eastAsia"/>
                        <w:b/>
                      </w:rPr>
                      <w:t>Business Corporation</w:t>
                    </w:r>
                  </w:p>
                  <w:p w14:paraId="68EA2DC3" w14:textId="77777777" w:rsidR="00995E2A" w:rsidRPr="009867DB" w:rsidRDefault="00995E2A" w:rsidP="00995E2A">
                    <w:pPr>
                      <w:rPr>
                        <w:b/>
                      </w:rPr>
                    </w:pPr>
                  </w:p>
                </w:txbxContent>
              </v:textbox>
            </v:rect>
            <v:rect id="_x0000_s1077" style="position:absolute;left:4320;top:2253;width:1980;height:469" filled="f" stroked="f">
              <v:textbox style="mso-next-textbox:#_x0000_s1077">
                <w:txbxContent>
                  <w:p w14:paraId="1059AB0E" w14:textId="77777777" w:rsidR="00995E2A" w:rsidRPr="008254F7" w:rsidRDefault="00995E2A" w:rsidP="00995E2A">
                    <w:pPr>
                      <w:rPr>
                        <w:rFonts w:hint="eastAsia"/>
                        <w:sz w:val="18"/>
                        <w:szCs w:val="18"/>
                      </w:rPr>
                    </w:pPr>
                    <w:r w:rsidRPr="008254F7">
                      <w:rPr>
                        <w:rFonts w:hint="eastAsia"/>
                        <w:sz w:val="18"/>
                        <w:szCs w:val="18"/>
                      </w:rPr>
                      <w:t>720</w:t>
                    </w:r>
                    <w:r w:rsidRPr="008254F7">
                      <w:rPr>
                        <w:rFonts w:hint="eastAsia"/>
                        <w:sz w:val="18"/>
                        <w:szCs w:val="18"/>
                      </w:rPr>
                      <w:t>亿韩元公司债</w:t>
                    </w:r>
                  </w:p>
                </w:txbxContent>
              </v:textbox>
            </v:rect>
            <v:rect id="_x0000_s1078" style="position:absolute;left:6525;top:2298;width:1155;height:469" filled="f" stroked="f">
              <v:textbox style="mso-next-textbox:#_x0000_s1078">
                <w:txbxContent>
                  <w:p w14:paraId="428D2CAC" w14:textId="77777777" w:rsidR="00995E2A" w:rsidRPr="008254F7" w:rsidRDefault="00995E2A" w:rsidP="00995E2A">
                    <w:pPr>
                      <w:rPr>
                        <w:rFonts w:hint="eastAsia"/>
                        <w:sz w:val="18"/>
                        <w:szCs w:val="18"/>
                      </w:rPr>
                    </w:pPr>
                    <w:r>
                      <w:rPr>
                        <w:rFonts w:hint="eastAsia"/>
                        <w:sz w:val="18"/>
                        <w:szCs w:val="18"/>
                      </w:rPr>
                      <w:t>募集资金</w:t>
                    </w:r>
                  </w:p>
                </w:txbxContent>
              </v:textbox>
            </v:rect>
            <v:rect id="_x0000_s1079" style="position:absolute;left:5160;top:3234;width:1155;height:469" filled="f" stroked="f">
              <v:textbox style="mso-next-textbox:#_x0000_s1079">
                <w:txbxContent>
                  <w:p w14:paraId="01043B89" w14:textId="77777777" w:rsidR="00995E2A" w:rsidRPr="008254F7" w:rsidRDefault="00995E2A" w:rsidP="00995E2A">
                    <w:pPr>
                      <w:rPr>
                        <w:rFonts w:hint="eastAsia"/>
                        <w:sz w:val="18"/>
                        <w:szCs w:val="18"/>
                      </w:rPr>
                    </w:pPr>
                    <w:r>
                      <w:rPr>
                        <w:rFonts w:hint="eastAsia"/>
                        <w:sz w:val="18"/>
                        <w:szCs w:val="18"/>
                      </w:rPr>
                      <w:t>破产隔离</w:t>
                    </w:r>
                  </w:p>
                </w:txbxContent>
              </v:textbox>
            </v:rect>
            <v:rect id="_x0000_s1080" style="position:absolute;left:3000;top:4204;width:1800;height:468">
              <v:textbox style="mso-next-textbox:#_x0000_s1080">
                <w:txbxContent>
                  <w:p w14:paraId="57F3EBBA" w14:textId="77777777" w:rsidR="00995E2A" w:rsidRPr="00C93A7A" w:rsidRDefault="00995E2A" w:rsidP="00995E2A">
                    <w:pPr>
                      <w:ind w:leftChars="-42" w:left="17" w:hangingChars="50" w:hanging="105"/>
                      <w:jc w:val="center"/>
                      <w:rPr>
                        <w:rFonts w:hint="eastAsia"/>
                        <w:sz w:val="18"/>
                        <w:szCs w:val="18"/>
                      </w:rPr>
                    </w:pPr>
                    <w:r>
                      <w:rPr>
                        <w:rFonts w:hAnsi="宋体" w:hint="eastAsia"/>
                        <w:b/>
                        <w:color w:val="000000"/>
                        <w:szCs w:val="21"/>
                      </w:rPr>
                      <w:t>信用评级机构</w:t>
                    </w:r>
                  </w:p>
                </w:txbxContent>
              </v:textbox>
            </v:rect>
            <v:line id="_x0000_s1081" style="position:absolute" from="4800,4483" to="6240,4483">
              <v:stroke endarrow="block"/>
            </v:line>
            <v:rect id="_x0000_s1082" style="position:absolute;left:4980;top:4150;width:1155;height:469" filled="f" stroked="f">
              <v:textbox style="mso-next-textbox:#_x0000_s1082">
                <w:txbxContent>
                  <w:p w14:paraId="003029F4" w14:textId="77777777" w:rsidR="00995E2A" w:rsidRPr="008254F7" w:rsidRDefault="00995E2A" w:rsidP="00995E2A">
                    <w:pPr>
                      <w:rPr>
                        <w:rFonts w:hint="eastAsia"/>
                        <w:sz w:val="18"/>
                        <w:szCs w:val="18"/>
                      </w:rPr>
                    </w:pPr>
                    <w:r>
                      <w:rPr>
                        <w:rFonts w:hint="eastAsia"/>
                        <w:sz w:val="18"/>
                        <w:szCs w:val="18"/>
                      </w:rPr>
                      <w:t>信用评级</w:t>
                    </w:r>
                  </w:p>
                </w:txbxContent>
              </v:textbox>
            </v:rect>
            <v:rect id="_x0000_s1083" style="position:absolute;left:6420;top:4150;width:1155;height:469" filled="f" stroked="f">
              <v:textbox style="mso-next-textbox:#_x0000_s1083">
                <w:txbxContent>
                  <w:p w14:paraId="14E54F71" w14:textId="77777777" w:rsidR="00995E2A" w:rsidRPr="008254F7" w:rsidRDefault="00995E2A" w:rsidP="00995E2A">
                    <w:pPr>
                      <w:ind w:firstLineChars="100" w:firstLine="180"/>
                      <w:rPr>
                        <w:rFonts w:hint="eastAsia"/>
                        <w:sz w:val="18"/>
                        <w:szCs w:val="18"/>
                      </w:rPr>
                    </w:pPr>
                    <w:r>
                      <w:rPr>
                        <w:rFonts w:hint="eastAsia"/>
                        <w:sz w:val="18"/>
                        <w:szCs w:val="18"/>
                      </w:rPr>
                      <w:t>增信</w:t>
                    </w:r>
                  </w:p>
                </w:txbxContent>
              </v:textbox>
            </v:rect>
            <w10:anchorlock/>
          </v:group>
        </w:pict>
      </w:r>
    </w:p>
    <w:p w14:paraId="18074395" w14:textId="16139ECD" w:rsidR="00995E2A" w:rsidRPr="00800D22" w:rsidRDefault="00995E2A" w:rsidP="00995E2A">
      <w:pPr>
        <w:pStyle w:val="aff1"/>
        <w:jc w:val="center"/>
        <w:rPr>
          <w:rFonts w:hint="eastAsia"/>
          <w:szCs w:val="21"/>
        </w:rPr>
      </w:pPr>
      <w:bookmarkStart w:id="11" w:name="_Toc256507185"/>
      <w:r w:rsidRPr="00800D22">
        <w:rPr>
          <w:rFonts w:ascii="Times New Roman" w:eastAsia="新宋体" w:hAnsi="新宋体" w:cs="Times New Roman" w:hint="eastAsia"/>
          <w:sz w:val="21"/>
          <w:szCs w:val="21"/>
        </w:rPr>
        <w:t>图</w:t>
      </w:r>
      <w:r w:rsidRPr="00800D22">
        <w:rPr>
          <w:rFonts w:ascii="Times New Roman" w:eastAsia="新宋体" w:hAnsi="新宋体" w:cs="Times New Roman"/>
          <w:sz w:val="21"/>
          <w:szCs w:val="21"/>
        </w:rPr>
        <w:fldChar w:fldCharType="begin"/>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hint="eastAsia"/>
          <w:sz w:val="21"/>
          <w:szCs w:val="21"/>
        </w:rPr>
        <w:instrText xml:space="preserve">SEQ </w:instrText>
      </w:r>
      <w:r w:rsidRPr="00800D22">
        <w:rPr>
          <w:rFonts w:ascii="Times New Roman" w:eastAsia="新宋体" w:hAnsi="新宋体" w:cs="Times New Roman" w:hint="eastAsia"/>
          <w:sz w:val="21"/>
          <w:szCs w:val="21"/>
        </w:rPr>
        <w:instrText>图</w:instrText>
      </w:r>
      <w:r w:rsidRPr="00800D22">
        <w:rPr>
          <w:rFonts w:ascii="Times New Roman" w:eastAsia="新宋体" w:hAnsi="新宋体" w:cs="Times New Roman" w:hint="eastAsia"/>
          <w:sz w:val="21"/>
          <w:szCs w:val="21"/>
        </w:rPr>
        <w:instrText>10. \* ARABIC</w:instrText>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sz w:val="21"/>
          <w:szCs w:val="21"/>
        </w:rPr>
        <w:fldChar w:fldCharType="separate"/>
      </w:r>
      <w:r w:rsidRPr="00800D22">
        <w:rPr>
          <w:rFonts w:ascii="Times New Roman" w:eastAsia="新宋体" w:hAnsi="新宋体" w:cs="Times New Roman"/>
          <w:sz w:val="21"/>
          <w:szCs w:val="21"/>
        </w:rPr>
        <w:t>2</w:t>
      </w:r>
      <w:r w:rsidRPr="00800D22">
        <w:rPr>
          <w:rFonts w:ascii="Times New Roman" w:eastAsia="新宋体" w:hAnsi="新宋体" w:cs="Times New Roman"/>
          <w:sz w:val="21"/>
          <w:szCs w:val="21"/>
        </w:rPr>
        <w:fldChar w:fldCharType="end"/>
      </w:r>
      <w:r w:rsidRPr="00800D22">
        <w:rPr>
          <w:rFonts w:ascii="Times New Roman" w:eastAsia="新宋体" w:hAnsi="新宋体" w:cs="Times New Roman" w:hint="eastAsia"/>
          <w:sz w:val="21"/>
          <w:szCs w:val="21"/>
        </w:rPr>
        <w:t xml:space="preserve">  SBC</w:t>
      </w:r>
      <w:r w:rsidRPr="00800D22">
        <w:rPr>
          <w:rFonts w:ascii="Times New Roman" w:eastAsia="新宋体" w:hAnsi="新宋体" w:cs="Times New Roman" w:hint="eastAsia"/>
          <w:sz w:val="21"/>
          <w:szCs w:val="21"/>
        </w:rPr>
        <w:t>首次组织发行的</w:t>
      </w:r>
      <w:r w:rsidRPr="00800D22">
        <w:rPr>
          <w:rFonts w:ascii="Times New Roman" w:eastAsia="新宋体" w:hAnsi="新宋体" w:cs="Times New Roman" w:hint="eastAsia"/>
          <w:sz w:val="21"/>
          <w:szCs w:val="21"/>
        </w:rPr>
        <w:t>P-CBO</w:t>
      </w:r>
      <w:r w:rsidRPr="00800D22">
        <w:rPr>
          <w:rFonts w:ascii="Times New Roman" w:eastAsia="新宋体" w:hAnsi="新宋体" w:cs="Times New Roman" w:hint="eastAsia"/>
          <w:sz w:val="21"/>
          <w:szCs w:val="21"/>
        </w:rPr>
        <w:t>交易结构</w:t>
      </w:r>
      <w:bookmarkEnd w:id="11"/>
    </w:p>
    <w:p w14:paraId="69B86772" w14:textId="49B02672" w:rsidR="00995E2A" w:rsidRPr="00800D22" w:rsidRDefault="00995E2A" w:rsidP="00995E2A">
      <w:pPr>
        <w:autoSpaceDE w:val="0"/>
        <w:autoSpaceDN w:val="0"/>
        <w:adjustRightInd w:val="0"/>
        <w:jc w:val="center"/>
        <w:rPr>
          <w:rFonts w:hint="eastAsia"/>
          <w:sz w:val="18"/>
          <w:szCs w:val="18"/>
        </w:rPr>
      </w:pPr>
      <w:r w:rsidRPr="00800D22">
        <w:rPr>
          <w:rFonts w:hint="eastAsia"/>
          <w:szCs w:val="21"/>
        </w:rPr>
        <w:t xml:space="preserve">Figure 2  Exchange structure of P-CBO issued by </w:t>
      </w:r>
      <w:r w:rsidRPr="00800D22">
        <w:rPr>
          <w:szCs w:val="21"/>
        </w:rPr>
        <w:t>SBC</w:t>
      </w:r>
      <w:r w:rsidRPr="00800D22">
        <w:rPr>
          <w:rFonts w:hint="eastAsia"/>
          <w:szCs w:val="21"/>
        </w:rPr>
        <w:t xml:space="preserve"> for the first time</w:t>
      </w:r>
    </w:p>
    <w:p w14:paraId="626562B8" w14:textId="77777777" w:rsidR="00995E2A" w:rsidRPr="00800D22" w:rsidRDefault="00995E2A" w:rsidP="00995E2A">
      <w:pPr>
        <w:autoSpaceDE w:val="0"/>
        <w:autoSpaceDN w:val="0"/>
        <w:adjustRightInd w:val="0"/>
        <w:spacing w:afterLines="50" w:after="156"/>
        <w:ind w:firstLineChars="150" w:firstLine="270"/>
        <w:jc w:val="left"/>
        <w:rPr>
          <w:rFonts w:hint="eastAsia"/>
          <w:sz w:val="18"/>
          <w:szCs w:val="18"/>
        </w:rPr>
      </w:pPr>
      <w:r w:rsidRPr="00800D22">
        <w:rPr>
          <w:sz w:val="18"/>
          <w:szCs w:val="18"/>
        </w:rPr>
        <w:t>数据来源：</w:t>
      </w:r>
      <w:proofErr w:type="spellStart"/>
      <w:r w:rsidRPr="00800D22">
        <w:rPr>
          <w:rFonts w:eastAsia="新宋体"/>
          <w:kern w:val="0"/>
          <w:sz w:val="18"/>
          <w:szCs w:val="18"/>
        </w:rPr>
        <w:t>Gyutaeg</w:t>
      </w:r>
      <w:proofErr w:type="spellEnd"/>
      <w:r w:rsidRPr="00800D22">
        <w:rPr>
          <w:rFonts w:eastAsia="新宋体"/>
          <w:kern w:val="0"/>
          <w:sz w:val="18"/>
          <w:szCs w:val="18"/>
        </w:rPr>
        <w:t xml:space="preserve"> Oh. Experience of Newly Industrialized Economies in Securitization : Korea[J], Korea Fixed Income Research Institute,2005:1-58.</w:t>
      </w:r>
      <w:r w:rsidRPr="00800D22">
        <w:rPr>
          <w:sz w:val="18"/>
          <w:szCs w:val="18"/>
        </w:rPr>
        <w:t xml:space="preserve"> </w:t>
      </w:r>
    </w:p>
    <w:p w14:paraId="668912AB" w14:textId="77777777" w:rsidR="00995E2A" w:rsidRPr="00800D22" w:rsidRDefault="00995E2A" w:rsidP="00995E2A">
      <w:pPr>
        <w:widowControl/>
        <w:spacing w:line="440" w:lineRule="exact"/>
        <w:ind w:firstLineChars="228" w:firstLine="547"/>
        <w:rPr>
          <w:rFonts w:hint="eastAsia"/>
          <w:sz w:val="24"/>
        </w:rPr>
      </w:pPr>
      <w:r w:rsidRPr="00800D22">
        <w:rPr>
          <w:sz w:val="24"/>
        </w:rPr>
        <w:t>从上述交易</w:t>
      </w:r>
      <w:r w:rsidRPr="00800D22">
        <w:rPr>
          <w:rFonts w:hint="eastAsia"/>
          <w:sz w:val="24"/>
        </w:rPr>
        <w:t>结构</w:t>
      </w:r>
      <w:r w:rsidRPr="00800D22">
        <w:rPr>
          <w:sz w:val="24"/>
        </w:rPr>
        <w:t>可以看到：相对于银行借款</w:t>
      </w:r>
      <w:r w:rsidRPr="00800D22">
        <w:rPr>
          <w:rFonts w:hint="eastAsia"/>
          <w:sz w:val="24"/>
        </w:rPr>
        <w:t>和</w:t>
      </w:r>
      <w:r w:rsidRPr="00800D22">
        <w:rPr>
          <w:sz w:val="24"/>
        </w:rPr>
        <w:t>普通企业债券，</w:t>
      </w:r>
      <w:r w:rsidRPr="00800D22">
        <w:rPr>
          <w:sz w:val="24"/>
        </w:rPr>
        <w:t>P-CBO</w:t>
      </w:r>
      <w:r w:rsidRPr="00800D22">
        <w:rPr>
          <w:sz w:val="24"/>
        </w:rPr>
        <w:t>作为一种新型的中小企业融资工具，具有以下明显的优势：</w:t>
      </w:r>
      <w:r w:rsidRPr="00800D22">
        <w:rPr>
          <w:rFonts w:hint="eastAsia"/>
          <w:sz w:val="24"/>
        </w:rPr>
        <w:t>①</w:t>
      </w:r>
      <w:r w:rsidRPr="00800D22">
        <w:rPr>
          <w:sz w:val="24"/>
        </w:rPr>
        <w:t>P-CBO</w:t>
      </w:r>
      <w:r w:rsidRPr="00800D22">
        <w:rPr>
          <w:sz w:val="24"/>
        </w:rPr>
        <w:t>以资产证券化技术将多家中小企业发行的公司债券重新打包分层，以优先层债券和次级层债券等多个不同风险水平的债券类型重新配置风险和收益，满足了投资者的风险偏好，解决了中小企业信用等级低而投资者要求高的信用不匹配矛盾，从而保证了中小企业在信用等级不高的情况下顺利实施债券融资。</w:t>
      </w:r>
      <w:r w:rsidRPr="00800D22">
        <w:rPr>
          <w:rFonts w:hint="eastAsia"/>
          <w:sz w:val="24"/>
        </w:rPr>
        <w:t>②</w:t>
      </w:r>
      <w:r w:rsidRPr="00800D22">
        <w:rPr>
          <w:sz w:val="24"/>
        </w:rPr>
        <w:t>P-CBO</w:t>
      </w:r>
      <w:r w:rsidRPr="00800D22">
        <w:rPr>
          <w:sz w:val="24"/>
        </w:rPr>
        <w:t>降低了中小企业的发债成本，在上述案例中，</w:t>
      </w:r>
      <w:r w:rsidRPr="00800D22">
        <w:rPr>
          <w:sz w:val="24"/>
        </w:rPr>
        <w:t>23</w:t>
      </w:r>
      <w:r w:rsidRPr="00800D22">
        <w:rPr>
          <w:sz w:val="24"/>
        </w:rPr>
        <w:t>家中小企业的平均信用等级仅为</w:t>
      </w:r>
      <w:r w:rsidRPr="00800D22">
        <w:rPr>
          <w:sz w:val="24"/>
        </w:rPr>
        <w:t>BB</w:t>
      </w:r>
      <w:r w:rsidRPr="00800D22">
        <w:rPr>
          <w:sz w:val="24"/>
        </w:rPr>
        <w:t>，所发行的债券也只能属于垃圾债券，即使能直接向投资者发行，投资者也会要求较高的利率；而采用</w:t>
      </w:r>
      <w:r w:rsidRPr="00800D22">
        <w:rPr>
          <w:sz w:val="24"/>
        </w:rPr>
        <w:t>P-CBO</w:t>
      </w:r>
      <w:r w:rsidRPr="00800D22">
        <w:rPr>
          <w:sz w:val="24"/>
        </w:rPr>
        <w:t>后，这些债券的</w:t>
      </w:r>
      <w:r w:rsidRPr="00800D22">
        <w:rPr>
          <w:sz w:val="24"/>
        </w:rPr>
        <w:t>62%</w:t>
      </w:r>
      <w:r w:rsidRPr="00800D22">
        <w:rPr>
          <w:sz w:val="24"/>
        </w:rPr>
        <w:t>（发行金额）成了投资级债券，发行利率较垃圾债券低。</w:t>
      </w:r>
      <w:r w:rsidRPr="00800D22">
        <w:rPr>
          <w:rFonts w:hint="eastAsia"/>
          <w:sz w:val="24"/>
        </w:rPr>
        <w:t>③</w:t>
      </w:r>
      <w:r w:rsidRPr="00800D22">
        <w:rPr>
          <w:sz w:val="24"/>
        </w:rPr>
        <w:t>从上述案例可以看到，</w:t>
      </w:r>
      <w:r w:rsidRPr="00800D22">
        <w:rPr>
          <w:sz w:val="24"/>
        </w:rPr>
        <w:t>SBC</w:t>
      </w:r>
      <w:r w:rsidRPr="00800D22">
        <w:rPr>
          <w:sz w:val="24"/>
        </w:rPr>
        <w:t>仅利用</w:t>
      </w:r>
      <w:r w:rsidRPr="00800D22">
        <w:rPr>
          <w:sz w:val="24"/>
        </w:rPr>
        <w:t>275</w:t>
      </w:r>
      <w:r w:rsidRPr="00800D22">
        <w:rPr>
          <w:sz w:val="24"/>
        </w:rPr>
        <w:t>亿韩元就为</w:t>
      </w:r>
      <w:r w:rsidRPr="00800D22">
        <w:rPr>
          <w:sz w:val="24"/>
        </w:rPr>
        <w:t>23</w:t>
      </w:r>
      <w:r w:rsidRPr="00800D22">
        <w:rPr>
          <w:sz w:val="24"/>
        </w:rPr>
        <w:t>家中小企业创造了</w:t>
      </w:r>
      <w:r w:rsidRPr="00800D22">
        <w:rPr>
          <w:sz w:val="24"/>
        </w:rPr>
        <w:t>720</w:t>
      </w:r>
      <w:r w:rsidRPr="00800D22">
        <w:rPr>
          <w:sz w:val="24"/>
        </w:rPr>
        <w:t>亿韩元的融资，杠杆效应高达</w:t>
      </w:r>
      <w:r w:rsidRPr="00800D22">
        <w:rPr>
          <w:sz w:val="24"/>
        </w:rPr>
        <w:t>2.6</w:t>
      </w:r>
      <w:r w:rsidRPr="00800D22">
        <w:rPr>
          <w:sz w:val="24"/>
        </w:rPr>
        <w:t>倍，</w:t>
      </w:r>
      <w:r w:rsidRPr="00800D22">
        <w:rPr>
          <w:sz w:val="24"/>
        </w:rPr>
        <w:t>P-CBO</w:t>
      </w:r>
      <w:r w:rsidRPr="00800D22">
        <w:rPr>
          <w:sz w:val="24"/>
        </w:rPr>
        <w:t>提升了政府机构支持中小企业融资的成效。由于上述优势，</w:t>
      </w:r>
      <w:r w:rsidRPr="00800D22">
        <w:rPr>
          <w:sz w:val="24"/>
        </w:rPr>
        <w:t>P-CBO</w:t>
      </w:r>
      <w:r w:rsidRPr="00800D22">
        <w:rPr>
          <w:sz w:val="24"/>
        </w:rPr>
        <w:t>迅速被韩国广大中小企业所采用。</w:t>
      </w:r>
    </w:p>
    <w:p w14:paraId="339E248E" w14:textId="7601DFC1" w:rsidR="00995E2A" w:rsidRPr="00800D22" w:rsidRDefault="00995E2A" w:rsidP="00995E2A">
      <w:pPr>
        <w:pStyle w:val="3"/>
        <w:adjustRightInd w:val="0"/>
        <w:spacing w:beforeLines="50" w:before="156" w:afterLines="50" w:after="156" w:line="440" w:lineRule="exact"/>
        <w:ind w:firstLineChars="200" w:firstLine="562"/>
        <w:jc w:val="left"/>
        <w:rPr>
          <w:rFonts w:ascii="黑体" w:eastAsia="黑体"/>
          <w:b/>
          <w:sz w:val="28"/>
          <w:szCs w:val="28"/>
        </w:rPr>
      </w:pPr>
      <w:bookmarkStart w:id="12" w:name="_Toc215459483"/>
      <w:bookmarkStart w:id="13" w:name="_Toc238701526"/>
      <w:bookmarkStart w:id="14" w:name="_Toc239689292"/>
      <w:bookmarkStart w:id="15" w:name="_Toc256506334"/>
      <w:r>
        <w:rPr>
          <w:rFonts w:ascii="黑体" w:eastAsia="黑体" w:hint="eastAsia"/>
          <w:b/>
          <w:sz w:val="28"/>
          <w:szCs w:val="28"/>
        </w:rPr>
        <w:t>三、</w:t>
      </w:r>
      <w:r w:rsidRPr="00800D22">
        <w:rPr>
          <w:rFonts w:ascii="黑体" w:eastAsia="黑体"/>
          <w:b/>
          <w:sz w:val="28"/>
          <w:szCs w:val="28"/>
        </w:rPr>
        <w:t>P-CBO的增信机制</w:t>
      </w:r>
      <w:bookmarkEnd w:id="12"/>
      <w:bookmarkEnd w:id="13"/>
      <w:bookmarkEnd w:id="14"/>
      <w:bookmarkEnd w:id="15"/>
    </w:p>
    <w:p w14:paraId="54ED2DC8" w14:textId="77777777" w:rsidR="00995E2A" w:rsidRPr="00800D22" w:rsidRDefault="00995E2A" w:rsidP="00995E2A">
      <w:pPr>
        <w:autoSpaceDE w:val="0"/>
        <w:autoSpaceDN w:val="0"/>
        <w:adjustRightInd w:val="0"/>
        <w:spacing w:line="440" w:lineRule="exact"/>
        <w:ind w:firstLineChars="200" w:firstLine="480"/>
        <w:jc w:val="left"/>
        <w:rPr>
          <w:sz w:val="24"/>
        </w:rPr>
      </w:pPr>
      <w:r w:rsidRPr="00800D22">
        <w:rPr>
          <w:sz w:val="24"/>
        </w:rPr>
        <w:t>从</w:t>
      </w:r>
      <w:r w:rsidRPr="00800D22">
        <w:rPr>
          <w:sz w:val="24"/>
        </w:rPr>
        <w:t>SBC</w:t>
      </w:r>
      <w:r w:rsidRPr="00800D22">
        <w:rPr>
          <w:sz w:val="24"/>
        </w:rPr>
        <w:t>首次组织发行的</w:t>
      </w:r>
      <w:r w:rsidRPr="00800D22">
        <w:rPr>
          <w:sz w:val="24"/>
        </w:rPr>
        <w:t>P-CBO</w:t>
      </w:r>
      <w:r w:rsidRPr="00800D22">
        <w:rPr>
          <w:sz w:val="24"/>
        </w:rPr>
        <w:t>可以看到，</w:t>
      </w:r>
      <w:r w:rsidRPr="00800D22">
        <w:rPr>
          <w:sz w:val="24"/>
        </w:rPr>
        <w:t>P-CBO</w:t>
      </w:r>
      <w:r w:rsidRPr="00800D22">
        <w:rPr>
          <w:sz w:val="24"/>
        </w:rPr>
        <w:t>主要通过对优先层和次级层投资者本息支付的次序实现内部增信，优先层债券投资者在增</w:t>
      </w:r>
      <w:proofErr w:type="gramStart"/>
      <w:r w:rsidRPr="00800D22">
        <w:rPr>
          <w:sz w:val="24"/>
        </w:rPr>
        <w:t>信意义</w:t>
      </w:r>
      <w:proofErr w:type="gramEnd"/>
      <w:r w:rsidRPr="00800D22">
        <w:rPr>
          <w:sz w:val="24"/>
        </w:rPr>
        <w:t>上受益于次级层的投资者。下面</w:t>
      </w:r>
      <w:r w:rsidRPr="00800D22">
        <w:rPr>
          <w:rFonts w:hint="eastAsia"/>
          <w:sz w:val="24"/>
        </w:rPr>
        <w:t>笔者</w:t>
      </w:r>
      <w:r w:rsidRPr="00800D22">
        <w:rPr>
          <w:sz w:val="24"/>
        </w:rPr>
        <w:t>建立模型，测算</w:t>
      </w:r>
      <w:r w:rsidRPr="00800D22">
        <w:rPr>
          <w:sz w:val="24"/>
        </w:rPr>
        <w:t>P-CBO</w:t>
      </w:r>
      <w:r w:rsidRPr="00800D22">
        <w:rPr>
          <w:sz w:val="24"/>
        </w:rPr>
        <w:t>债券层的期望损失率，具体分析</w:t>
      </w:r>
      <w:r w:rsidRPr="00800D22">
        <w:rPr>
          <w:sz w:val="24"/>
        </w:rPr>
        <w:t>P-CBO</w:t>
      </w:r>
      <w:r w:rsidRPr="00800D22">
        <w:rPr>
          <w:sz w:val="24"/>
        </w:rPr>
        <w:t>分层结构的作用，以考察</w:t>
      </w:r>
      <w:r w:rsidRPr="00800D22">
        <w:rPr>
          <w:sz w:val="24"/>
        </w:rPr>
        <w:t>P-CBO</w:t>
      </w:r>
      <w:r w:rsidRPr="00800D22">
        <w:rPr>
          <w:sz w:val="24"/>
        </w:rPr>
        <w:t>的增信机制。</w:t>
      </w:r>
    </w:p>
    <w:p w14:paraId="2A023576" w14:textId="77777777" w:rsidR="00995E2A" w:rsidRPr="00800D22" w:rsidRDefault="00995E2A" w:rsidP="00995E2A">
      <w:pPr>
        <w:autoSpaceDE w:val="0"/>
        <w:autoSpaceDN w:val="0"/>
        <w:adjustRightInd w:val="0"/>
        <w:spacing w:line="440" w:lineRule="exact"/>
        <w:ind w:firstLineChars="200" w:firstLine="480"/>
        <w:jc w:val="left"/>
        <w:rPr>
          <w:sz w:val="24"/>
        </w:rPr>
      </w:pPr>
      <w:r w:rsidRPr="00800D22">
        <w:rPr>
          <w:sz w:val="24"/>
        </w:rPr>
        <w:t>为简单起见，假设有</w:t>
      </w:r>
      <w:r w:rsidRPr="00800D22">
        <w:rPr>
          <w:sz w:val="24"/>
        </w:rPr>
        <w:object w:dxaOrig="279" w:dyaOrig="279" w14:anchorId="567FD117">
          <v:shape id="_x0000_i1027" type="#_x0000_t75" style="width:14.05pt;height:14.05pt" o:ole="">
            <v:imagedata r:id="rId7" o:title=""/>
          </v:shape>
          <o:OLEObject Type="Embed" ProgID="Equation.DSMT4" ShapeID="_x0000_i1027" DrawAspect="Content" ObjectID="_1822572186" r:id="rId8"/>
        </w:object>
      </w:r>
      <w:r w:rsidRPr="00800D22">
        <w:rPr>
          <w:sz w:val="24"/>
        </w:rPr>
        <w:t>家企业联合参与</w:t>
      </w:r>
      <w:r w:rsidRPr="00800D22">
        <w:rPr>
          <w:sz w:val="24"/>
        </w:rPr>
        <w:t>P-CBO</w:t>
      </w:r>
      <w:r w:rsidRPr="00800D22">
        <w:rPr>
          <w:sz w:val="24"/>
        </w:rPr>
        <w:t>，债券期限为</w:t>
      </w:r>
      <w:r w:rsidRPr="00800D22">
        <w:rPr>
          <w:sz w:val="24"/>
        </w:rPr>
        <w:object w:dxaOrig="220" w:dyaOrig="260" w14:anchorId="00854124">
          <v:shape id="_x0000_i1028" type="#_x0000_t75" style="width:11.2pt;height:13.1pt" o:ole="">
            <v:imagedata r:id="rId9" o:title=""/>
          </v:shape>
          <o:OLEObject Type="Embed" ProgID="Equation.DSMT4" ShapeID="_x0000_i1028" DrawAspect="Content" ObjectID="_1822572187" r:id="rId10"/>
        </w:object>
      </w:r>
      <w:r w:rsidRPr="00800D22">
        <w:rPr>
          <w:sz w:val="24"/>
        </w:rPr>
        <w:t>年</w:t>
      </w:r>
      <w:r w:rsidRPr="00800D22">
        <w:rPr>
          <w:rFonts w:hint="eastAsia"/>
          <w:sz w:val="24"/>
        </w:rPr>
        <w:t>，</w:t>
      </w:r>
      <w:r w:rsidRPr="00800D22">
        <w:rPr>
          <w:sz w:val="24"/>
        </w:rPr>
        <w:t>在债券期限内，各企业违约概率均为</w:t>
      </w:r>
      <w:r w:rsidRPr="00800D22">
        <w:rPr>
          <w:sz w:val="24"/>
        </w:rPr>
        <w:object w:dxaOrig="400" w:dyaOrig="260" w14:anchorId="1320B721">
          <v:shape id="_x0000_i1029" type="#_x0000_t75" style="width:19.65pt;height:13.1pt" o:ole="">
            <v:imagedata r:id="rId11" o:title=""/>
          </v:shape>
          <o:OLEObject Type="Embed" ProgID="Equation.DSMT4" ShapeID="_x0000_i1029" DrawAspect="Content" ObjectID="_1822572188" r:id="rId12"/>
        </w:object>
      </w:r>
      <w:r w:rsidRPr="00800D22">
        <w:rPr>
          <w:rFonts w:hint="eastAsia"/>
          <w:sz w:val="24"/>
        </w:rPr>
        <w:t>，</w:t>
      </w:r>
      <w:r w:rsidRPr="00800D22">
        <w:rPr>
          <w:sz w:val="24"/>
        </w:rPr>
        <w:t>且各企业之间的违约相关系数为</w:t>
      </w:r>
      <w:r w:rsidRPr="00800D22">
        <w:rPr>
          <w:sz w:val="24"/>
        </w:rPr>
        <w:t>0</w:t>
      </w:r>
      <w:r w:rsidRPr="00800D22">
        <w:rPr>
          <w:sz w:val="24"/>
        </w:rPr>
        <w:t>，即各企业违约互不影响，在上述假设下，根据二项分布，可以得出</w:t>
      </w:r>
      <w:r w:rsidRPr="00800D22">
        <w:rPr>
          <w:sz w:val="24"/>
        </w:rPr>
        <w:object w:dxaOrig="220" w:dyaOrig="260" w14:anchorId="691E378A">
          <v:shape id="_x0000_i1030" type="#_x0000_t75" style="width:11.2pt;height:13.1pt" o:ole="">
            <v:imagedata r:id="rId9" o:title=""/>
          </v:shape>
          <o:OLEObject Type="Embed" ProgID="Equation.DSMT4" ShapeID="_x0000_i1030" DrawAspect="Content" ObjectID="_1822572189" r:id="rId13"/>
        </w:object>
      </w:r>
      <w:r w:rsidRPr="00800D22">
        <w:rPr>
          <w:sz w:val="24"/>
        </w:rPr>
        <w:t>年内出现</w:t>
      </w:r>
      <w:r w:rsidRPr="00800D22">
        <w:rPr>
          <w:sz w:val="24"/>
        </w:rPr>
        <w:object w:dxaOrig="200" w:dyaOrig="300" w14:anchorId="4745AA92">
          <v:shape id="_x0000_i1031" type="#_x0000_t75" style="width:10.3pt;height:14.95pt" o:ole="">
            <v:imagedata r:id="rId14" o:title=""/>
          </v:shape>
          <o:OLEObject Type="Embed" ProgID="Equation.DSMT4" ShapeID="_x0000_i1031" DrawAspect="Content" ObjectID="_1822572190" r:id="rId15"/>
        </w:object>
      </w:r>
      <w:r w:rsidRPr="00800D22">
        <w:rPr>
          <w:sz w:val="24"/>
        </w:rPr>
        <w:t>家企业违约情景的概率</w:t>
      </w:r>
      <w:r w:rsidRPr="00800D22">
        <w:rPr>
          <w:sz w:val="24"/>
        </w:rPr>
        <w:object w:dxaOrig="260" w:dyaOrig="380" w14:anchorId="56AD87BE">
          <v:shape id="_x0000_i1032" type="#_x0000_t75" style="width:13.1pt;height:18.7pt" o:ole="">
            <v:imagedata r:id="rId16" o:title=""/>
          </v:shape>
          <o:OLEObject Type="Embed" ProgID="Equation.DSMT4" ShapeID="_x0000_i1032" DrawAspect="Content" ObjectID="_1822572191" r:id="rId17"/>
        </w:object>
      </w:r>
      <w:r w:rsidRPr="00800D22">
        <w:rPr>
          <w:sz w:val="24"/>
        </w:rPr>
        <w:t>为：</w:t>
      </w:r>
    </w:p>
    <w:p w14:paraId="31C9C79C" w14:textId="77777777" w:rsidR="00995E2A" w:rsidRPr="00800D22" w:rsidRDefault="00995E2A" w:rsidP="00995E2A">
      <w:pPr>
        <w:wordWrap w:val="0"/>
        <w:spacing w:line="360" w:lineRule="auto"/>
        <w:ind w:firstLineChars="200" w:firstLine="480"/>
        <w:jc w:val="right"/>
      </w:pPr>
      <w:r w:rsidRPr="00800D22">
        <w:rPr>
          <w:position w:val="-28"/>
          <w:sz w:val="24"/>
        </w:rPr>
        <w:object w:dxaOrig="3379" w:dyaOrig="660" w14:anchorId="5A3D62A8">
          <v:shape id="_x0000_i1033" type="#_x0000_t75" style="width:162.7pt;height:31.8pt" o:ole="">
            <v:imagedata r:id="rId18" o:title=""/>
          </v:shape>
          <o:OLEObject Type="Embed" ProgID="Equation.3" ShapeID="_x0000_i1033" DrawAspect="Content" ObjectID="_1822572192" r:id="rId19"/>
        </w:object>
      </w:r>
      <w:r w:rsidRPr="00800D22">
        <w:rPr>
          <w:sz w:val="24"/>
        </w:rPr>
        <w:t xml:space="preserve">       </w:t>
      </w:r>
      <w:r w:rsidRPr="00800D22">
        <w:rPr>
          <w:rFonts w:hint="eastAsia"/>
          <w:sz w:val="24"/>
        </w:rPr>
        <w:t xml:space="preserve"> </w:t>
      </w:r>
      <w:r w:rsidRPr="00800D22">
        <w:rPr>
          <w:sz w:val="24"/>
        </w:rPr>
        <w:t xml:space="preserve">   </w:t>
      </w:r>
      <w:r w:rsidRPr="00800D22">
        <w:rPr>
          <w:rFonts w:hint="eastAsia"/>
          <w:sz w:val="24"/>
        </w:rPr>
        <w:t xml:space="preserve">   </w:t>
      </w:r>
      <w:r w:rsidRPr="00800D22">
        <w:rPr>
          <w:sz w:val="24"/>
        </w:rPr>
        <w:t xml:space="preserve"> </w:t>
      </w:r>
      <w:r w:rsidRPr="00800D22">
        <w:rPr>
          <w:sz w:val="24"/>
        </w:rPr>
        <w:t>（</w:t>
      </w:r>
      <w:r w:rsidRPr="00800D22">
        <w:rPr>
          <w:rFonts w:hint="eastAsia"/>
          <w:sz w:val="24"/>
        </w:rPr>
        <w:t>10</w:t>
      </w:r>
      <w:r w:rsidRPr="00800D22">
        <w:rPr>
          <w:sz w:val="24"/>
        </w:rPr>
        <w:t>.1</w:t>
      </w:r>
      <w:r w:rsidRPr="00800D22">
        <w:rPr>
          <w:sz w:val="24"/>
        </w:rPr>
        <w:t>）</w:t>
      </w:r>
    </w:p>
    <w:p w14:paraId="24FB7A0D" w14:textId="77777777" w:rsidR="00995E2A" w:rsidRPr="00800D22" w:rsidRDefault="00995E2A" w:rsidP="00995E2A">
      <w:pPr>
        <w:autoSpaceDE w:val="0"/>
        <w:autoSpaceDN w:val="0"/>
        <w:adjustRightInd w:val="0"/>
        <w:spacing w:line="440" w:lineRule="exact"/>
        <w:ind w:firstLineChars="200" w:firstLine="480"/>
        <w:jc w:val="left"/>
        <w:rPr>
          <w:sz w:val="24"/>
        </w:rPr>
      </w:pPr>
      <w:r w:rsidRPr="00800D22">
        <w:rPr>
          <w:sz w:val="24"/>
        </w:rPr>
        <w:t>为计算各</w:t>
      </w:r>
      <w:r w:rsidRPr="00800D22">
        <w:rPr>
          <w:sz w:val="24"/>
        </w:rPr>
        <w:t>P-CBO</w:t>
      </w:r>
      <w:r w:rsidRPr="00800D22">
        <w:rPr>
          <w:sz w:val="24"/>
        </w:rPr>
        <w:t>债券层的期望损失，须计算出各违约情景下，各债券投资者的损失。通常，在违约次数一定的情况下，违约所发生的时间就会对</w:t>
      </w:r>
      <w:r w:rsidRPr="00800D22">
        <w:rPr>
          <w:sz w:val="24"/>
        </w:rPr>
        <w:t>P-CBO</w:t>
      </w:r>
      <w:r w:rsidRPr="00800D22">
        <w:rPr>
          <w:sz w:val="24"/>
        </w:rPr>
        <w:t>各层债券的现金</w:t>
      </w:r>
      <w:proofErr w:type="gramStart"/>
      <w:r w:rsidRPr="00800D22">
        <w:rPr>
          <w:sz w:val="24"/>
        </w:rPr>
        <w:t>流带来</w:t>
      </w:r>
      <w:proofErr w:type="gramEnd"/>
      <w:r w:rsidRPr="00800D22">
        <w:rPr>
          <w:sz w:val="24"/>
        </w:rPr>
        <w:t>一定的不确定性。因此，为确定某违约情景下某</w:t>
      </w:r>
      <w:r w:rsidRPr="00800D22">
        <w:rPr>
          <w:sz w:val="24"/>
        </w:rPr>
        <w:t>P-CBO</w:t>
      </w:r>
      <w:r w:rsidRPr="00800D22">
        <w:rPr>
          <w:sz w:val="24"/>
        </w:rPr>
        <w:t>债券层的损失，就必须确定违约发生的时间，从而确定该</w:t>
      </w:r>
      <w:r w:rsidRPr="00800D22">
        <w:rPr>
          <w:sz w:val="24"/>
        </w:rPr>
        <w:t>P-CBO</w:t>
      </w:r>
      <w:r w:rsidRPr="00800D22">
        <w:rPr>
          <w:sz w:val="24"/>
        </w:rPr>
        <w:t>债券层在该违约情景下的现金流情况。一般假设违约在发生时间方面服从一定的比例，且主要发生在第一年。例如：假设债券期限为</w:t>
      </w:r>
      <w:r w:rsidRPr="00800D22">
        <w:rPr>
          <w:sz w:val="24"/>
        </w:rPr>
        <w:t>6</w:t>
      </w:r>
      <w:r w:rsidRPr="00800D22">
        <w:rPr>
          <w:sz w:val="24"/>
        </w:rPr>
        <w:t>年，每一年违约发生次数的比例可</w:t>
      </w:r>
      <w:r w:rsidRPr="00800D22">
        <w:rPr>
          <w:rFonts w:hint="eastAsia"/>
          <w:sz w:val="24"/>
        </w:rPr>
        <w:t>分别</w:t>
      </w:r>
      <w:r w:rsidRPr="00800D22">
        <w:rPr>
          <w:sz w:val="24"/>
        </w:rPr>
        <w:t>设为</w:t>
      </w:r>
      <w:r w:rsidRPr="00800D22">
        <w:rPr>
          <w:sz w:val="24"/>
        </w:rPr>
        <w:t>50</w:t>
      </w:r>
      <w:r w:rsidRPr="00800D22">
        <w:rPr>
          <w:sz w:val="24"/>
        </w:rPr>
        <w:t>％</w:t>
      </w:r>
      <w:r w:rsidRPr="00800D22">
        <w:rPr>
          <w:rFonts w:hint="eastAsia"/>
          <w:sz w:val="24"/>
        </w:rPr>
        <w:t>、</w:t>
      </w:r>
      <w:r w:rsidRPr="00800D22">
        <w:rPr>
          <w:sz w:val="24"/>
        </w:rPr>
        <w:t>10</w:t>
      </w:r>
      <w:r w:rsidRPr="00800D22">
        <w:rPr>
          <w:sz w:val="24"/>
        </w:rPr>
        <w:t>％</w:t>
      </w:r>
      <w:r w:rsidRPr="00800D22">
        <w:rPr>
          <w:rFonts w:hint="eastAsia"/>
          <w:sz w:val="24"/>
        </w:rPr>
        <w:t>、</w:t>
      </w:r>
      <w:r w:rsidRPr="00800D22">
        <w:rPr>
          <w:sz w:val="24"/>
        </w:rPr>
        <w:t>10</w:t>
      </w:r>
      <w:r w:rsidRPr="00800D22">
        <w:rPr>
          <w:sz w:val="24"/>
        </w:rPr>
        <w:t>％</w:t>
      </w:r>
      <w:r w:rsidRPr="00800D22">
        <w:rPr>
          <w:rFonts w:hint="eastAsia"/>
          <w:sz w:val="24"/>
        </w:rPr>
        <w:t>、</w:t>
      </w:r>
      <w:r w:rsidRPr="00800D22">
        <w:rPr>
          <w:sz w:val="24"/>
        </w:rPr>
        <w:t>10</w:t>
      </w:r>
      <w:r w:rsidRPr="00800D22">
        <w:rPr>
          <w:sz w:val="24"/>
        </w:rPr>
        <w:t>％</w:t>
      </w:r>
      <w:r w:rsidRPr="00800D22">
        <w:rPr>
          <w:rFonts w:hint="eastAsia"/>
          <w:sz w:val="24"/>
        </w:rPr>
        <w:t>、</w:t>
      </w:r>
      <w:r w:rsidRPr="00800D22">
        <w:rPr>
          <w:sz w:val="24"/>
        </w:rPr>
        <w:t>10</w:t>
      </w:r>
      <w:r w:rsidRPr="00800D22">
        <w:rPr>
          <w:sz w:val="24"/>
        </w:rPr>
        <w:t>％</w:t>
      </w:r>
      <w:r w:rsidRPr="00800D22">
        <w:rPr>
          <w:rFonts w:hint="eastAsia"/>
          <w:sz w:val="24"/>
        </w:rPr>
        <w:t>和</w:t>
      </w:r>
      <w:r w:rsidRPr="00800D22">
        <w:rPr>
          <w:sz w:val="24"/>
        </w:rPr>
        <w:t>10</w:t>
      </w:r>
      <w:r w:rsidRPr="00800D22">
        <w:rPr>
          <w:sz w:val="24"/>
        </w:rPr>
        <w:t>％，若有</w:t>
      </w:r>
      <w:r w:rsidRPr="00800D22">
        <w:rPr>
          <w:sz w:val="24"/>
        </w:rPr>
        <w:t>10</w:t>
      </w:r>
      <w:r w:rsidRPr="00800D22">
        <w:rPr>
          <w:sz w:val="24"/>
        </w:rPr>
        <w:t>家企业违约，这就意味着第一年有</w:t>
      </w:r>
      <w:r w:rsidRPr="00800D22">
        <w:rPr>
          <w:sz w:val="24"/>
        </w:rPr>
        <w:t>5</w:t>
      </w:r>
      <w:r w:rsidRPr="00800D22">
        <w:rPr>
          <w:sz w:val="24"/>
        </w:rPr>
        <w:t>家企业发生违约，以后每年各有一家违约。根据企业的违约情况及企业违约后投资者能够回收本金的比例</w:t>
      </w:r>
      <w:r w:rsidRPr="00800D22">
        <w:rPr>
          <w:rFonts w:hint="eastAsia"/>
          <w:sz w:val="24"/>
        </w:rPr>
        <w:t>RR</w:t>
      </w:r>
      <w:r w:rsidRPr="00800D22">
        <w:rPr>
          <w:rFonts w:hint="eastAsia"/>
          <w:sz w:val="24"/>
        </w:rPr>
        <w:t>（</w:t>
      </w:r>
      <w:r w:rsidRPr="00800D22">
        <w:rPr>
          <w:rFonts w:hint="eastAsia"/>
          <w:sz w:val="24"/>
        </w:rPr>
        <w:t>R</w:t>
      </w:r>
      <w:r w:rsidRPr="00800D22">
        <w:rPr>
          <w:sz w:val="24"/>
        </w:rPr>
        <w:t xml:space="preserve">ecovery </w:t>
      </w:r>
      <w:r w:rsidRPr="00800D22">
        <w:rPr>
          <w:rFonts w:hint="eastAsia"/>
          <w:sz w:val="24"/>
        </w:rPr>
        <w:t>R</w:t>
      </w:r>
      <w:r w:rsidRPr="00800D22">
        <w:rPr>
          <w:sz w:val="24"/>
        </w:rPr>
        <w:t>ate</w:t>
      </w:r>
      <w:r w:rsidRPr="00800D22">
        <w:rPr>
          <w:rFonts w:hint="eastAsia"/>
          <w:sz w:val="24"/>
        </w:rPr>
        <w:t>）</w:t>
      </w:r>
      <w:r w:rsidRPr="00800D22">
        <w:rPr>
          <w:sz w:val="24"/>
        </w:rPr>
        <w:t>，可以得到该情景下该</w:t>
      </w:r>
      <w:r w:rsidRPr="00800D22">
        <w:rPr>
          <w:sz w:val="24"/>
        </w:rPr>
        <w:t>P-CBO</w:t>
      </w:r>
      <w:r w:rsidRPr="00800D22">
        <w:rPr>
          <w:sz w:val="24"/>
        </w:rPr>
        <w:t>债券层的未来现金流情况。以</w:t>
      </w:r>
      <w:r w:rsidRPr="00800D22">
        <w:rPr>
          <w:sz w:val="24"/>
        </w:rPr>
        <w:object w:dxaOrig="580" w:dyaOrig="279" w14:anchorId="7FFEB0AD">
          <v:shape id="_x0000_i1034" type="#_x0000_t75" style="width:29pt;height:14.05pt" o:ole="">
            <v:imagedata r:id="rId20" o:title=""/>
          </v:shape>
          <o:OLEObject Type="Embed" ProgID="Equation.DSMT4" ShapeID="_x0000_i1034" DrawAspect="Content" ObjectID="_1822572193" r:id="rId21"/>
        </w:object>
      </w:r>
      <w:r w:rsidRPr="00800D22">
        <w:rPr>
          <w:sz w:val="24"/>
        </w:rPr>
        <w:t>表示这些未来现金流的现值，</w:t>
      </w:r>
      <w:r w:rsidRPr="00800D22">
        <w:rPr>
          <w:sz w:val="24"/>
        </w:rPr>
        <w:object w:dxaOrig="260" w:dyaOrig="260" w14:anchorId="68CCE165">
          <v:shape id="_x0000_i1035" type="#_x0000_t75" style="width:13.1pt;height:13.1pt" o:ole="">
            <v:imagedata r:id="rId22" o:title=""/>
          </v:shape>
          <o:OLEObject Type="Embed" ProgID="Equation.DSMT4" ShapeID="_x0000_i1035" DrawAspect="Content" ObjectID="_1822572194" r:id="rId23"/>
        </w:object>
      </w:r>
      <w:r w:rsidRPr="00800D22">
        <w:rPr>
          <w:sz w:val="24"/>
        </w:rPr>
        <w:t>表示该</w:t>
      </w:r>
      <w:r w:rsidRPr="00800D22">
        <w:rPr>
          <w:sz w:val="24"/>
        </w:rPr>
        <w:t>P-CBO</w:t>
      </w:r>
      <w:r w:rsidRPr="00800D22">
        <w:rPr>
          <w:sz w:val="24"/>
        </w:rPr>
        <w:t>债券层的面值总额，那么在</w:t>
      </w:r>
      <w:r w:rsidRPr="00800D22">
        <w:rPr>
          <w:sz w:val="24"/>
        </w:rPr>
        <w:t>j</w:t>
      </w:r>
      <w:r w:rsidRPr="00800D22">
        <w:rPr>
          <w:sz w:val="24"/>
        </w:rPr>
        <w:t>家企业违约的情景下，该</w:t>
      </w:r>
      <w:r w:rsidRPr="00800D22">
        <w:rPr>
          <w:sz w:val="24"/>
        </w:rPr>
        <w:t>P-CBO</w:t>
      </w:r>
      <w:r w:rsidRPr="00800D22">
        <w:rPr>
          <w:sz w:val="24"/>
        </w:rPr>
        <w:t>债券层的损失率</w:t>
      </w:r>
      <w:r w:rsidRPr="00800D22">
        <w:rPr>
          <w:sz w:val="24"/>
        </w:rPr>
        <w:object w:dxaOrig="300" w:dyaOrig="320" w14:anchorId="16EFC5F9">
          <v:shape id="_x0000_i1036" type="#_x0000_t75" style="width:14.95pt;height:15.9pt" o:ole="">
            <v:imagedata r:id="rId24" o:title=""/>
          </v:shape>
          <o:OLEObject Type="Embed" ProgID="Equation.3" ShapeID="_x0000_i1036" DrawAspect="Content" ObjectID="_1822572195" r:id="rId25"/>
        </w:object>
      </w:r>
      <w:r w:rsidRPr="00800D22">
        <w:rPr>
          <w:sz w:val="24"/>
        </w:rPr>
        <w:t>就为</w:t>
      </w:r>
    </w:p>
    <w:p w14:paraId="5E85F80C" w14:textId="77777777" w:rsidR="00995E2A" w:rsidRPr="00800D22" w:rsidRDefault="00995E2A" w:rsidP="00995E2A">
      <w:pPr>
        <w:wordWrap w:val="0"/>
        <w:spacing w:line="360" w:lineRule="auto"/>
        <w:jc w:val="right"/>
        <w:rPr>
          <w:sz w:val="24"/>
        </w:rPr>
      </w:pPr>
      <w:r w:rsidRPr="00800D22">
        <w:rPr>
          <w:sz w:val="24"/>
        </w:rPr>
        <w:t xml:space="preserve">                      </w:t>
      </w:r>
      <w:r w:rsidRPr="00800D22">
        <w:rPr>
          <w:position w:val="-18"/>
          <w:sz w:val="24"/>
        </w:rPr>
        <w:object w:dxaOrig="1560" w:dyaOrig="480" w14:anchorId="078A929D">
          <v:shape id="_x0000_i1037" type="#_x0000_t75" style="width:82.3pt;height:25.25pt" o:ole="">
            <v:imagedata r:id="rId26" o:title=""/>
          </v:shape>
          <o:OLEObject Type="Embed" ProgID="Equation.3" ShapeID="_x0000_i1037" DrawAspect="Content" ObjectID="_1822572196" r:id="rId27"/>
        </w:object>
      </w:r>
      <w:r w:rsidRPr="00800D22">
        <w:rPr>
          <w:sz w:val="24"/>
        </w:rPr>
        <w:t xml:space="preserve">           </w:t>
      </w:r>
      <w:r w:rsidRPr="00800D22">
        <w:rPr>
          <w:rFonts w:hint="eastAsia"/>
          <w:sz w:val="24"/>
        </w:rPr>
        <w:t xml:space="preserve">    </w:t>
      </w:r>
      <w:r w:rsidRPr="00800D22">
        <w:rPr>
          <w:sz w:val="24"/>
        </w:rPr>
        <w:t xml:space="preserve">        </w:t>
      </w:r>
      <w:r w:rsidRPr="00800D22">
        <w:rPr>
          <w:sz w:val="24"/>
        </w:rPr>
        <w:t>（</w:t>
      </w:r>
      <w:r w:rsidRPr="00800D22">
        <w:rPr>
          <w:rFonts w:hint="eastAsia"/>
          <w:sz w:val="24"/>
        </w:rPr>
        <w:t>10</w:t>
      </w:r>
      <w:r w:rsidRPr="00800D22">
        <w:rPr>
          <w:sz w:val="24"/>
        </w:rPr>
        <w:t>.2</w:t>
      </w:r>
      <w:r w:rsidRPr="00800D22">
        <w:rPr>
          <w:sz w:val="24"/>
        </w:rPr>
        <w:t>）</w:t>
      </w:r>
    </w:p>
    <w:p w14:paraId="5489CE75" w14:textId="77777777" w:rsidR="00995E2A" w:rsidRPr="00800D22" w:rsidRDefault="00995E2A" w:rsidP="00995E2A">
      <w:pPr>
        <w:autoSpaceDE w:val="0"/>
        <w:autoSpaceDN w:val="0"/>
        <w:adjustRightInd w:val="0"/>
        <w:spacing w:line="440" w:lineRule="exact"/>
        <w:ind w:firstLineChars="198" w:firstLine="475"/>
        <w:jc w:val="left"/>
        <w:rPr>
          <w:sz w:val="24"/>
        </w:rPr>
      </w:pPr>
      <w:r w:rsidRPr="00800D22">
        <w:rPr>
          <w:sz w:val="24"/>
        </w:rPr>
        <w:t>同样，可以</w:t>
      </w:r>
      <w:r w:rsidRPr="00800D22">
        <w:rPr>
          <w:rFonts w:hint="eastAsia"/>
          <w:sz w:val="24"/>
        </w:rPr>
        <w:t>用</w:t>
      </w:r>
      <w:r w:rsidRPr="00800D22">
        <w:rPr>
          <w:sz w:val="24"/>
        </w:rPr>
        <w:t>上述方法测算其他情景下</w:t>
      </w:r>
      <w:r w:rsidRPr="00800D22">
        <w:rPr>
          <w:sz w:val="24"/>
        </w:rPr>
        <w:t>P-CBO</w:t>
      </w:r>
      <w:r w:rsidRPr="00800D22">
        <w:rPr>
          <w:sz w:val="24"/>
        </w:rPr>
        <w:t>债券层的损失率，结合</w:t>
      </w:r>
      <w:r w:rsidRPr="00800D22">
        <w:rPr>
          <w:rFonts w:hint="eastAsia"/>
          <w:sz w:val="24"/>
        </w:rPr>
        <w:t>公</w:t>
      </w:r>
      <w:r w:rsidRPr="00800D22">
        <w:rPr>
          <w:sz w:val="24"/>
        </w:rPr>
        <w:t>式</w:t>
      </w:r>
      <w:r w:rsidRPr="00800D22">
        <w:rPr>
          <w:rFonts w:hint="eastAsia"/>
          <w:sz w:val="24"/>
        </w:rPr>
        <w:t>（</w:t>
      </w:r>
      <w:r w:rsidRPr="00800D22">
        <w:rPr>
          <w:rFonts w:hint="eastAsia"/>
          <w:sz w:val="24"/>
        </w:rPr>
        <w:t>10.1</w:t>
      </w:r>
      <w:r w:rsidRPr="00800D22">
        <w:rPr>
          <w:rFonts w:hint="eastAsia"/>
          <w:sz w:val="24"/>
        </w:rPr>
        <w:t>），</w:t>
      </w:r>
      <w:r w:rsidRPr="00800D22">
        <w:rPr>
          <w:sz w:val="24"/>
        </w:rPr>
        <w:t>就可得到</w:t>
      </w:r>
      <w:r w:rsidRPr="00800D22">
        <w:rPr>
          <w:sz w:val="24"/>
        </w:rPr>
        <w:t>P-CBO</w:t>
      </w:r>
      <w:r w:rsidRPr="00800D22">
        <w:rPr>
          <w:sz w:val="24"/>
        </w:rPr>
        <w:t>债券层的期望损失率</w:t>
      </w:r>
      <w:r w:rsidRPr="00800D22">
        <w:rPr>
          <w:sz w:val="24"/>
        </w:rPr>
        <w:object w:dxaOrig="360" w:dyaOrig="260" w14:anchorId="6A274A81">
          <v:shape id="_x0000_i1038" type="#_x0000_t75" style="width:17.75pt;height:13.1pt" o:ole="">
            <v:imagedata r:id="rId28" o:title=""/>
          </v:shape>
          <o:OLEObject Type="Embed" ProgID="Equation.DSMT4" ShapeID="_x0000_i1038" DrawAspect="Content" ObjectID="_1822572197" r:id="rId29"/>
        </w:object>
      </w:r>
      <w:r w:rsidRPr="00800D22">
        <w:rPr>
          <w:sz w:val="24"/>
        </w:rPr>
        <w:t>：</w:t>
      </w:r>
    </w:p>
    <w:p w14:paraId="45C24023" w14:textId="77777777" w:rsidR="00995E2A" w:rsidRPr="00800D22" w:rsidRDefault="00995E2A" w:rsidP="00995E2A">
      <w:pPr>
        <w:wordWrap w:val="0"/>
        <w:spacing w:line="360" w:lineRule="auto"/>
        <w:jc w:val="right"/>
        <w:rPr>
          <w:sz w:val="24"/>
        </w:rPr>
      </w:pPr>
      <w:r w:rsidRPr="00800D22">
        <w:rPr>
          <w:position w:val="-30"/>
          <w:sz w:val="24"/>
        </w:rPr>
        <w:object w:dxaOrig="1500" w:dyaOrig="700" w14:anchorId="00621CEB">
          <v:shape id="_x0000_i1039" type="#_x0000_t75" style="width:77.6pt;height:36.45pt" o:ole="">
            <v:imagedata r:id="rId30" o:title=""/>
          </v:shape>
          <o:OLEObject Type="Embed" ProgID="Equation.3" ShapeID="_x0000_i1039" DrawAspect="Content" ObjectID="_1822572198" r:id="rId31"/>
        </w:object>
      </w:r>
      <w:r w:rsidRPr="00800D22">
        <w:rPr>
          <w:sz w:val="24"/>
        </w:rPr>
        <w:t xml:space="preserve">                   </w:t>
      </w:r>
      <w:r w:rsidRPr="00800D22">
        <w:rPr>
          <w:rFonts w:hint="eastAsia"/>
          <w:sz w:val="24"/>
        </w:rPr>
        <w:t xml:space="preserve">    </w:t>
      </w:r>
      <w:r w:rsidRPr="00800D22">
        <w:rPr>
          <w:sz w:val="24"/>
        </w:rPr>
        <w:t xml:space="preserve"> </w:t>
      </w:r>
      <w:r w:rsidRPr="00800D22">
        <w:rPr>
          <w:sz w:val="24"/>
        </w:rPr>
        <w:t>（</w:t>
      </w:r>
      <w:r w:rsidRPr="00800D22">
        <w:rPr>
          <w:rFonts w:hint="eastAsia"/>
          <w:sz w:val="24"/>
        </w:rPr>
        <w:t>10</w:t>
      </w:r>
      <w:r w:rsidRPr="00800D22">
        <w:rPr>
          <w:sz w:val="24"/>
        </w:rPr>
        <w:t>.3</w:t>
      </w:r>
      <w:r w:rsidRPr="00800D22">
        <w:rPr>
          <w:sz w:val="24"/>
        </w:rPr>
        <w:t>）</w:t>
      </w:r>
    </w:p>
    <w:p w14:paraId="48234C31" w14:textId="64E4D880" w:rsidR="00995E2A" w:rsidRPr="00800D22" w:rsidRDefault="00995E2A" w:rsidP="00995E2A">
      <w:pPr>
        <w:autoSpaceDE w:val="0"/>
        <w:autoSpaceDN w:val="0"/>
        <w:adjustRightInd w:val="0"/>
        <w:spacing w:afterLines="100" w:after="312" w:line="440" w:lineRule="exact"/>
        <w:ind w:firstLineChars="200" w:firstLine="480"/>
        <w:jc w:val="left"/>
        <w:rPr>
          <w:rFonts w:hint="eastAsia"/>
          <w:sz w:val="24"/>
        </w:rPr>
      </w:pPr>
      <w:r w:rsidRPr="00800D22">
        <w:rPr>
          <w:sz w:val="24"/>
        </w:rPr>
        <w:t>下面以具体的例子说明上述模型，假设共有</w:t>
      </w:r>
      <w:r w:rsidRPr="00800D22">
        <w:rPr>
          <w:sz w:val="24"/>
        </w:rPr>
        <w:t>20</w:t>
      </w:r>
      <w:r w:rsidRPr="00800D22">
        <w:rPr>
          <w:sz w:val="24"/>
        </w:rPr>
        <w:t>个企业参与某</w:t>
      </w:r>
      <w:r w:rsidRPr="00800D22">
        <w:rPr>
          <w:sz w:val="24"/>
        </w:rPr>
        <w:t>P-CBO</w:t>
      </w:r>
      <w:r w:rsidRPr="00800D22">
        <w:rPr>
          <w:sz w:val="24"/>
        </w:rPr>
        <w:t>，该</w:t>
      </w:r>
      <w:r w:rsidRPr="00800D22">
        <w:rPr>
          <w:sz w:val="24"/>
        </w:rPr>
        <w:t>P-CBO</w:t>
      </w:r>
      <w:r w:rsidRPr="00800D22">
        <w:rPr>
          <w:sz w:val="24"/>
        </w:rPr>
        <w:t>分为两层，优先层占</w:t>
      </w:r>
      <w:r w:rsidRPr="00800D22">
        <w:rPr>
          <w:sz w:val="24"/>
        </w:rPr>
        <w:t>80%</w:t>
      </w:r>
      <w:r w:rsidRPr="00800D22">
        <w:rPr>
          <w:sz w:val="24"/>
        </w:rPr>
        <w:t>，次级层占</w:t>
      </w:r>
      <w:r w:rsidRPr="00800D22">
        <w:rPr>
          <w:sz w:val="24"/>
        </w:rPr>
        <w:t>20%</w:t>
      </w:r>
      <w:r w:rsidRPr="00800D22">
        <w:rPr>
          <w:sz w:val="24"/>
        </w:rPr>
        <w:t>，基本情况如图</w:t>
      </w:r>
      <w:r w:rsidRPr="00800D22">
        <w:rPr>
          <w:rFonts w:hint="eastAsia"/>
          <w:sz w:val="24"/>
        </w:rPr>
        <w:t>3</w:t>
      </w:r>
      <w:r w:rsidRPr="00800D22">
        <w:rPr>
          <w:sz w:val="24"/>
        </w:rPr>
        <w:t>所示：</w:t>
      </w:r>
    </w:p>
    <w:p w14:paraId="0D2EC69A" w14:textId="77777777" w:rsidR="00995E2A" w:rsidRPr="00800D22" w:rsidRDefault="00995E2A" w:rsidP="00995E2A">
      <w:pPr>
        <w:keepNext/>
        <w:jc w:val="center"/>
        <w:rPr>
          <w:rFonts w:hint="eastAsia"/>
          <w:sz w:val="24"/>
        </w:rPr>
      </w:pPr>
      <w:r w:rsidRPr="00800D22">
        <w:rPr>
          <w:rFonts w:hint="eastAsia"/>
          <w:noProof/>
          <w:sz w:val="24"/>
        </w:rPr>
      </w:r>
      <w:r w:rsidRPr="00800D22">
        <w:rPr>
          <w:sz w:val="24"/>
        </w:rPr>
        <w:pict w14:anchorId="4EFC25FB">
          <v:group id="_x0000_s1052" editas="canvas" style="width:414pt;height:124.8pt;mso-position-horizontal-relative:char;mso-position-vertical-relative:line" coordorigin="1813,2610" coordsize="8280,2496">
            <o:lock v:ext="edit" aspectratio="t"/>
            <v:shape id="_x0000_s1053" type="#_x0000_t75" style="position:absolute;left:1813;top:2610;width:8280;height:2496" o:preferrelative="f">
              <v:fill o:detectmouseclick="t"/>
              <v:path o:extrusionok="t" o:connecttype="none"/>
              <o:lock v:ext="edit" text="t"/>
            </v:shape>
            <v:rect id="_x0000_s1054" style="position:absolute;left:1993;top:2610;width:2340;height:2340">
              <v:textbox style="mso-next-textbox:#_x0000_s1054">
                <w:txbxContent>
                  <w:p w14:paraId="7E6EB7CC" w14:textId="77777777" w:rsidR="00995E2A" w:rsidRPr="00BC08A4" w:rsidRDefault="00995E2A" w:rsidP="00995E2A">
                    <w:pPr>
                      <w:jc w:val="center"/>
                      <w:rPr>
                        <w:rFonts w:ascii="Arial" w:hAnsi="Arial" w:cs="Arial" w:hint="eastAsia"/>
                        <w:b/>
                        <w:kern w:val="0"/>
                        <w:szCs w:val="21"/>
                      </w:rPr>
                    </w:pPr>
                    <w:r w:rsidRPr="00BC08A4">
                      <w:rPr>
                        <w:rFonts w:ascii="Arial" w:hAnsi="Arial" w:cs="Arial" w:hint="eastAsia"/>
                        <w:b/>
                        <w:kern w:val="0"/>
                        <w:szCs w:val="21"/>
                      </w:rPr>
                      <w:t>标的资产</w:t>
                    </w:r>
                  </w:p>
                  <w:p w14:paraId="788E1B65" w14:textId="77777777" w:rsidR="00995E2A" w:rsidRPr="00EB5016" w:rsidRDefault="00995E2A" w:rsidP="00995E2A">
                    <w:pPr>
                      <w:rPr>
                        <w:rFonts w:ascii="Arial" w:hAnsi="Arial" w:cs="Arial" w:hint="eastAsia"/>
                        <w:kern w:val="0"/>
                        <w:szCs w:val="21"/>
                      </w:rPr>
                    </w:pPr>
                    <w:r w:rsidRPr="00EB5016">
                      <w:rPr>
                        <w:rFonts w:ascii="Arial" w:hAnsi="Arial" w:cs="Arial" w:hint="eastAsia"/>
                        <w:kern w:val="0"/>
                        <w:szCs w:val="21"/>
                      </w:rPr>
                      <w:t>面值</w:t>
                    </w:r>
                    <w:r w:rsidRPr="00EB5016">
                      <w:rPr>
                        <w:rFonts w:ascii="Arial" w:hAnsi="Arial" w:cs="Arial" w:hint="eastAsia"/>
                        <w:kern w:val="0"/>
                        <w:szCs w:val="21"/>
                      </w:rPr>
                      <w:t xml:space="preserve">F         </w:t>
                    </w:r>
                    <w:r w:rsidRPr="00EB5016">
                      <w:rPr>
                        <w:rFonts w:ascii="Arial" w:hAnsi="Arial" w:cs="Arial"/>
                        <w:kern w:val="0"/>
                        <w:szCs w:val="21"/>
                      </w:rPr>
                      <w:t>100</w:t>
                    </w:r>
                  </w:p>
                  <w:p w14:paraId="7EBDEF7E" w14:textId="77777777" w:rsidR="00995E2A" w:rsidRPr="00EB5016" w:rsidRDefault="00995E2A" w:rsidP="00995E2A">
                    <w:pPr>
                      <w:rPr>
                        <w:rFonts w:ascii="Arial" w:hAnsi="Arial" w:cs="Arial" w:hint="eastAsia"/>
                        <w:kern w:val="0"/>
                        <w:szCs w:val="21"/>
                      </w:rPr>
                    </w:pPr>
                    <w:r w:rsidRPr="00EB5016">
                      <w:rPr>
                        <w:rFonts w:ascii="Arial" w:hAnsi="Arial" w:cs="Arial" w:hint="eastAsia"/>
                        <w:kern w:val="0"/>
                        <w:szCs w:val="21"/>
                      </w:rPr>
                      <w:t>利率</w:t>
                    </w:r>
                    <w:r w:rsidRPr="00EB5016">
                      <w:rPr>
                        <w:rFonts w:ascii="Arial" w:hAnsi="Arial" w:cs="Arial" w:hint="eastAsia"/>
                        <w:kern w:val="0"/>
                        <w:szCs w:val="21"/>
                      </w:rPr>
                      <w:t xml:space="preserve">C         </w:t>
                    </w:r>
                    <w:r w:rsidRPr="00EB5016">
                      <w:rPr>
                        <w:rFonts w:ascii="Arial" w:hAnsi="Arial" w:cs="Arial"/>
                        <w:kern w:val="0"/>
                        <w:szCs w:val="21"/>
                      </w:rPr>
                      <w:t>11%</w:t>
                    </w:r>
                  </w:p>
                  <w:p w14:paraId="5799B413" w14:textId="77777777" w:rsidR="00995E2A" w:rsidRPr="00EB5016" w:rsidRDefault="00995E2A" w:rsidP="00995E2A">
                    <w:pPr>
                      <w:rPr>
                        <w:rFonts w:ascii="Arial" w:hAnsi="Arial" w:cs="Arial" w:hint="eastAsia"/>
                        <w:kern w:val="0"/>
                        <w:szCs w:val="21"/>
                      </w:rPr>
                    </w:pPr>
                    <w:r w:rsidRPr="00EB5016">
                      <w:rPr>
                        <w:rFonts w:ascii="Arial" w:hAnsi="Arial" w:cs="Arial" w:hint="eastAsia"/>
                        <w:kern w:val="0"/>
                        <w:szCs w:val="21"/>
                      </w:rPr>
                      <w:t>违约率</w:t>
                    </w:r>
                    <w:r w:rsidRPr="00EB5016">
                      <w:rPr>
                        <w:rFonts w:ascii="Arial" w:hAnsi="Arial" w:cs="Arial" w:hint="eastAsia"/>
                        <w:kern w:val="0"/>
                        <w:szCs w:val="21"/>
                      </w:rPr>
                      <w:t xml:space="preserve">DP      </w:t>
                    </w:r>
                    <w:r w:rsidRPr="00EB5016">
                      <w:rPr>
                        <w:rFonts w:ascii="Arial" w:hAnsi="Arial" w:cs="Arial"/>
                        <w:kern w:val="0"/>
                        <w:szCs w:val="21"/>
                      </w:rPr>
                      <w:t>25%</w:t>
                    </w:r>
                  </w:p>
                  <w:p w14:paraId="3E9E2E1F" w14:textId="77777777" w:rsidR="00995E2A" w:rsidRPr="00EB5016" w:rsidRDefault="00995E2A" w:rsidP="00995E2A">
                    <w:pPr>
                      <w:rPr>
                        <w:rFonts w:ascii="Arial" w:hAnsi="Arial" w:cs="Arial" w:hint="eastAsia"/>
                        <w:kern w:val="0"/>
                        <w:szCs w:val="21"/>
                      </w:rPr>
                    </w:pPr>
                    <w:r w:rsidRPr="00EB5016">
                      <w:rPr>
                        <w:rFonts w:ascii="Arial" w:hAnsi="Arial" w:cs="Arial" w:hint="eastAsia"/>
                        <w:kern w:val="0"/>
                        <w:szCs w:val="21"/>
                      </w:rPr>
                      <w:t>参与企业数量</w:t>
                    </w:r>
                    <w:r>
                      <w:rPr>
                        <w:rFonts w:ascii="Arial" w:hAnsi="Arial" w:cs="Arial" w:hint="eastAsia"/>
                        <w:kern w:val="0"/>
                        <w:szCs w:val="21"/>
                      </w:rPr>
                      <w:t>N</w:t>
                    </w:r>
                    <w:r w:rsidRPr="00EB5016">
                      <w:rPr>
                        <w:rFonts w:ascii="Arial" w:hAnsi="Arial" w:cs="Arial" w:hint="eastAsia"/>
                        <w:kern w:val="0"/>
                        <w:szCs w:val="21"/>
                      </w:rPr>
                      <w:t xml:space="preserve">  </w:t>
                    </w:r>
                    <w:r w:rsidRPr="00EB5016">
                      <w:rPr>
                        <w:rFonts w:ascii="Arial" w:hAnsi="Arial" w:cs="Arial"/>
                        <w:kern w:val="0"/>
                        <w:szCs w:val="21"/>
                      </w:rPr>
                      <w:t>20</w:t>
                    </w:r>
                  </w:p>
                  <w:p w14:paraId="555C2058" w14:textId="77777777" w:rsidR="00995E2A" w:rsidRPr="00EB5016" w:rsidRDefault="00995E2A" w:rsidP="00995E2A">
                    <w:pPr>
                      <w:rPr>
                        <w:rFonts w:ascii="Arial" w:hAnsi="Arial" w:cs="Arial" w:hint="eastAsia"/>
                        <w:kern w:val="0"/>
                        <w:szCs w:val="21"/>
                      </w:rPr>
                    </w:pPr>
                    <w:r>
                      <w:rPr>
                        <w:rFonts w:ascii="Arial" w:hAnsi="Arial" w:cs="Arial" w:hint="eastAsia"/>
                        <w:kern w:val="0"/>
                        <w:szCs w:val="21"/>
                      </w:rPr>
                      <w:t>回收</w:t>
                    </w:r>
                    <w:r w:rsidRPr="00EB5016">
                      <w:rPr>
                        <w:rFonts w:ascii="Arial" w:hAnsi="Arial" w:cs="Arial" w:hint="eastAsia"/>
                        <w:kern w:val="0"/>
                        <w:szCs w:val="21"/>
                      </w:rPr>
                      <w:t xml:space="preserve">RR      </w:t>
                    </w:r>
                    <w:r>
                      <w:rPr>
                        <w:rFonts w:ascii="Arial" w:hAnsi="Arial" w:cs="Arial" w:hint="eastAsia"/>
                        <w:kern w:val="0"/>
                        <w:szCs w:val="21"/>
                      </w:rPr>
                      <w:t xml:space="preserve"> </w:t>
                    </w:r>
                    <w:r w:rsidRPr="00EB5016">
                      <w:rPr>
                        <w:rFonts w:ascii="Arial" w:hAnsi="Arial" w:cs="Arial"/>
                        <w:kern w:val="0"/>
                        <w:szCs w:val="21"/>
                      </w:rPr>
                      <w:t>30%</w:t>
                    </w:r>
                  </w:p>
                  <w:p w14:paraId="4A51BBF1" w14:textId="77777777" w:rsidR="00995E2A" w:rsidRPr="00EB5016" w:rsidRDefault="00995E2A" w:rsidP="00995E2A">
                    <w:pPr>
                      <w:rPr>
                        <w:b/>
                        <w:szCs w:val="21"/>
                      </w:rPr>
                    </w:pPr>
                    <w:r w:rsidRPr="00EB5016">
                      <w:rPr>
                        <w:rFonts w:ascii="Arial" w:hAnsi="Arial" w:cs="Arial" w:hint="eastAsia"/>
                        <w:kern w:val="0"/>
                        <w:szCs w:val="21"/>
                      </w:rPr>
                      <w:t>到期年限</w:t>
                    </w:r>
                    <w:r w:rsidRPr="00EB5016">
                      <w:rPr>
                        <w:rFonts w:ascii="Arial" w:hAnsi="Arial" w:cs="Arial" w:hint="eastAsia"/>
                        <w:kern w:val="0"/>
                        <w:szCs w:val="21"/>
                      </w:rPr>
                      <w:t xml:space="preserve">M      </w:t>
                    </w:r>
                    <w:r w:rsidRPr="00EB5016">
                      <w:rPr>
                        <w:rFonts w:ascii="Arial" w:hAnsi="Arial" w:cs="Arial"/>
                        <w:kern w:val="0"/>
                        <w:szCs w:val="21"/>
                      </w:rPr>
                      <w:t>6</w:t>
                    </w:r>
                  </w:p>
                  <w:p w14:paraId="3CA3DC93" w14:textId="77777777" w:rsidR="00995E2A" w:rsidRDefault="00995E2A" w:rsidP="00995E2A"/>
                </w:txbxContent>
              </v:textbox>
            </v:rect>
            <v:oval id="_x0000_s1055" style="position:absolute;left:5203;top:3405;width:1440;height:624">
              <v:textbox style="mso-next-textbox:#_x0000_s1055">
                <w:txbxContent>
                  <w:p w14:paraId="5E3015B6" w14:textId="77777777" w:rsidR="00995E2A" w:rsidRDefault="00995E2A" w:rsidP="00995E2A">
                    <w:pPr>
                      <w:jc w:val="center"/>
                      <w:rPr>
                        <w:rFonts w:hint="eastAsia"/>
                      </w:rPr>
                    </w:pPr>
                    <w:r>
                      <w:rPr>
                        <w:rFonts w:hint="eastAsia"/>
                      </w:rPr>
                      <w:t>SPC</w:t>
                    </w:r>
                  </w:p>
                </w:txbxContent>
              </v:textbox>
            </v:oval>
            <v:rect id="_x0000_s1056" style="position:absolute;left:7393;top:2619;width:2340;height:2340">
              <v:textbox style="mso-next-textbox:#_x0000_s1056">
                <w:txbxContent>
                  <w:p w14:paraId="0E0D2CBF" w14:textId="77777777" w:rsidR="00995E2A" w:rsidRPr="00BC08A4" w:rsidRDefault="00995E2A" w:rsidP="00995E2A">
                    <w:pPr>
                      <w:jc w:val="center"/>
                      <w:rPr>
                        <w:rFonts w:ascii="Arial" w:hAnsi="Arial" w:cs="Arial" w:hint="eastAsia"/>
                        <w:b/>
                        <w:kern w:val="0"/>
                        <w:szCs w:val="21"/>
                      </w:rPr>
                    </w:pPr>
                    <w:r w:rsidRPr="00BC08A4">
                      <w:rPr>
                        <w:rFonts w:ascii="Arial" w:hAnsi="Arial" w:cs="Arial" w:hint="eastAsia"/>
                        <w:b/>
                        <w:kern w:val="0"/>
                        <w:szCs w:val="21"/>
                      </w:rPr>
                      <w:t>优先层</w:t>
                    </w:r>
                  </w:p>
                  <w:p w14:paraId="2A7A46C6" w14:textId="77777777" w:rsidR="00995E2A" w:rsidRPr="00EB5016" w:rsidRDefault="00995E2A" w:rsidP="00995E2A">
                    <w:pPr>
                      <w:rPr>
                        <w:rFonts w:ascii="Arial" w:hAnsi="Arial" w:cs="Arial" w:hint="eastAsia"/>
                        <w:kern w:val="0"/>
                        <w:szCs w:val="21"/>
                      </w:rPr>
                    </w:pPr>
                    <w:r w:rsidRPr="00EB5016">
                      <w:rPr>
                        <w:rFonts w:ascii="Arial" w:hAnsi="Arial" w:cs="Arial" w:hint="eastAsia"/>
                        <w:kern w:val="0"/>
                        <w:szCs w:val="21"/>
                      </w:rPr>
                      <w:t>面值</w:t>
                    </w:r>
                    <w:r w:rsidRPr="00EB5016">
                      <w:rPr>
                        <w:rFonts w:ascii="Arial" w:hAnsi="Arial" w:cs="Arial" w:hint="eastAsia"/>
                        <w:kern w:val="0"/>
                        <w:szCs w:val="21"/>
                      </w:rPr>
                      <w:t xml:space="preserve">F    </w:t>
                    </w:r>
                    <w:r>
                      <w:rPr>
                        <w:rFonts w:ascii="Arial" w:hAnsi="Arial" w:cs="Arial" w:hint="eastAsia"/>
                        <w:kern w:val="0"/>
                        <w:szCs w:val="21"/>
                      </w:rPr>
                      <w:t xml:space="preserve">  </w:t>
                    </w:r>
                    <w:r w:rsidRPr="00EB5016">
                      <w:rPr>
                        <w:rFonts w:ascii="Arial" w:hAnsi="Arial" w:cs="Arial" w:hint="eastAsia"/>
                        <w:kern w:val="0"/>
                        <w:szCs w:val="21"/>
                      </w:rPr>
                      <w:t xml:space="preserve"> 80</w:t>
                    </w:r>
                  </w:p>
                  <w:p w14:paraId="2FF9D3ED" w14:textId="77777777" w:rsidR="00995E2A" w:rsidRPr="00EB5016" w:rsidRDefault="00995E2A" w:rsidP="00995E2A">
                    <w:pPr>
                      <w:rPr>
                        <w:rFonts w:ascii="Arial" w:hAnsi="Arial" w:cs="Arial" w:hint="eastAsia"/>
                        <w:kern w:val="0"/>
                        <w:szCs w:val="21"/>
                      </w:rPr>
                    </w:pPr>
                    <w:r w:rsidRPr="00EB5016">
                      <w:rPr>
                        <w:rFonts w:ascii="Arial" w:hAnsi="Arial" w:cs="Arial" w:hint="eastAsia"/>
                        <w:kern w:val="0"/>
                        <w:szCs w:val="21"/>
                      </w:rPr>
                      <w:t>利率</w:t>
                    </w:r>
                    <w:r w:rsidRPr="00EB5016">
                      <w:rPr>
                        <w:rFonts w:ascii="Arial" w:hAnsi="Arial" w:cs="Arial" w:hint="eastAsia"/>
                        <w:kern w:val="0"/>
                        <w:szCs w:val="21"/>
                      </w:rPr>
                      <w:t xml:space="preserve">C     </w:t>
                    </w:r>
                    <w:r>
                      <w:rPr>
                        <w:rFonts w:ascii="Arial" w:hAnsi="Arial" w:cs="Arial" w:hint="eastAsia"/>
                        <w:kern w:val="0"/>
                        <w:szCs w:val="21"/>
                      </w:rPr>
                      <w:t xml:space="preserve"> </w:t>
                    </w:r>
                    <w:r w:rsidRPr="00EB5016">
                      <w:rPr>
                        <w:rFonts w:ascii="Arial" w:hAnsi="Arial" w:cs="Arial" w:hint="eastAsia"/>
                        <w:kern w:val="0"/>
                        <w:szCs w:val="21"/>
                      </w:rPr>
                      <w:t xml:space="preserve"> 6%</w:t>
                    </w:r>
                  </w:p>
                  <w:p w14:paraId="1E43F534" w14:textId="77777777" w:rsidR="00995E2A" w:rsidRPr="00BC08A4" w:rsidRDefault="00995E2A" w:rsidP="00995E2A">
                    <w:pPr>
                      <w:jc w:val="center"/>
                      <w:rPr>
                        <w:rFonts w:ascii="Arial" w:hAnsi="Arial" w:cs="Arial" w:hint="eastAsia"/>
                        <w:b/>
                        <w:kern w:val="0"/>
                        <w:szCs w:val="21"/>
                      </w:rPr>
                    </w:pPr>
                    <w:r w:rsidRPr="00BC08A4">
                      <w:rPr>
                        <w:rFonts w:ascii="Arial" w:hAnsi="Arial" w:cs="Arial" w:hint="eastAsia"/>
                        <w:b/>
                        <w:kern w:val="0"/>
                        <w:szCs w:val="21"/>
                      </w:rPr>
                      <w:t>次级层</w:t>
                    </w:r>
                  </w:p>
                  <w:p w14:paraId="30229805" w14:textId="77777777" w:rsidR="00995E2A" w:rsidRPr="00EB5016" w:rsidRDefault="00995E2A" w:rsidP="00995E2A">
                    <w:pPr>
                      <w:rPr>
                        <w:rFonts w:ascii="Arial" w:hAnsi="Arial" w:cs="Arial" w:hint="eastAsia"/>
                        <w:kern w:val="0"/>
                        <w:szCs w:val="21"/>
                      </w:rPr>
                    </w:pPr>
                    <w:r w:rsidRPr="00EB5016">
                      <w:rPr>
                        <w:rFonts w:ascii="Arial" w:hAnsi="Arial" w:cs="Arial" w:hint="eastAsia"/>
                        <w:kern w:val="0"/>
                        <w:szCs w:val="21"/>
                      </w:rPr>
                      <w:t>面值</w:t>
                    </w:r>
                    <w:r w:rsidRPr="00EB5016">
                      <w:rPr>
                        <w:rFonts w:ascii="Arial" w:hAnsi="Arial" w:cs="Arial" w:hint="eastAsia"/>
                        <w:kern w:val="0"/>
                        <w:szCs w:val="21"/>
                      </w:rPr>
                      <w:t>F       20</w:t>
                    </w:r>
                  </w:p>
                  <w:p w14:paraId="3A2EC046" w14:textId="77777777" w:rsidR="00995E2A" w:rsidRPr="0092381C" w:rsidRDefault="00995E2A" w:rsidP="00995E2A">
                    <w:pPr>
                      <w:snapToGrid w:val="0"/>
                      <w:rPr>
                        <w:b/>
                        <w:color w:val="FFFFFF"/>
                        <w:sz w:val="18"/>
                      </w:rPr>
                    </w:pPr>
                    <w:r w:rsidRPr="00EB5016">
                      <w:rPr>
                        <w:rFonts w:ascii="Arial" w:hAnsi="Arial" w:cs="Arial" w:hint="eastAsia"/>
                        <w:kern w:val="0"/>
                        <w:szCs w:val="21"/>
                      </w:rPr>
                      <w:t>利率</w:t>
                    </w:r>
                    <w:r w:rsidRPr="00EB5016">
                      <w:rPr>
                        <w:rFonts w:ascii="Arial" w:hAnsi="Arial" w:cs="Arial" w:hint="eastAsia"/>
                        <w:kern w:val="0"/>
                        <w:szCs w:val="21"/>
                      </w:rPr>
                      <w:t>C</w:t>
                    </w:r>
                    <w:r>
                      <w:rPr>
                        <w:rFonts w:ascii="Arial" w:hAnsi="Arial" w:cs="Arial" w:hint="eastAsia"/>
                        <w:kern w:val="0"/>
                        <w:szCs w:val="21"/>
                      </w:rPr>
                      <w:t xml:space="preserve">      </w:t>
                    </w:r>
                    <w:r w:rsidRPr="00EB5016">
                      <w:rPr>
                        <w:rFonts w:ascii="Arial" w:hAnsi="Arial" w:cs="Arial" w:hint="eastAsia"/>
                        <w:kern w:val="0"/>
                        <w:szCs w:val="21"/>
                      </w:rPr>
                      <w:t>12</w:t>
                    </w:r>
                  </w:p>
                  <w:p w14:paraId="2E9309B5" w14:textId="77777777" w:rsidR="00995E2A" w:rsidRPr="0092381C" w:rsidRDefault="00995E2A" w:rsidP="00995E2A">
                    <w:pPr>
                      <w:snapToGrid w:val="0"/>
                      <w:rPr>
                        <w:b/>
                        <w:color w:val="FFFFFF"/>
                        <w:sz w:val="18"/>
                      </w:rPr>
                    </w:pPr>
                  </w:p>
                  <w:p w14:paraId="59E83B25" w14:textId="77777777" w:rsidR="00995E2A" w:rsidRPr="0092381C" w:rsidRDefault="00995E2A" w:rsidP="00995E2A">
                    <w:pPr>
                      <w:snapToGrid w:val="0"/>
                      <w:rPr>
                        <w:b/>
                        <w:color w:val="FFFFFF"/>
                        <w:sz w:val="18"/>
                      </w:rPr>
                    </w:pPr>
                  </w:p>
                  <w:p w14:paraId="3D31E4D7" w14:textId="77777777" w:rsidR="00995E2A" w:rsidRPr="0092381C" w:rsidRDefault="00995E2A" w:rsidP="00995E2A">
                    <w:pPr>
                      <w:snapToGrid w:val="0"/>
                      <w:rPr>
                        <w:b/>
                        <w:color w:val="FFFFFF"/>
                        <w:sz w:val="18"/>
                      </w:rPr>
                    </w:pPr>
                  </w:p>
                </w:txbxContent>
              </v:textbox>
            </v:rect>
            <v:line id="_x0000_s1057" style="position:absolute" from="4333,3717" to="5233,3718">
              <v:stroke endarrow="block"/>
            </v:line>
            <v:line id="_x0000_s1058" style="position:absolute" from="6658,3717" to="7378,3718">
              <v:stroke endarrow="block"/>
            </v:line>
            <w10:anchorlock/>
          </v:group>
        </w:pict>
      </w:r>
    </w:p>
    <w:p w14:paraId="5685AA68" w14:textId="7444BC40" w:rsidR="00995E2A" w:rsidRPr="00800D22" w:rsidRDefault="00995E2A" w:rsidP="00995E2A">
      <w:pPr>
        <w:pStyle w:val="aff1"/>
        <w:jc w:val="center"/>
        <w:rPr>
          <w:rFonts w:ascii="Times New Roman" w:eastAsia="新宋体" w:hAnsi="新宋体" w:cs="Times New Roman" w:hint="eastAsia"/>
          <w:sz w:val="21"/>
          <w:szCs w:val="21"/>
        </w:rPr>
      </w:pPr>
      <w:bookmarkStart w:id="16" w:name="_Toc256507186"/>
      <w:r w:rsidRPr="00800D22">
        <w:rPr>
          <w:rFonts w:ascii="Times New Roman" w:eastAsia="新宋体" w:hAnsi="新宋体" w:cs="Times New Roman" w:hint="eastAsia"/>
          <w:sz w:val="21"/>
          <w:szCs w:val="21"/>
        </w:rPr>
        <w:t>图</w:t>
      </w:r>
      <w:r w:rsidRPr="00800D22">
        <w:rPr>
          <w:rFonts w:ascii="Times New Roman" w:eastAsia="新宋体" w:hAnsi="新宋体" w:cs="Times New Roman"/>
          <w:sz w:val="21"/>
          <w:szCs w:val="21"/>
        </w:rPr>
        <w:fldChar w:fldCharType="begin"/>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hint="eastAsia"/>
          <w:sz w:val="21"/>
          <w:szCs w:val="21"/>
        </w:rPr>
        <w:instrText xml:space="preserve">SEQ </w:instrText>
      </w:r>
      <w:r w:rsidRPr="00800D22">
        <w:rPr>
          <w:rFonts w:ascii="Times New Roman" w:eastAsia="新宋体" w:hAnsi="新宋体" w:cs="Times New Roman" w:hint="eastAsia"/>
          <w:sz w:val="21"/>
          <w:szCs w:val="21"/>
        </w:rPr>
        <w:instrText>图</w:instrText>
      </w:r>
      <w:r w:rsidRPr="00800D22">
        <w:rPr>
          <w:rFonts w:ascii="Times New Roman" w:eastAsia="新宋体" w:hAnsi="新宋体" w:cs="Times New Roman" w:hint="eastAsia"/>
          <w:sz w:val="21"/>
          <w:szCs w:val="21"/>
        </w:rPr>
        <w:instrText>10. \* ARABIC</w:instrText>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sz w:val="21"/>
          <w:szCs w:val="21"/>
        </w:rPr>
        <w:fldChar w:fldCharType="separate"/>
      </w:r>
      <w:r w:rsidRPr="00800D22">
        <w:rPr>
          <w:rFonts w:ascii="Times New Roman" w:eastAsia="新宋体" w:hAnsi="新宋体" w:cs="Times New Roman"/>
          <w:sz w:val="21"/>
          <w:szCs w:val="21"/>
        </w:rPr>
        <w:t>3</w:t>
      </w:r>
      <w:r w:rsidRPr="00800D22">
        <w:rPr>
          <w:rFonts w:ascii="Times New Roman" w:eastAsia="新宋体" w:hAnsi="新宋体" w:cs="Times New Roman"/>
          <w:sz w:val="21"/>
          <w:szCs w:val="21"/>
        </w:rPr>
        <w:fldChar w:fldCharType="end"/>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虚拟的</w:t>
      </w:r>
      <w:r w:rsidRPr="00800D22">
        <w:rPr>
          <w:rFonts w:ascii="Times New Roman" w:eastAsia="新宋体" w:hAnsi="新宋体" w:cs="Times New Roman" w:hint="eastAsia"/>
          <w:sz w:val="21"/>
          <w:szCs w:val="21"/>
        </w:rPr>
        <w:t>P-CBO</w:t>
      </w:r>
      <w:r w:rsidRPr="00800D22">
        <w:rPr>
          <w:rFonts w:ascii="Times New Roman" w:eastAsia="新宋体" w:hAnsi="新宋体" w:cs="Times New Roman" w:hint="eastAsia"/>
          <w:sz w:val="21"/>
          <w:szCs w:val="21"/>
        </w:rPr>
        <w:t>分层结构</w:t>
      </w:r>
      <w:bookmarkEnd w:id="16"/>
    </w:p>
    <w:p w14:paraId="60E734EA" w14:textId="57570D4F" w:rsidR="00995E2A" w:rsidRPr="00800D22" w:rsidRDefault="00995E2A" w:rsidP="00995E2A">
      <w:pPr>
        <w:keepNext/>
        <w:jc w:val="center"/>
        <w:rPr>
          <w:rFonts w:hint="eastAsia"/>
          <w:szCs w:val="21"/>
        </w:rPr>
      </w:pPr>
      <w:r w:rsidRPr="00800D22">
        <w:rPr>
          <w:rFonts w:hint="eastAsia"/>
          <w:szCs w:val="21"/>
        </w:rPr>
        <w:t xml:space="preserve">Figure 3  </w:t>
      </w:r>
      <w:r w:rsidRPr="00800D22">
        <w:rPr>
          <w:szCs w:val="21"/>
        </w:rPr>
        <w:t>Virtual</w:t>
      </w:r>
      <w:r w:rsidRPr="00800D22">
        <w:rPr>
          <w:rFonts w:hint="eastAsia"/>
          <w:szCs w:val="21"/>
        </w:rPr>
        <w:t xml:space="preserve"> </w:t>
      </w:r>
      <w:r w:rsidRPr="00800D22">
        <w:rPr>
          <w:szCs w:val="21"/>
        </w:rPr>
        <w:t>hierarchical structure</w:t>
      </w:r>
      <w:r w:rsidRPr="00800D22">
        <w:rPr>
          <w:rFonts w:hint="eastAsia"/>
          <w:szCs w:val="21"/>
        </w:rPr>
        <w:t xml:space="preserve"> of P-CBO</w:t>
      </w:r>
    </w:p>
    <w:p w14:paraId="20E5ECBF" w14:textId="34A8DE41" w:rsidR="00995E2A" w:rsidRPr="00800D22" w:rsidRDefault="00995E2A" w:rsidP="00995E2A">
      <w:pPr>
        <w:spacing w:beforeLines="50" w:before="156" w:line="440" w:lineRule="exact"/>
        <w:ind w:firstLineChars="200" w:firstLine="480"/>
        <w:rPr>
          <w:sz w:val="24"/>
        </w:rPr>
      </w:pPr>
      <w:r w:rsidRPr="00800D22">
        <w:rPr>
          <w:rFonts w:hint="eastAsia"/>
          <w:sz w:val="24"/>
        </w:rPr>
        <w:t>假设</w:t>
      </w:r>
      <w:r w:rsidRPr="00800D22">
        <w:rPr>
          <w:sz w:val="24"/>
        </w:rPr>
        <w:t>违约在每一年发生次数的比例</w:t>
      </w:r>
      <w:r w:rsidRPr="00800D22">
        <w:rPr>
          <w:rFonts w:hint="eastAsia"/>
          <w:sz w:val="24"/>
        </w:rPr>
        <w:t>分别</w:t>
      </w:r>
      <w:r w:rsidRPr="00800D22">
        <w:rPr>
          <w:sz w:val="24"/>
        </w:rPr>
        <w:t>为</w:t>
      </w:r>
      <w:r w:rsidRPr="00800D22">
        <w:rPr>
          <w:sz w:val="24"/>
        </w:rPr>
        <w:t>50</w:t>
      </w:r>
      <w:r w:rsidRPr="00800D22">
        <w:rPr>
          <w:sz w:val="24"/>
        </w:rPr>
        <w:t>％</w:t>
      </w:r>
      <w:r w:rsidRPr="00800D22">
        <w:rPr>
          <w:rFonts w:hint="eastAsia"/>
          <w:sz w:val="24"/>
        </w:rPr>
        <w:t>、</w:t>
      </w:r>
      <w:r w:rsidRPr="00800D22">
        <w:rPr>
          <w:sz w:val="24"/>
        </w:rPr>
        <w:t>10</w:t>
      </w:r>
      <w:r w:rsidRPr="00800D22">
        <w:rPr>
          <w:sz w:val="24"/>
        </w:rPr>
        <w:t>％</w:t>
      </w:r>
      <w:r w:rsidRPr="00800D22">
        <w:rPr>
          <w:rFonts w:hint="eastAsia"/>
          <w:sz w:val="24"/>
        </w:rPr>
        <w:t>、</w:t>
      </w:r>
      <w:r w:rsidRPr="00800D22">
        <w:rPr>
          <w:sz w:val="24"/>
        </w:rPr>
        <w:t>10</w:t>
      </w:r>
      <w:r w:rsidRPr="00800D22">
        <w:rPr>
          <w:sz w:val="24"/>
        </w:rPr>
        <w:t>％</w:t>
      </w:r>
      <w:r w:rsidRPr="00800D22">
        <w:rPr>
          <w:rFonts w:hint="eastAsia"/>
          <w:sz w:val="24"/>
        </w:rPr>
        <w:t>、</w:t>
      </w:r>
      <w:r w:rsidRPr="00800D22">
        <w:rPr>
          <w:sz w:val="24"/>
        </w:rPr>
        <w:t>10</w:t>
      </w:r>
      <w:r w:rsidRPr="00800D22">
        <w:rPr>
          <w:sz w:val="24"/>
        </w:rPr>
        <w:t>％</w:t>
      </w:r>
      <w:r w:rsidRPr="00800D22">
        <w:rPr>
          <w:rFonts w:hint="eastAsia"/>
          <w:sz w:val="24"/>
        </w:rPr>
        <w:t>、</w:t>
      </w:r>
      <w:r w:rsidRPr="00800D22">
        <w:rPr>
          <w:sz w:val="24"/>
        </w:rPr>
        <w:t>10</w:t>
      </w:r>
      <w:r w:rsidRPr="00800D22">
        <w:rPr>
          <w:sz w:val="24"/>
        </w:rPr>
        <w:t>％</w:t>
      </w:r>
      <w:r w:rsidRPr="00800D22">
        <w:rPr>
          <w:rFonts w:hint="eastAsia"/>
          <w:sz w:val="24"/>
        </w:rPr>
        <w:t>和</w:t>
      </w:r>
      <w:r w:rsidRPr="00800D22">
        <w:rPr>
          <w:sz w:val="24"/>
        </w:rPr>
        <w:t>10</w:t>
      </w:r>
      <w:r w:rsidRPr="00800D22">
        <w:rPr>
          <w:sz w:val="24"/>
        </w:rPr>
        <w:t>％。在出现</w:t>
      </w:r>
      <w:r w:rsidRPr="00800D22">
        <w:rPr>
          <w:sz w:val="24"/>
        </w:rPr>
        <w:t>10</w:t>
      </w:r>
      <w:r w:rsidRPr="00800D22">
        <w:rPr>
          <w:sz w:val="24"/>
        </w:rPr>
        <w:t>家企业违约的情景下，优先层债券的损失率具体计算见表</w:t>
      </w:r>
      <w:r>
        <w:rPr>
          <w:rFonts w:hint="eastAsia"/>
          <w:sz w:val="24"/>
        </w:rPr>
        <w:t>2</w:t>
      </w:r>
      <w:r w:rsidRPr="00800D22">
        <w:rPr>
          <w:sz w:val="24"/>
        </w:rPr>
        <w:t>：</w:t>
      </w:r>
    </w:p>
    <w:p w14:paraId="2FB818E7" w14:textId="18E89D25" w:rsidR="00995E2A" w:rsidRPr="00800D22" w:rsidRDefault="00995E2A" w:rsidP="00995E2A">
      <w:pPr>
        <w:pStyle w:val="aff1"/>
        <w:spacing w:beforeLines="100" w:before="312"/>
        <w:jc w:val="center"/>
        <w:rPr>
          <w:rFonts w:ascii="Times New Roman" w:eastAsia="新宋体" w:hAnsi="新宋体" w:cs="Times New Roman" w:hint="eastAsia"/>
          <w:sz w:val="21"/>
          <w:szCs w:val="21"/>
        </w:rPr>
      </w:pPr>
      <w:bookmarkStart w:id="17" w:name="_Toc246425357"/>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2</w:t>
      </w:r>
      <w:r w:rsidRPr="00800D22">
        <w:rPr>
          <w:rFonts w:ascii="Times New Roman" w:eastAsia="新宋体" w:hAnsi="新宋体" w:cs="Times New Roman" w:hint="eastAsia"/>
          <w:sz w:val="21"/>
          <w:szCs w:val="21"/>
        </w:rPr>
        <w:t xml:space="preserve">  P-CBO</w:t>
      </w:r>
      <w:r w:rsidRPr="00800D22">
        <w:rPr>
          <w:rFonts w:ascii="Times New Roman" w:eastAsia="新宋体" w:hAnsi="新宋体" w:cs="Times New Roman" w:hint="eastAsia"/>
          <w:sz w:val="21"/>
          <w:szCs w:val="21"/>
        </w:rPr>
        <w:t>优先层债券在</w:t>
      </w:r>
      <w:r w:rsidRPr="00800D22">
        <w:rPr>
          <w:rFonts w:ascii="Times New Roman" w:eastAsia="新宋体" w:hAnsi="新宋体" w:cs="Times New Roman" w:hint="eastAsia"/>
          <w:sz w:val="21"/>
          <w:szCs w:val="21"/>
        </w:rPr>
        <w:t>10</w:t>
      </w:r>
      <w:r w:rsidRPr="00800D22">
        <w:rPr>
          <w:rFonts w:ascii="Times New Roman" w:eastAsia="新宋体" w:hAnsi="新宋体" w:cs="Times New Roman" w:hint="eastAsia"/>
          <w:sz w:val="21"/>
          <w:szCs w:val="21"/>
        </w:rPr>
        <w:t>家企业违约时的现金流状况表</w:t>
      </w:r>
      <w:bookmarkEnd w:id="17"/>
    </w:p>
    <w:p w14:paraId="44A034A1" w14:textId="62701A24" w:rsidR="00995E2A" w:rsidRPr="00800D22" w:rsidRDefault="00995E2A" w:rsidP="00995E2A">
      <w:pPr>
        <w:jc w:val="center"/>
        <w:rPr>
          <w:rFonts w:hint="eastAsia"/>
          <w:szCs w:val="21"/>
        </w:rPr>
      </w:pPr>
      <w:r w:rsidRPr="00800D22">
        <w:rPr>
          <w:rFonts w:hint="eastAsia"/>
          <w:szCs w:val="21"/>
        </w:rPr>
        <w:t xml:space="preserve">Table </w:t>
      </w:r>
      <w:r>
        <w:rPr>
          <w:rFonts w:hint="eastAsia"/>
          <w:szCs w:val="21"/>
        </w:rPr>
        <w:t>2</w:t>
      </w:r>
      <w:r w:rsidRPr="00800D22">
        <w:rPr>
          <w:rFonts w:hint="eastAsia"/>
          <w:szCs w:val="21"/>
        </w:rPr>
        <w:t xml:space="preserve">  C</w:t>
      </w:r>
      <w:r w:rsidRPr="00800D22">
        <w:rPr>
          <w:szCs w:val="21"/>
        </w:rPr>
        <w:t>ash flows</w:t>
      </w:r>
      <w:r w:rsidRPr="00800D22">
        <w:rPr>
          <w:rFonts w:hint="eastAsia"/>
          <w:szCs w:val="21"/>
        </w:rPr>
        <w:t xml:space="preserve"> of </w:t>
      </w:r>
      <w:r w:rsidRPr="00800D22">
        <w:rPr>
          <w:szCs w:val="21"/>
        </w:rPr>
        <w:t>preferential</w:t>
      </w:r>
      <w:r w:rsidRPr="00800D22">
        <w:rPr>
          <w:rFonts w:hint="eastAsia"/>
          <w:szCs w:val="21"/>
        </w:rPr>
        <w:t xml:space="preserve"> l</w:t>
      </w:r>
      <w:r w:rsidRPr="00800D22">
        <w:rPr>
          <w:szCs w:val="21"/>
        </w:rPr>
        <w:t>ayer</w:t>
      </w:r>
      <w:r w:rsidRPr="00800D22">
        <w:rPr>
          <w:rFonts w:hint="eastAsia"/>
          <w:szCs w:val="21"/>
        </w:rPr>
        <w:t xml:space="preserve"> P-CBO in case of 10 enterprises default</w:t>
      </w:r>
    </w:p>
    <w:tbl>
      <w:tblPr>
        <w:tblW w:w="8460" w:type="dxa"/>
        <w:tblBorders>
          <w:top w:val="single" w:sz="4" w:space="0" w:color="auto"/>
          <w:bottom w:val="single" w:sz="4" w:space="0" w:color="auto"/>
        </w:tblBorders>
        <w:tblLayout w:type="fixed"/>
        <w:tblLook w:val="0000" w:firstRow="0" w:lastRow="0" w:firstColumn="0" w:lastColumn="0" w:noHBand="0" w:noVBand="0"/>
      </w:tblPr>
      <w:tblGrid>
        <w:gridCol w:w="720"/>
        <w:gridCol w:w="869"/>
        <w:gridCol w:w="958"/>
        <w:gridCol w:w="1194"/>
        <w:gridCol w:w="1221"/>
        <w:gridCol w:w="992"/>
        <w:gridCol w:w="1417"/>
        <w:gridCol w:w="1089"/>
      </w:tblGrid>
      <w:tr w:rsidR="00995E2A" w:rsidRPr="00800D22" w14:paraId="7855C14D" w14:textId="77777777" w:rsidTr="000A32F1">
        <w:trPr>
          <w:trHeight w:val="255"/>
        </w:trPr>
        <w:tc>
          <w:tcPr>
            <w:tcW w:w="720" w:type="dxa"/>
            <w:tcBorders>
              <w:top w:val="single" w:sz="4" w:space="0" w:color="auto"/>
              <w:bottom w:val="single" w:sz="4" w:space="0" w:color="auto"/>
            </w:tcBorders>
            <w:vAlign w:val="center"/>
          </w:tcPr>
          <w:p w14:paraId="510FCEBE" w14:textId="77777777" w:rsidR="00995E2A" w:rsidRPr="00800D22" w:rsidRDefault="00995E2A" w:rsidP="000A32F1">
            <w:pPr>
              <w:widowControl/>
              <w:rPr>
                <w:kern w:val="0"/>
                <w:szCs w:val="21"/>
              </w:rPr>
            </w:pPr>
            <w:r w:rsidRPr="00800D22">
              <w:rPr>
                <w:kern w:val="0"/>
                <w:szCs w:val="21"/>
              </w:rPr>
              <w:t>时间</w:t>
            </w:r>
          </w:p>
        </w:tc>
        <w:tc>
          <w:tcPr>
            <w:tcW w:w="869" w:type="dxa"/>
            <w:tcBorders>
              <w:top w:val="single" w:sz="4" w:space="0" w:color="auto"/>
              <w:bottom w:val="single" w:sz="4" w:space="0" w:color="auto"/>
            </w:tcBorders>
            <w:noWrap/>
            <w:vAlign w:val="center"/>
          </w:tcPr>
          <w:p w14:paraId="667B2916" w14:textId="77777777" w:rsidR="00995E2A" w:rsidRPr="00800D22" w:rsidRDefault="00995E2A" w:rsidP="000A32F1">
            <w:pPr>
              <w:widowControl/>
              <w:rPr>
                <w:kern w:val="0"/>
                <w:szCs w:val="21"/>
              </w:rPr>
            </w:pPr>
            <w:r w:rsidRPr="00800D22">
              <w:rPr>
                <w:kern w:val="0"/>
                <w:szCs w:val="21"/>
              </w:rPr>
              <w:t>非违约资产</w:t>
            </w:r>
          </w:p>
        </w:tc>
        <w:tc>
          <w:tcPr>
            <w:tcW w:w="958" w:type="dxa"/>
            <w:tcBorders>
              <w:top w:val="single" w:sz="4" w:space="0" w:color="auto"/>
              <w:bottom w:val="single" w:sz="4" w:space="0" w:color="auto"/>
            </w:tcBorders>
            <w:noWrap/>
            <w:vAlign w:val="center"/>
          </w:tcPr>
          <w:p w14:paraId="1DE41792" w14:textId="77777777" w:rsidR="00995E2A" w:rsidRPr="00800D22" w:rsidRDefault="00995E2A" w:rsidP="000A32F1">
            <w:pPr>
              <w:widowControl/>
              <w:rPr>
                <w:kern w:val="0"/>
                <w:szCs w:val="21"/>
              </w:rPr>
            </w:pPr>
            <w:r w:rsidRPr="00800D22">
              <w:rPr>
                <w:kern w:val="0"/>
                <w:szCs w:val="21"/>
              </w:rPr>
              <w:t>违约回收资产</w:t>
            </w:r>
          </w:p>
        </w:tc>
        <w:tc>
          <w:tcPr>
            <w:tcW w:w="1194" w:type="dxa"/>
            <w:tcBorders>
              <w:top w:val="single" w:sz="4" w:space="0" w:color="auto"/>
              <w:bottom w:val="single" w:sz="4" w:space="0" w:color="auto"/>
            </w:tcBorders>
            <w:noWrap/>
            <w:vAlign w:val="center"/>
          </w:tcPr>
          <w:p w14:paraId="52690911" w14:textId="77777777" w:rsidR="00995E2A" w:rsidRPr="00800D22" w:rsidRDefault="00995E2A" w:rsidP="000A32F1">
            <w:pPr>
              <w:widowControl/>
              <w:rPr>
                <w:kern w:val="0"/>
                <w:szCs w:val="21"/>
              </w:rPr>
            </w:pPr>
            <w:r w:rsidRPr="00800D22">
              <w:rPr>
                <w:kern w:val="0"/>
                <w:szCs w:val="21"/>
              </w:rPr>
              <w:t>回收资产的利息</w:t>
            </w:r>
          </w:p>
        </w:tc>
        <w:tc>
          <w:tcPr>
            <w:tcW w:w="1221" w:type="dxa"/>
            <w:tcBorders>
              <w:top w:val="single" w:sz="4" w:space="0" w:color="auto"/>
              <w:bottom w:val="single" w:sz="4" w:space="0" w:color="auto"/>
            </w:tcBorders>
            <w:noWrap/>
            <w:vAlign w:val="center"/>
          </w:tcPr>
          <w:p w14:paraId="228DA087" w14:textId="77777777" w:rsidR="00995E2A" w:rsidRPr="00800D22" w:rsidRDefault="00995E2A" w:rsidP="000A32F1">
            <w:pPr>
              <w:widowControl/>
              <w:rPr>
                <w:kern w:val="0"/>
                <w:szCs w:val="21"/>
              </w:rPr>
            </w:pPr>
            <w:r w:rsidRPr="00800D22">
              <w:rPr>
                <w:kern w:val="0"/>
                <w:szCs w:val="21"/>
              </w:rPr>
              <w:t>非违约资产的利息</w:t>
            </w:r>
          </w:p>
        </w:tc>
        <w:tc>
          <w:tcPr>
            <w:tcW w:w="992" w:type="dxa"/>
            <w:tcBorders>
              <w:top w:val="single" w:sz="4" w:space="0" w:color="auto"/>
              <w:bottom w:val="single" w:sz="4" w:space="0" w:color="auto"/>
            </w:tcBorders>
            <w:noWrap/>
            <w:vAlign w:val="center"/>
          </w:tcPr>
          <w:p w14:paraId="2E541C3B" w14:textId="77777777" w:rsidR="00995E2A" w:rsidRPr="00800D22" w:rsidRDefault="00995E2A" w:rsidP="000A32F1">
            <w:pPr>
              <w:widowControl/>
              <w:rPr>
                <w:kern w:val="0"/>
                <w:szCs w:val="21"/>
              </w:rPr>
            </w:pPr>
            <w:r w:rsidRPr="00800D22">
              <w:rPr>
                <w:kern w:val="0"/>
                <w:szCs w:val="21"/>
              </w:rPr>
              <w:t>可用现金流</w:t>
            </w:r>
          </w:p>
        </w:tc>
        <w:tc>
          <w:tcPr>
            <w:tcW w:w="1417" w:type="dxa"/>
            <w:tcBorders>
              <w:top w:val="single" w:sz="4" w:space="0" w:color="auto"/>
              <w:bottom w:val="single" w:sz="4" w:space="0" w:color="auto"/>
            </w:tcBorders>
            <w:noWrap/>
            <w:vAlign w:val="center"/>
          </w:tcPr>
          <w:p w14:paraId="6BCBDE52" w14:textId="77777777" w:rsidR="00995E2A" w:rsidRPr="00800D22" w:rsidRDefault="00995E2A" w:rsidP="000A32F1">
            <w:pPr>
              <w:widowControl/>
              <w:rPr>
                <w:kern w:val="0"/>
                <w:szCs w:val="21"/>
              </w:rPr>
            </w:pPr>
            <w:r w:rsidRPr="00800D22">
              <w:rPr>
                <w:kern w:val="0"/>
                <w:szCs w:val="21"/>
              </w:rPr>
              <w:t>给付利息后剩余现金流</w:t>
            </w:r>
          </w:p>
        </w:tc>
        <w:tc>
          <w:tcPr>
            <w:tcW w:w="1089" w:type="dxa"/>
            <w:tcBorders>
              <w:top w:val="single" w:sz="4" w:space="0" w:color="auto"/>
              <w:bottom w:val="single" w:sz="4" w:space="0" w:color="auto"/>
            </w:tcBorders>
            <w:noWrap/>
            <w:vAlign w:val="center"/>
          </w:tcPr>
          <w:p w14:paraId="071CD64B" w14:textId="77777777" w:rsidR="00995E2A" w:rsidRPr="00800D22" w:rsidRDefault="00995E2A" w:rsidP="000A32F1">
            <w:pPr>
              <w:widowControl/>
              <w:rPr>
                <w:kern w:val="0"/>
                <w:szCs w:val="21"/>
              </w:rPr>
            </w:pPr>
            <w:r w:rsidRPr="00800D22">
              <w:rPr>
                <w:kern w:val="0"/>
                <w:szCs w:val="21"/>
              </w:rPr>
              <w:t>优先层债券所得现金流</w:t>
            </w:r>
          </w:p>
        </w:tc>
      </w:tr>
      <w:tr w:rsidR="00995E2A" w:rsidRPr="00800D22" w14:paraId="1AB503FF" w14:textId="77777777" w:rsidTr="000A32F1">
        <w:trPr>
          <w:trHeight w:val="255"/>
        </w:trPr>
        <w:tc>
          <w:tcPr>
            <w:tcW w:w="720" w:type="dxa"/>
            <w:tcBorders>
              <w:top w:val="single" w:sz="4" w:space="0" w:color="auto"/>
            </w:tcBorders>
            <w:vAlign w:val="center"/>
          </w:tcPr>
          <w:p w14:paraId="0CE5A0CF" w14:textId="77777777" w:rsidR="00995E2A" w:rsidRPr="00800D22" w:rsidRDefault="00995E2A" w:rsidP="000A32F1">
            <w:pPr>
              <w:widowControl/>
              <w:rPr>
                <w:kern w:val="0"/>
                <w:sz w:val="18"/>
                <w:szCs w:val="18"/>
              </w:rPr>
            </w:pPr>
            <w:r w:rsidRPr="00800D22">
              <w:rPr>
                <w:kern w:val="0"/>
                <w:sz w:val="18"/>
                <w:szCs w:val="18"/>
              </w:rPr>
              <w:t>0.5</w:t>
            </w:r>
          </w:p>
        </w:tc>
        <w:tc>
          <w:tcPr>
            <w:tcW w:w="869" w:type="dxa"/>
            <w:tcBorders>
              <w:top w:val="single" w:sz="4" w:space="0" w:color="auto"/>
            </w:tcBorders>
            <w:noWrap/>
            <w:vAlign w:val="center"/>
          </w:tcPr>
          <w:p w14:paraId="6056E629" w14:textId="77777777" w:rsidR="00995E2A" w:rsidRPr="00800D22" w:rsidRDefault="00995E2A" w:rsidP="000A32F1">
            <w:pPr>
              <w:widowControl/>
              <w:rPr>
                <w:kern w:val="0"/>
                <w:sz w:val="18"/>
                <w:szCs w:val="18"/>
              </w:rPr>
            </w:pPr>
            <w:r w:rsidRPr="00800D22">
              <w:rPr>
                <w:kern w:val="0"/>
                <w:sz w:val="18"/>
                <w:szCs w:val="18"/>
              </w:rPr>
              <w:t>100.00</w:t>
            </w:r>
          </w:p>
        </w:tc>
        <w:tc>
          <w:tcPr>
            <w:tcW w:w="958" w:type="dxa"/>
            <w:tcBorders>
              <w:top w:val="single" w:sz="4" w:space="0" w:color="auto"/>
            </w:tcBorders>
            <w:noWrap/>
            <w:vAlign w:val="center"/>
          </w:tcPr>
          <w:p w14:paraId="00C89F3F" w14:textId="77777777" w:rsidR="00995E2A" w:rsidRPr="00800D22" w:rsidRDefault="00995E2A" w:rsidP="000A32F1">
            <w:pPr>
              <w:widowControl/>
              <w:rPr>
                <w:kern w:val="0"/>
                <w:sz w:val="18"/>
                <w:szCs w:val="18"/>
              </w:rPr>
            </w:pPr>
            <w:r w:rsidRPr="00800D22">
              <w:rPr>
                <w:kern w:val="0"/>
                <w:sz w:val="18"/>
                <w:szCs w:val="18"/>
              </w:rPr>
              <w:t>0.00</w:t>
            </w:r>
          </w:p>
        </w:tc>
        <w:tc>
          <w:tcPr>
            <w:tcW w:w="1194" w:type="dxa"/>
            <w:tcBorders>
              <w:top w:val="single" w:sz="4" w:space="0" w:color="auto"/>
            </w:tcBorders>
            <w:noWrap/>
            <w:vAlign w:val="center"/>
          </w:tcPr>
          <w:p w14:paraId="2B91DA07" w14:textId="77777777" w:rsidR="00995E2A" w:rsidRPr="00800D22" w:rsidRDefault="00995E2A" w:rsidP="000A32F1">
            <w:pPr>
              <w:widowControl/>
              <w:rPr>
                <w:kern w:val="0"/>
                <w:sz w:val="18"/>
                <w:szCs w:val="18"/>
              </w:rPr>
            </w:pPr>
            <w:r w:rsidRPr="00800D22">
              <w:rPr>
                <w:kern w:val="0"/>
                <w:sz w:val="18"/>
                <w:szCs w:val="18"/>
              </w:rPr>
              <w:t>0.00</w:t>
            </w:r>
          </w:p>
        </w:tc>
        <w:tc>
          <w:tcPr>
            <w:tcW w:w="1221" w:type="dxa"/>
            <w:tcBorders>
              <w:top w:val="single" w:sz="4" w:space="0" w:color="auto"/>
            </w:tcBorders>
            <w:noWrap/>
            <w:vAlign w:val="center"/>
          </w:tcPr>
          <w:p w14:paraId="1566037B" w14:textId="77777777" w:rsidR="00995E2A" w:rsidRPr="00800D22" w:rsidRDefault="00995E2A" w:rsidP="000A32F1">
            <w:pPr>
              <w:widowControl/>
              <w:rPr>
                <w:kern w:val="0"/>
                <w:sz w:val="18"/>
                <w:szCs w:val="18"/>
              </w:rPr>
            </w:pPr>
            <w:r w:rsidRPr="00800D22">
              <w:rPr>
                <w:kern w:val="0"/>
                <w:sz w:val="18"/>
                <w:szCs w:val="18"/>
              </w:rPr>
              <w:t>5.50</w:t>
            </w:r>
          </w:p>
        </w:tc>
        <w:tc>
          <w:tcPr>
            <w:tcW w:w="992" w:type="dxa"/>
            <w:tcBorders>
              <w:top w:val="single" w:sz="4" w:space="0" w:color="auto"/>
            </w:tcBorders>
            <w:noWrap/>
            <w:vAlign w:val="center"/>
          </w:tcPr>
          <w:p w14:paraId="05A048DC" w14:textId="77777777" w:rsidR="00995E2A" w:rsidRPr="00800D22" w:rsidRDefault="00995E2A" w:rsidP="000A32F1">
            <w:pPr>
              <w:widowControl/>
              <w:rPr>
                <w:kern w:val="0"/>
                <w:sz w:val="18"/>
                <w:szCs w:val="18"/>
              </w:rPr>
            </w:pPr>
            <w:r w:rsidRPr="00800D22">
              <w:rPr>
                <w:kern w:val="0"/>
                <w:sz w:val="18"/>
                <w:szCs w:val="18"/>
              </w:rPr>
              <w:t>5.50</w:t>
            </w:r>
          </w:p>
        </w:tc>
        <w:tc>
          <w:tcPr>
            <w:tcW w:w="1417" w:type="dxa"/>
            <w:tcBorders>
              <w:top w:val="single" w:sz="4" w:space="0" w:color="auto"/>
            </w:tcBorders>
            <w:noWrap/>
            <w:vAlign w:val="center"/>
          </w:tcPr>
          <w:p w14:paraId="7117E078" w14:textId="77777777" w:rsidR="00995E2A" w:rsidRPr="00800D22" w:rsidRDefault="00995E2A" w:rsidP="000A32F1">
            <w:pPr>
              <w:widowControl/>
              <w:rPr>
                <w:kern w:val="0"/>
                <w:sz w:val="18"/>
                <w:szCs w:val="18"/>
              </w:rPr>
            </w:pPr>
            <w:r w:rsidRPr="00800D22">
              <w:rPr>
                <w:kern w:val="0"/>
                <w:sz w:val="18"/>
                <w:szCs w:val="18"/>
              </w:rPr>
              <w:t>1.90</w:t>
            </w:r>
          </w:p>
        </w:tc>
        <w:tc>
          <w:tcPr>
            <w:tcW w:w="1089" w:type="dxa"/>
            <w:tcBorders>
              <w:top w:val="single" w:sz="4" w:space="0" w:color="auto"/>
            </w:tcBorders>
            <w:noWrap/>
            <w:vAlign w:val="center"/>
          </w:tcPr>
          <w:p w14:paraId="3C0B5B29" w14:textId="77777777" w:rsidR="00995E2A" w:rsidRPr="00800D22" w:rsidRDefault="00995E2A" w:rsidP="000A32F1">
            <w:pPr>
              <w:widowControl/>
              <w:rPr>
                <w:kern w:val="0"/>
                <w:sz w:val="18"/>
                <w:szCs w:val="18"/>
              </w:rPr>
            </w:pPr>
            <w:r w:rsidRPr="00800D22">
              <w:rPr>
                <w:kern w:val="0"/>
                <w:sz w:val="18"/>
                <w:szCs w:val="18"/>
              </w:rPr>
              <w:t>2.40</w:t>
            </w:r>
          </w:p>
        </w:tc>
      </w:tr>
      <w:tr w:rsidR="00995E2A" w:rsidRPr="00800D22" w14:paraId="4323D3AB" w14:textId="77777777" w:rsidTr="000A32F1">
        <w:trPr>
          <w:trHeight w:val="255"/>
        </w:trPr>
        <w:tc>
          <w:tcPr>
            <w:tcW w:w="720" w:type="dxa"/>
            <w:vAlign w:val="center"/>
          </w:tcPr>
          <w:p w14:paraId="2D6707C8" w14:textId="77777777" w:rsidR="00995E2A" w:rsidRPr="00800D22" w:rsidRDefault="00995E2A" w:rsidP="000A32F1">
            <w:pPr>
              <w:widowControl/>
              <w:rPr>
                <w:kern w:val="0"/>
                <w:sz w:val="18"/>
                <w:szCs w:val="18"/>
              </w:rPr>
            </w:pPr>
            <w:r w:rsidRPr="00800D22">
              <w:rPr>
                <w:kern w:val="0"/>
                <w:sz w:val="18"/>
                <w:szCs w:val="18"/>
              </w:rPr>
              <w:t>1</w:t>
            </w:r>
          </w:p>
        </w:tc>
        <w:tc>
          <w:tcPr>
            <w:tcW w:w="869" w:type="dxa"/>
            <w:noWrap/>
            <w:vAlign w:val="center"/>
          </w:tcPr>
          <w:p w14:paraId="64A25BB2" w14:textId="77777777" w:rsidR="00995E2A" w:rsidRPr="00800D22" w:rsidRDefault="00995E2A" w:rsidP="000A32F1">
            <w:pPr>
              <w:widowControl/>
              <w:rPr>
                <w:kern w:val="0"/>
                <w:sz w:val="18"/>
                <w:szCs w:val="18"/>
              </w:rPr>
            </w:pPr>
            <w:r w:rsidRPr="00800D22">
              <w:rPr>
                <w:kern w:val="0"/>
                <w:sz w:val="18"/>
                <w:szCs w:val="18"/>
              </w:rPr>
              <w:t>75.00</w:t>
            </w:r>
          </w:p>
        </w:tc>
        <w:tc>
          <w:tcPr>
            <w:tcW w:w="958" w:type="dxa"/>
            <w:noWrap/>
            <w:vAlign w:val="center"/>
          </w:tcPr>
          <w:p w14:paraId="43A4A5EA" w14:textId="77777777" w:rsidR="00995E2A" w:rsidRPr="00800D22" w:rsidRDefault="00995E2A" w:rsidP="000A32F1">
            <w:pPr>
              <w:widowControl/>
              <w:rPr>
                <w:kern w:val="0"/>
                <w:sz w:val="18"/>
                <w:szCs w:val="18"/>
              </w:rPr>
            </w:pPr>
            <w:r w:rsidRPr="00800D22">
              <w:rPr>
                <w:kern w:val="0"/>
                <w:sz w:val="18"/>
                <w:szCs w:val="18"/>
              </w:rPr>
              <w:t>7.50</w:t>
            </w:r>
          </w:p>
        </w:tc>
        <w:tc>
          <w:tcPr>
            <w:tcW w:w="1194" w:type="dxa"/>
            <w:noWrap/>
            <w:vAlign w:val="center"/>
          </w:tcPr>
          <w:p w14:paraId="1E7DCB37" w14:textId="77777777" w:rsidR="00995E2A" w:rsidRPr="00800D22" w:rsidRDefault="00995E2A" w:rsidP="000A32F1">
            <w:pPr>
              <w:widowControl/>
              <w:rPr>
                <w:kern w:val="0"/>
                <w:sz w:val="18"/>
                <w:szCs w:val="18"/>
              </w:rPr>
            </w:pPr>
            <w:r w:rsidRPr="00800D22">
              <w:rPr>
                <w:kern w:val="0"/>
                <w:sz w:val="18"/>
                <w:szCs w:val="18"/>
              </w:rPr>
              <w:t>0.41</w:t>
            </w:r>
          </w:p>
        </w:tc>
        <w:tc>
          <w:tcPr>
            <w:tcW w:w="1221" w:type="dxa"/>
            <w:noWrap/>
            <w:vAlign w:val="center"/>
          </w:tcPr>
          <w:p w14:paraId="5AE9C237" w14:textId="77777777" w:rsidR="00995E2A" w:rsidRPr="00800D22" w:rsidRDefault="00995E2A" w:rsidP="000A32F1">
            <w:pPr>
              <w:widowControl/>
              <w:rPr>
                <w:kern w:val="0"/>
                <w:sz w:val="18"/>
                <w:szCs w:val="18"/>
              </w:rPr>
            </w:pPr>
            <w:r w:rsidRPr="00800D22">
              <w:rPr>
                <w:kern w:val="0"/>
                <w:sz w:val="18"/>
                <w:szCs w:val="18"/>
              </w:rPr>
              <w:t>4.13</w:t>
            </w:r>
          </w:p>
        </w:tc>
        <w:tc>
          <w:tcPr>
            <w:tcW w:w="992" w:type="dxa"/>
            <w:noWrap/>
            <w:vAlign w:val="center"/>
          </w:tcPr>
          <w:p w14:paraId="54CC8B86" w14:textId="77777777" w:rsidR="00995E2A" w:rsidRPr="00800D22" w:rsidRDefault="00995E2A" w:rsidP="000A32F1">
            <w:pPr>
              <w:widowControl/>
              <w:rPr>
                <w:kern w:val="0"/>
                <w:sz w:val="18"/>
                <w:szCs w:val="18"/>
              </w:rPr>
            </w:pPr>
            <w:r w:rsidRPr="00800D22">
              <w:rPr>
                <w:kern w:val="0"/>
                <w:sz w:val="18"/>
                <w:szCs w:val="18"/>
              </w:rPr>
              <w:t>6.54</w:t>
            </w:r>
          </w:p>
        </w:tc>
        <w:tc>
          <w:tcPr>
            <w:tcW w:w="1417" w:type="dxa"/>
            <w:noWrap/>
            <w:vAlign w:val="center"/>
          </w:tcPr>
          <w:p w14:paraId="461181D3" w14:textId="77777777" w:rsidR="00995E2A" w:rsidRPr="00800D22" w:rsidRDefault="00995E2A" w:rsidP="000A32F1">
            <w:pPr>
              <w:widowControl/>
              <w:rPr>
                <w:kern w:val="0"/>
                <w:sz w:val="18"/>
                <w:szCs w:val="18"/>
              </w:rPr>
            </w:pPr>
            <w:r w:rsidRPr="00800D22">
              <w:rPr>
                <w:kern w:val="0"/>
                <w:sz w:val="18"/>
                <w:szCs w:val="18"/>
              </w:rPr>
              <w:t>2.94</w:t>
            </w:r>
          </w:p>
        </w:tc>
        <w:tc>
          <w:tcPr>
            <w:tcW w:w="1089" w:type="dxa"/>
            <w:noWrap/>
            <w:vAlign w:val="center"/>
          </w:tcPr>
          <w:p w14:paraId="28AE55F1" w14:textId="77777777" w:rsidR="00995E2A" w:rsidRPr="00800D22" w:rsidRDefault="00995E2A" w:rsidP="000A32F1">
            <w:pPr>
              <w:widowControl/>
              <w:rPr>
                <w:kern w:val="0"/>
                <w:sz w:val="18"/>
                <w:szCs w:val="18"/>
              </w:rPr>
            </w:pPr>
            <w:r w:rsidRPr="00800D22">
              <w:rPr>
                <w:kern w:val="0"/>
                <w:sz w:val="18"/>
                <w:szCs w:val="18"/>
              </w:rPr>
              <w:t>2.40</w:t>
            </w:r>
          </w:p>
        </w:tc>
      </w:tr>
      <w:tr w:rsidR="00995E2A" w:rsidRPr="00800D22" w14:paraId="23DBDF56" w14:textId="77777777" w:rsidTr="000A32F1">
        <w:trPr>
          <w:trHeight w:val="255"/>
        </w:trPr>
        <w:tc>
          <w:tcPr>
            <w:tcW w:w="720" w:type="dxa"/>
            <w:vAlign w:val="center"/>
          </w:tcPr>
          <w:p w14:paraId="507C2E26" w14:textId="77777777" w:rsidR="00995E2A" w:rsidRPr="00800D22" w:rsidRDefault="00995E2A" w:rsidP="000A32F1">
            <w:pPr>
              <w:widowControl/>
              <w:rPr>
                <w:kern w:val="0"/>
                <w:sz w:val="18"/>
                <w:szCs w:val="18"/>
              </w:rPr>
            </w:pPr>
            <w:r w:rsidRPr="00800D22">
              <w:rPr>
                <w:kern w:val="0"/>
                <w:sz w:val="18"/>
                <w:szCs w:val="18"/>
              </w:rPr>
              <w:t>1.5</w:t>
            </w:r>
          </w:p>
        </w:tc>
        <w:tc>
          <w:tcPr>
            <w:tcW w:w="869" w:type="dxa"/>
            <w:noWrap/>
            <w:vAlign w:val="center"/>
          </w:tcPr>
          <w:p w14:paraId="47033847" w14:textId="77777777" w:rsidR="00995E2A" w:rsidRPr="00800D22" w:rsidRDefault="00995E2A" w:rsidP="000A32F1">
            <w:pPr>
              <w:widowControl/>
              <w:rPr>
                <w:kern w:val="0"/>
                <w:sz w:val="18"/>
                <w:szCs w:val="18"/>
              </w:rPr>
            </w:pPr>
            <w:r w:rsidRPr="00800D22">
              <w:rPr>
                <w:kern w:val="0"/>
                <w:sz w:val="18"/>
                <w:szCs w:val="18"/>
              </w:rPr>
              <w:t>75.00</w:t>
            </w:r>
          </w:p>
        </w:tc>
        <w:tc>
          <w:tcPr>
            <w:tcW w:w="958" w:type="dxa"/>
            <w:noWrap/>
            <w:vAlign w:val="center"/>
          </w:tcPr>
          <w:p w14:paraId="6192D8C7" w14:textId="77777777" w:rsidR="00995E2A" w:rsidRPr="00800D22" w:rsidRDefault="00995E2A" w:rsidP="000A32F1">
            <w:pPr>
              <w:widowControl/>
              <w:rPr>
                <w:kern w:val="0"/>
                <w:sz w:val="18"/>
                <w:szCs w:val="18"/>
              </w:rPr>
            </w:pPr>
            <w:r w:rsidRPr="00800D22">
              <w:rPr>
                <w:kern w:val="0"/>
                <w:sz w:val="18"/>
                <w:szCs w:val="18"/>
              </w:rPr>
              <w:t>7.50</w:t>
            </w:r>
          </w:p>
        </w:tc>
        <w:tc>
          <w:tcPr>
            <w:tcW w:w="1194" w:type="dxa"/>
            <w:noWrap/>
            <w:vAlign w:val="center"/>
          </w:tcPr>
          <w:p w14:paraId="59933417" w14:textId="77777777" w:rsidR="00995E2A" w:rsidRPr="00800D22" w:rsidRDefault="00995E2A" w:rsidP="000A32F1">
            <w:pPr>
              <w:widowControl/>
              <w:rPr>
                <w:kern w:val="0"/>
                <w:sz w:val="18"/>
                <w:szCs w:val="18"/>
              </w:rPr>
            </w:pPr>
            <w:r w:rsidRPr="00800D22">
              <w:rPr>
                <w:kern w:val="0"/>
                <w:sz w:val="18"/>
                <w:szCs w:val="18"/>
              </w:rPr>
              <w:t>0.41</w:t>
            </w:r>
          </w:p>
        </w:tc>
        <w:tc>
          <w:tcPr>
            <w:tcW w:w="1221" w:type="dxa"/>
            <w:noWrap/>
            <w:vAlign w:val="center"/>
          </w:tcPr>
          <w:p w14:paraId="7F424279" w14:textId="77777777" w:rsidR="00995E2A" w:rsidRPr="00800D22" w:rsidRDefault="00995E2A" w:rsidP="000A32F1">
            <w:pPr>
              <w:widowControl/>
              <w:rPr>
                <w:kern w:val="0"/>
                <w:sz w:val="18"/>
                <w:szCs w:val="18"/>
              </w:rPr>
            </w:pPr>
            <w:r w:rsidRPr="00800D22">
              <w:rPr>
                <w:kern w:val="0"/>
                <w:sz w:val="18"/>
                <w:szCs w:val="18"/>
              </w:rPr>
              <w:t>4.13</w:t>
            </w:r>
          </w:p>
        </w:tc>
        <w:tc>
          <w:tcPr>
            <w:tcW w:w="992" w:type="dxa"/>
            <w:noWrap/>
            <w:vAlign w:val="center"/>
          </w:tcPr>
          <w:p w14:paraId="2BFD2048" w14:textId="77777777" w:rsidR="00995E2A" w:rsidRPr="00800D22" w:rsidRDefault="00995E2A" w:rsidP="000A32F1">
            <w:pPr>
              <w:widowControl/>
              <w:rPr>
                <w:kern w:val="0"/>
                <w:sz w:val="18"/>
                <w:szCs w:val="18"/>
              </w:rPr>
            </w:pPr>
            <w:r w:rsidRPr="00800D22">
              <w:rPr>
                <w:kern w:val="0"/>
                <w:sz w:val="18"/>
                <w:szCs w:val="18"/>
              </w:rPr>
              <w:t>7.64</w:t>
            </w:r>
          </w:p>
        </w:tc>
        <w:tc>
          <w:tcPr>
            <w:tcW w:w="1417" w:type="dxa"/>
            <w:noWrap/>
            <w:vAlign w:val="center"/>
          </w:tcPr>
          <w:p w14:paraId="28CC3B9B" w14:textId="77777777" w:rsidR="00995E2A" w:rsidRPr="00800D22" w:rsidRDefault="00995E2A" w:rsidP="000A32F1">
            <w:pPr>
              <w:widowControl/>
              <w:rPr>
                <w:kern w:val="0"/>
                <w:sz w:val="18"/>
                <w:szCs w:val="18"/>
              </w:rPr>
            </w:pPr>
            <w:r w:rsidRPr="00800D22">
              <w:rPr>
                <w:kern w:val="0"/>
                <w:sz w:val="18"/>
                <w:szCs w:val="18"/>
              </w:rPr>
              <w:t>4.04</w:t>
            </w:r>
          </w:p>
        </w:tc>
        <w:tc>
          <w:tcPr>
            <w:tcW w:w="1089" w:type="dxa"/>
            <w:noWrap/>
            <w:vAlign w:val="center"/>
          </w:tcPr>
          <w:p w14:paraId="3E176DCB" w14:textId="77777777" w:rsidR="00995E2A" w:rsidRPr="00800D22" w:rsidRDefault="00995E2A" w:rsidP="000A32F1">
            <w:pPr>
              <w:widowControl/>
              <w:rPr>
                <w:kern w:val="0"/>
                <w:sz w:val="18"/>
                <w:szCs w:val="18"/>
              </w:rPr>
            </w:pPr>
            <w:r w:rsidRPr="00800D22">
              <w:rPr>
                <w:kern w:val="0"/>
                <w:sz w:val="18"/>
                <w:szCs w:val="18"/>
              </w:rPr>
              <w:t>2.40</w:t>
            </w:r>
          </w:p>
        </w:tc>
      </w:tr>
      <w:tr w:rsidR="00995E2A" w:rsidRPr="00800D22" w14:paraId="10CBE80B" w14:textId="77777777" w:rsidTr="000A32F1">
        <w:trPr>
          <w:trHeight w:val="255"/>
        </w:trPr>
        <w:tc>
          <w:tcPr>
            <w:tcW w:w="720" w:type="dxa"/>
            <w:vAlign w:val="center"/>
          </w:tcPr>
          <w:p w14:paraId="4513B0DF" w14:textId="77777777" w:rsidR="00995E2A" w:rsidRPr="00800D22" w:rsidRDefault="00995E2A" w:rsidP="000A32F1">
            <w:pPr>
              <w:widowControl/>
              <w:rPr>
                <w:kern w:val="0"/>
                <w:sz w:val="18"/>
                <w:szCs w:val="18"/>
              </w:rPr>
            </w:pPr>
            <w:r w:rsidRPr="00800D22">
              <w:rPr>
                <w:kern w:val="0"/>
                <w:sz w:val="18"/>
                <w:szCs w:val="18"/>
              </w:rPr>
              <w:t>2</w:t>
            </w:r>
          </w:p>
        </w:tc>
        <w:tc>
          <w:tcPr>
            <w:tcW w:w="869" w:type="dxa"/>
            <w:noWrap/>
            <w:vAlign w:val="center"/>
          </w:tcPr>
          <w:p w14:paraId="1F75318E" w14:textId="77777777" w:rsidR="00995E2A" w:rsidRPr="00800D22" w:rsidRDefault="00995E2A" w:rsidP="000A32F1">
            <w:pPr>
              <w:widowControl/>
              <w:rPr>
                <w:kern w:val="0"/>
                <w:sz w:val="18"/>
                <w:szCs w:val="18"/>
              </w:rPr>
            </w:pPr>
            <w:r w:rsidRPr="00800D22">
              <w:rPr>
                <w:kern w:val="0"/>
                <w:sz w:val="18"/>
                <w:szCs w:val="18"/>
              </w:rPr>
              <w:t>70.00</w:t>
            </w:r>
          </w:p>
        </w:tc>
        <w:tc>
          <w:tcPr>
            <w:tcW w:w="958" w:type="dxa"/>
            <w:noWrap/>
            <w:vAlign w:val="center"/>
          </w:tcPr>
          <w:p w14:paraId="6DFAE68E" w14:textId="77777777" w:rsidR="00995E2A" w:rsidRPr="00800D22" w:rsidRDefault="00995E2A" w:rsidP="000A32F1">
            <w:pPr>
              <w:widowControl/>
              <w:rPr>
                <w:kern w:val="0"/>
                <w:sz w:val="18"/>
                <w:szCs w:val="18"/>
              </w:rPr>
            </w:pPr>
            <w:r w:rsidRPr="00800D22">
              <w:rPr>
                <w:kern w:val="0"/>
                <w:sz w:val="18"/>
                <w:szCs w:val="18"/>
              </w:rPr>
              <w:t>9.00</w:t>
            </w:r>
          </w:p>
        </w:tc>
        <w:tc>
          <w:tcPr>
            <w:tcW w:w="1194" w:type="dxa"/>
            <w:noWrap/>
            <w:vAlign w:val="center"/>
          </w:tcPr>
          <w:p w14:paraId="4D6BCAD9" w14:textId="77777777" w:rsidR="00995E2A" w:rsidRPr="00800D22" w:rsidRDefault="00995E2A" w:rsidP="000A32F1">
            <w:pPr>
              <w:widowControl/>
              <w:rPr>
                <w:kern w:val="0"/>
                <w:sz w:val="18"/>
                <w:szCs w:val="18"/>
              </w:rPr>
            </w:pPr>
            <w:r w:rsidRPr="00800D22">
              <w:rPr>
                <w:kern w:val="0"/>
                <w:sz w:val="18"/>
                <w:szCs w:val="18"/>
              </w:rPr>
              <w:t>0.50</w:t>
            </w:r>
          </w:p>
        </w:tc>
        <w:tc>
          <w:tcPr>
            <w:tcW w:w="1221" w:type="dxa"/>
            <w:noWrap/>
            <w:vAlign w:val="center"/>
          </w:tcPr>
          <w:p w14:paraId="3B51CB03" w14:textId="77777777" w:rsidR="00995E2A" w:rsidRPr="00800D22" w:rsidRDefault="00995E2A" w:rsidP="000A32F1">
            <w:pPr>
              <w:widowControl/>
              <w:rPr>
                <w:kern w:val="0"/>
                <w:sz w:val="18"/>
                <w:szCs w:val="18"/>
              </w:rPr>
            </w:pPr>
            <w:r w:rsidRPr="00800D22">
              <w:rPr>
                <w:kern w:val="0"/>
                <w:sz w:val="18"/>
                <w:szCs w:val="18"/>
              </w:rPr>
              <w:t>3.85</w:t>
            </w:r>
          </w:p>
        </w:tc>
        <w:tc>
          <w:tcPr>
            <w:tcW w:w="992" w:type="dxa"/>
            <w:noWrap/>
            <w:vAlign w:val="center"/>
          </w:tcPr>
          <w:p w14:paraId="4BE6064F" w14:textId="77777777" w:rsidR="00995E2A" w:rsidRPr="00800D22" w:rsidRDefault="00995E2A" w:rsidP="000A32F1">
            <w:pPr>
              <w:widowControl/>
              <w:rPr>
                <w:kern w:val="0"/>
                <w:sz w:val="18"/>
                <w:szCs w:val="18"/>
              </w:rPr>
            </w:pPr>
            <w:r w:rsidRPr="00800D22">
              <w:rPr>
                <w:kern w:val="0"/>
                <w:sz w:val="18"/>
                <w:szCs w:val="18"/>
              </w:rPr>
              <w:t>8.61</w:t>
            </w:r>
          </w:p>
        </w:tc>
        <w:tc>
          <w:tcPr>
            <w:tcW w:w="1417" w:type="dxa"/>
            <w:noWrap/>
            <w:vAlign w:val="center"/>
          </w:tcPr>
          <w:p w14:paraId="528CE4D5" w14:textId="77777777" w:rsidR="00995E2A" w:rsidRPr="00800D22" w:rsidRDefault="00995E2A" w:rsidP="000A32F1">
            <w:pPr>
              <w:widowControl/>
              <w:rPr>
                <w:kern w:val="0"/>
                <w:sz w:val="18"/>
                <w:szCs w:val="18"/>
              </w:rPr>
            </w:pPr>
            <w:r w:rsidRPr="00800D22">
              <w:rPr>
                <w:kern w:val="0"/>
                <w:sz w:val="18"/>
                <w:szCs w:val="18"/>
              </w:rPr>
              <w:t>5.01</w:t>
            </w:r>
          </w:p>
        </w:tc>
        <w:tc>
          <w:tcPr>
            <w:tcW w:w="1089" w:type="dxa"/>
            <w:noWrap/>
            <w:vAlign w:val="center"/>
          </w:tcPr>
          <w:p w14:paraId="02339AF2" w14:textId="77777777" w:rsidR="00995E2A" w:rsidRPr="00800D22" w:rsidRDefault="00995E2A" w:rsidP="000A32F1">
            <w:pPr>
              <w:widowControl/>
              <w:rPr>
                <w:kern w:val="0"/>
                <w:sz w:val="18"/>
                <w:szCs w:val="18"/>
              </w:rPr>
            </w:pPr>
            <w:r w:rsidRPr="00800D22">
              <w:rPr>
                <w:kern w:val="0"/>
                <w:sz w:val="18"/>
                <w:szCs w:val="18"/>
              </w:rPr>
              <w:t>2.40</w:t>
            </w:r>
          </w:p>
        </w:tc>
      </w:tr>
      <w:tr w:rsidR="00995E2A" w:rsidRPr="00800D22" w14:paraId="3F1029CC" w14:textId="77777777" w:rsidTr="000A32F1">
        <w:trPr>
          <w:trHeight w:val="255"/>
        </w:trPr>
        <w:tc>
          <w:tcPr>
            <w:tcW w:w="720" w:type="dxa"/>
            <w:vAlign w:val="center"/>
          </w:tcPr>
          <w:p w14:paraId="7991B554" w14:textId="77777777" w:rsidR="00995E2A" w:rsidRPr="00800D22" w:rsidRDefault="00995E2A" w:rsidP="000A32F1">
            <w:pPr>
              <w:widowControl/>
              <w:rPr>
                <w:kern w:val="0"/>
                <w:sz w:val="18"/>
                <w:szCs w:val="18"/>
              </w:rPr>
            </w:pPr>
            <w:r w:rsidRPr="00800D22">
              <w:rPr>
                <w:kern w:val="0"/>
                <w:sz w:val="18"/>
                <w:szCs w:val="18"/>
              </w:rPr>
              <w:t>2.5</w:t>
            </w:r>
          </w:p>
        </w:tc>
        <w:tc>
          <w:tcPr>
            <w:tcW w:w="869" w:type="dxa"/>
            <w:noWrap/>
            <w:vAlign w:val="center"/>
          </w:tcPr>
          <w:p w14:paraId="65E6455C" w14:textId="77777777" w:rsidR="00995E2A" w:rsidRPr="00800D22" w:rsidRDefault="00995E2A" w:rsidP="000A32F1">
            <w:pPr>
              <w:widowControl/>
              <w:rPr>
                <w:kern w:val="0"/>
                <w:sz w:val="18"/>
                <w:szCs w:val="18"/>
              </w:rPr>
            </w:pPr>
            <w:r w:rsidRPr="00800D22">
              <w:rPr>
                <w:kern w:val="0"/>
                <w:sz w:val="18"/>
                <w:szCs w:val="18"/>
              </w:rPr>
              <w:t>70.00</w:t>
            </w:r>
          </w:p>
        </w:tc>
        <w:tc>
          <w:tcPr>
            <w:tcW w:w="958" w:type="dxa"/>
            <w:noWrap/>
            <w:vAlign w:val="center"/>
          </w:tcPr>
          <w:p w14:paraId="4DFFBF5A" w14:textId="77777777" w:rsidR="00995E2A" w:rsidRPr="00800D22" w:rsidRDefault="00995E2A" w:rsidP="000A32F1">
            <w:pPr>
              <w:widowControl/>
              <w:rPr>
                <w:kern w:val="0"/>
                <w:sz w:val="18"/>
                <w:szCs w:val="18"/>
              </w:rPr>
            </w:pPr>
            <w:r w:rsidRPr="00800D22">
              <w:rPr>
                <w:kern w:val="0"/>
                <w:sz w:val="18"/>
                <w:szCs w:val="18"/>
              </w:rPr>
              <w:t>9.00</w:t>
            </w:r>
          </w:p>
        </w:tc>
        <w:tc>
          <w:tcPr>
            <w:tcW w:w="1194" w:type="dxa"/>
            <w:noWrap/>
            <w:vAlign w:val="center"/>
          </w:tcPr>
          <w:p w14:paraId="675CACDF" w14:textId="77777777" w:rsidR="00995E2A" w:rsidRPr="00800D22" w:rsidRDefault="00995E2A" w:rsidP="000A32F1">
            <w:pPr>
              <w:widowControl/>
              <w:rPr>
                <w:kern w:val="0"/>
                <w:sz w:val="18"/>
                <w:szCs w:val="18"/>
              </w:rPr>
            </w:pPr>
            <w:r w:rsidRPr="00800D22">
              <w:rPr>
                <w:kern w:val="0"/>
                <w:sz w:val="18"/>
                <w:szCs w:val="18"/>
              </w:rPr>
              <w:t>0.50</w:t>
            </w:r>
          </w:p>
        </w:tc>
        <w:tc>
          <w:tcPr>
            <w:tcW w:w="1221" w:type="dxa"/>
            <w:noWrap/>
            <w:vAlign w:val="center"/>
          </w:tcPr>
          <w:p w14:paraId="6960C44C" w14:textId="77777777" w:rsidR="00995E2A" w:rsidRPr="00800D22" w:rsidRDefault="00995E2A" w:rsidP="000A32F1">
            <w:pPr>
              <w:widowControl/>
              <w:rPr>
                <w:kern w:val="0"/>
                <w:sz w:val="18"/>
                <w:szCs w:val="18"/>
              </w:rPr>
            </w:pPr>
            <w:r w:rsidRPr="00800D22">
              <w:rPr>
                <w:kern w:val="0"/>
                <w:sz w:val="18"/>
                <w:szCs w:val="18"/>
              </w:rPr>
              <w:t>3.85</w:t>
            </w:r>
          </w:p>
        </w:tc>
        <w:tc>
          <w:tcPr>
            <w:tcW w:w="992" w:type="dxa"/>
            <w:noWrap/>
            <w:vAlign w:val="center"/>
          </w:tcPr>
          <w:p w14:paraId="405776EB" w14:textId="77777777" w:rsidR="00995E2A" w:rsidRPr="00800D22" w:rsidRDefault="00995E2A" w:rsidP="000A32F1">
            <w:pPr>
              <w:widowControl/>
              <w:rPr>
                <w:kern w:val="0"/>
                <w:sz w:val="18"/>
                <w:szCs w:val="18"/>
              </w:rPr>
            </w:pPr>
            <w:r w:rsidRPr="00800D22">
              <w:rPr>
                <w:kern w:val="0"/>
                <w:sz w:val="18"/>
                <w:szCs w:val="18"/>
              </w:rPr>
              <w:t>9.63</w:t>
            </w:r>
          </w:p>
        </w:tc>
        <w:tc>
          <w:tcPr>
            <w:tcW w:w="1417" w:type="dxa"/>
            <w:noWrap/>
            <w:vAlign w:val="center"/>
          </w:tcPr>
          <w:p w14:paraId="7679F101" w14:textId="77777777" w:rsidR="00995E2A" w:rsidRPr="00800D22" w:rsidRDefault="00995E2A" w:rsidP="000A32F1">
            <w:pPr>
              <w:widowControl/>
              <w:rPr>
                <w:kern w:val="0"/>
                <w:sz w:val="18"/>
                <w:szCs w:val="18"/>
              </w:rPr>
            </w:pPr>
            <w:r w:rsidRPr="00800D22">
              <w:rPr>
                <w:kern w:val="0"/>
                <w:sz w:val="18"/>
                <w:szCs w:val="18"/>
              </w:rPr>
              <w:t>6.03</w:t>
            </w:r>
          </w:p>
        </w:tc>
        <w:tc>
          <w:tcPr>
            <w:tcW w:w="1089" w:type="dxa"/>
            <w:noWrap/>
            <w:vAlign w:val="center"/>
          </w:tcPr>
          <w:p w14:paraId="3F1FB930" w14:textId="77777777" w:rsidR="00995E2A" w:rsidRPr="00800D22" w:rsidRDefault="00995E2A" w:rsidP="000A32F1">
            <w:pPr>
              <w:widowControl/>
              <w:rPr>
                <w:kern w:val="0"/>
                <w:sz w:val="18"/>
                <w:szCs w:val="18"/>
              </w:rPr>
            </w:pPr>
            <w:r w:rsidRPr="00800D22">
              <w:rPr>
                <w:kern w:val="0"/>
                <w:sz w:val="18"/>
                <w:szCs w:val="18"/>
              </w:rPr>
              <w:t>2.40</w:t>
            </w:r>
          </w:p>
        </w:tc>
      </w:tr>
      <w:tr w:rsidR="00995E2A" w:rsidRPr="00800D22" w14:paraId="60F140B8" w14:textId="77777777" w:rsidTr="000A32F1">
        <w:trPr>
          <w:trHeight w:val="255"/>
        </w:trPr>
        <w:tc>
          <w:tcPr>
            <w:tcW w:w="720" w:type="dxa"/>
            <w:vAlign w:val="center"/>
          </w:tcPr>
          <w:p w14:paraId="6A205C43" w14:textId="77777777" w:rsidR="00995E2A" w:rsidRPr="00800D22" w:rsidRDefault="00995E2A" w:rsidP="000A32F1">
            <w:pPr>
              <w:widowControl/>
              <w:rPr>
                <w:kern w:val="0"/>
                <w:sz w:val="18"/>
                <w:szCs w:val="18"/>
              </w:rPr>
            </w:pPr>
            <w:r w:rsidRPr="00800D22">
              <w:rPr>
                <w:kern w:val="0"/>
                <w:sz w:val="18"/>
                <w:szCs w:val="18"/>
              </w:rPr>
              <w:t>3</w:t>
            </w:r>
          </w:p>
        </w:tc>
        <w:tc>
          <w:tcPr>
            <w:tcW w:w="869" w:type="dxa"/>
            <w:noWrap/>
            <w:vAlign w:val="center"/>
          </w:tcPr>
          <w:p w14:paraId="7680586B" w14:textId="77777777" w:rsidR="00995E2A" w:rsidRPr="00800D22" w:rsidRDefault="00995E2A" w:rsidP="000A32F1">
            <w:pPr>
              <w:widowControl/>
              <w:rPr>
                <w:kern w:val="0"/>
                <w:sz w:val="18"/>
                <w:szCs w:val="18"/>
              </w:rPr>
            </w:pPr>
            <w:r w:rsidRPr="00800D22">
              <w:rPr>
                <w:kern w:val="0"/>
                <w:sz w:val="18"/>
                <w:szCs w:val="18"/>
              </w:rPr>
              <w:t>65.00</w:t>
            </w:r>
          </w:p>
        </w:tc>
        <w:tc>
          <w:tcPr>
            <w:tcW w:w="958" w:type="dxa"/>
            <w:noWrap/>
            <w:vAlign w:val="center"/>
          </w:tcPr>
          <w:p w14:paraId="34CCF828" w14:textId="77777777" w:rsidR="00995E2A" w:rsidRPr="00800D22" w:rsidRDefault="00995E2A" w:rsidP="000A32F1">
            <w:pPr>
              <w:widowControl/>
              <w:rPr>
                <w:kern w:val="0"/>
                <w:sz w:val="18"/>
                <w:szCs w:val="18"/>
              </w:rPr>
            </w:pPr>
            <w:r w:rsidRPr="00800D22">
              <w:rPr>
                <w:kern w:val="0"/>
                <w:sz w:val="18"/>
                <w:szCs w:val="18"/>
              </w:rPr>
              <w:t>10.50</w:t>
            </w:r>
          </w:p>
        </w:tc>
        <w:tc>
          <w:tcPr>
            <w:tcW w:w="1194" w:type="dxa"/>
            <w:noWrap/>
            <w:vAlign w:val="center"/>
          </w:tcPr>
          <w:p w14:paraId="3658F6F7" w14:textId="77777777" w:rsidR="00995E2A" w:rsidRPr="00800D22" w:rsidRDefault="00995E2A" w:rsidP="000A32F1">
            <w:pPr>
              <w:widowControl/>
              <w:rPr>
                <w:kern w:val="0"/>
                <w:sz w:val="18"/>
                <w:szCs w:val="18"/>
              </w:rPr>
            </w:pPr>
            <w:r w:rsidRPr="00800D22">
              <w:rPr>
                <w:kern w:val="0"/>
                <w:sz w:val="18"/>
                <w:szCs w:val="18"/>
              </w:rPr>
              <w:t>0.58</w:t>
            </w:r>
          </w:p>
        </w:tc>
        <w:tc>
          <w:tcPr>
            <w:tcW w:w="1221" w:type="dxa"/>
            <w:noWrap/>
            <w:vAlign w:val="center"/>
          </w:tcPr>
          <w:p w14:paraId="0E0732CE" w14:textId="77777777" w:rsidR="00995E2A" w:rsidRPr="00800D22" w:rsidRDefault="00995E2A" w:rsidP="000A32F1">
            <w:pPr>
              <w:widowControl/>
              <w:rPr>
                <w:kern w:val="0"/>
                <w:sz w:val="18"/>
                <w:szCs w:val="18"/>
              </w:rPr>
            </w:pPr>
            <w:r w:rsidRPr="00800D22">
              <w:rPr>
                <w:kern w:val="0"/>
                <w:sz w:val="18"/>
                <w:szCs w:val="18"/>
              </w:rPr>
              <w:t>3.58</w:t>
            </w:r>
          </w:p>
        </w:tc>
        <w:tc>
          <w:tcPr>
            <w:tcW w:w="992" w:type="dxa"/>
            <w:noWrap/>
            <w:vAlign w:val="center"/>
          </w:tcPr>
          <w:p w14:paraId="4534D0D8" w14:textId="77777777" w:rsidR="00995E2A" w:rsidRPr="00800D22" w:rsidRDefault="00995E2A" w:rsidP="000A32F1">
            <w:pPr>
              <w:widowControl/>
              <w:rPr>
                <w:kern w:val="0"/>
                <w:sz w:val="18"/>
                <w:szCs w:val="18"/>
              </w:rPr>
            </w:pPr>
            <w:r w:rsidRPr="00800D22">
              <w:rPr>
                <w:kern w:val="0"/>
                <w:sz w:val="18"/>
                <w:szCs w:val="18"/>
              </w:rPr>
              <w:t>10.51</w:t>
            </w:r>
          </w:p>
        </w:tc>
        <w:tc>
          <w:tcPr>
            <w:tcW w:w="1417" w:type="dxa"/>
            <w:noWrap/>
            <w:vAlign w:val="center"/>
          </w:tcPr>
          <w:p w14:paraId="163CB74D" w14:textId="77777777" w:rsidR="00995E2A" w:rsidRPr="00800D22" w:rsidRDefault="00995E2A" w:rsidP="000A32F1">
            <w:pPr>
              <w:widowControl/>
              <w:rPr>
                <w:kern w:val="0"/>
                <w:sz w:val="18"/>
                <w:szCs w:val="18"/>
              </w:rPr>
            </w:pPr>
            <w:r w:rsidRPr="00800D22">
              <w:rPr>
                <w:kern w:val="0"/>
                <w:sz w:val="18"/>
                <w:szCs w:val="18"/>
              </w:rPr>
              <w:t>6.91</w:t>
            </w:r>
          </w:p>
        </w:tc>
        <w:tc>
          <w:tcPr>
            <w:tcW w:w="1089" w:type="dxa"/>
            <w:noWrap/>
            <w:vAlign w:val="center"/>
          </w:tcPr>
          <w:p w14:paraId="3250CDBB" w14:textId="77777777" w:rsidR="00995E2A" w:rsidRPr="00800D22" w:rsidRDefault="00995E2A" w:rsidP="000A32F1">
            <w:pPr>
              <w:widowControl/>
              <w:rPr>
                <w:kern w:val="0"/>
                <w:sz w:val="18"/>
                <w:szCs w:val="18"/>
              </w:rPr>
            </w:pPr>
            <w:r w:rsidRPr="00800D22">
              <w:rPr>
                <w:kern w:val="0"/>
                <w:sz w:val="18"/>
                <w:szCs w:val="18"/>
              </w:rPr>
              <w:t>2.40</w:t>
            </w:r>
          </w:p>
        </w:tc>
      </w:tr>
      <w:tr w:rsidR="00995E2A" w:rsidRPr="00800D22" w14:paraId="1D791BA8" w14:textId="77777777" w:rsidTr="000A32F1">
        <w:trPr>
          <w:trHeight w:val="255"/>
        </w:trPr>
        <w:tc>
          <w:tcPr>
            <w:tcW w:w="720" w:type="dxa"/>
            <w:vAlign w:val="center"/>
          </w:tcPr>
          <w:p w14:paraId="224CBF1E" w14:textId="77777777" w:rsidR="00995E2A" w:rsidRPr="00800D22" w:rsidRDefault="00995E2A" w:rsidP="000A32F1">
            <w:pPr>
              <w:widowControl/>
              <w:rPr>
                <w:kern w:val="0"/>
                <w:sz w:val="18"/>
                <w:szCs w:val="18"/>
              </w:rPr>
            </w:pPr>
            <w:r w:rsidRPr="00800D22">
              <w:rPr>
                <w:kern w:val="0"/>
                <w:sz w:val="18"/>
                <w:szCs w:val="18"/>
              </w:rPr>
              <w:t>3.5</w:t>
            </w:r>
          </w:p>
        </w:tc>
        <w:tc>
          <w:tcPr>
            <w:tcW w:w="869" w:type="dxa"/>
            <w:noWrap/>
            <w:vAlign w:val="center"/>
          </w:tcPr>
          <w:p w14:paraId="754CA76E" w14:textId="77777777" w:rsidR="00995E2A" w:rsidRPr="00800D22" w:rsidRDefault="00995E2A" w:rsidP="000A32F1">
            <w:pPr>
              <w:widowControl/>
              <w:rPr>
                <w:kern w:val="0"/>
                <w:sz w:val="18"/>
                <w:szCs w:val="18"/>
              </w:rPr>
            </w:pPr>
            <w:r w:rsidRPr="00800D22">
              <w:rPr>
                <w:kern w:val="0"/>
                <w:sz w:val="18"/>
                <w:szCs w:val="18"/>
              </w:rPr>
              <w:t>65.00</w:t>
            </w:r>
          </w:p>
        </w:tc>
        <w:tc>
          <w:tcPr>
            <w:tcW w:w="958" w:type="dxa"/>
            <w:noWrap/>
            <w:vAlign w:val="center"/>
          </w:tcPr>
          <w:p w14:paraId="18C01662" w14:textId="77777777" w:rsidR="00995E2A" w:rsidRPr="00800D22" w:rsidRDefault="00995E2A" w:rsidP="000A32F1">
            <w:pPr>
              <w:widowControl/>
              <w:rPr>
                <w:kern w:val="0"/>
                <w:sz w:val="18"/>
                <w:szCs w:val="18"/>
              </w:rPr>
            </w:pPr>
            <w:r w:rsidRPr="00800D22">
              <w:rPr>
                <w:kern w:val="0"/>
                <w:sz w:val="18"/>
                <w:szCs w:val="18"/>
              </w:rPr>
              <w:t>10.50</w:t>
            </w:r>
          </w:p>
        </w:tc>
        <w:tc>
          <w:tcPr>
            <w:tcW w:w="1194" w:type="dxa"/>
            <w:noWrap/>
            <w:vAlign w:val="center"/>
          </w:tcPr>
          <w:p w14:paraId="1C2764FA" w14:textId="77777777" w:rsidR="00995E2A" w:rsidRPr="00800D22" w:rsidRDefault="00995E2A" w:rsidP="000A32F1">
            <w:pPr>
              <w:widowControl/>
              <w:rPr>
                <w:kern w:val="0"/>
                <w:sz w:val="18"/>
                <w:szCs w:val="18"/>
              </w:rPr>
            </w:pPr>
            <w:r w:rsidRPr="00800D22">
              <w:rPr>
                <w:kern w:val="0"/>
                <w:sz w:val="18"/>
                <w:szCs w:val="18"/>
              </w:rPr>
              <w:t>0.58</w:t>
            </w:r>
          </w:p>
        </w:tc>
        <w:tc>
          <w:tcPr>
            <w:tcW w:w="1221" w:type="dxa"/>
            <w:noWrap/>
            <w:vAlign w:val="center"/>
          </w:tcPr>
          <w:p w14:paraId="2E598737" w14:textId="77777777" w:rsidR="00995E2A" w:rsidRPr="00800D22" w:rsidRDefault="00995E2A" w:rsidP="000A32F1">
            <w:pPr>
              <w:widowControl/>
              <w:rPr>
                <w:kern w:val="0"/>
                <w:sz w:val="18"/>
                <w:szCs w:val="18"/>
              </w:rPr>
            </w:pPr>
            <w:r w:rsidRPr="00800D22">
              <w:rPr>
                <w:kern w:val="0"/>
                <w:sz w:val="18"/>
                <w:szCs w:val="18"/>
              </w:rPr>
              <w:t>3.58</w:t>
            </w:r>
          </w:p>
        </w:tc>
        <w:tc>
          <w:tcPr>
            <w:tcW w:w="992" w:type="dxa"/>
            <w:noWrap/>
            <w:vAlign w:val="center"/>
          </w:tcPr>
          <w:p w14:paraId="3BA50BE4" w14:textId="77777777" w:rsidR="00995E2A" w:rsidRPr="00800D22" w:rsidRDefault="00995E2A" w:rsidP="000A32F1">
            <w:pPr>
              <w:widowControl/>
              <w:rPr>
                <w:kern w:val="0"/>
                <w:sz w:val="18"/>
                <w:szCs w:val="18"/>
              </w:rPr>
            </w:pPr>
            <w:r w:rsidRPr="00800D22">
              <w:rPr>
                <w:kern w:val="0"/>
                <w:sz w:val="18"/>
                <w:szCs w:val="18"/>
              </w:rPr>
              <w:t>11.45</w:t>
            </w:r>
          </w:p>
        </w:tc>
        <w:tc>
          <w:tcPr>
            <w:tcW w:w="1417" w:type="dxa"/>
            <w:noWrap/>
            <w:vAlign w:val="center"/>
          </w:tcPr>
          <w:p w14:paraId="45C60B89" w14:textId="77777777" w:rsidR="00995E2A" w:rsidRPr="00800D22" w:rsidRDefault="00995E2A" w:rsidP="000A32F1">
            <w:pPr>
              <w:widowControl/>
              <w:rPr>
                <w:kern w:val="0"/>
                <w:sz w:val="18"/>
                <w:szCs w:val="18"/>
              </w:rPr>
            </w:pPr>
            <w:r w:rsidRPr="00800D22">
              <w:rPr>
                <w:kern w:val="0"/>
                <w:sz w:val="18"/>
                <w:szCs w:val="18"/>
              </w:rPr>
              <w:t>7.85</w:t>
            </w:r>
          </w:p>
        </w:tc>
        <w:tc>
          <w:tcPr>
            <w:tcW w:w="1089" w:type="dxa"/>
            <w:noWrap/>
            <w:vAlign w:val="center"/>
          </w:tcPr>
          <w:p w14:paraId="59B55B36" w14:textId="77777777" w:rsidR="00995E2A" w:rsidRPr="00800D22" w:rsidRDefault="00995E2A" w:rsidP="000A32F1">
            <w:pPr>
              <w:widowControl/>
              <w:rPr>
                <w:kern w:val="0"/>
                <w:sz w:val="18"/>
                <w:szCs w:val="18"/>
              </w:rPr>
            </w:pPr>
            <w:r w:rsidRPr="00800D22">
              <w:rPr>
                <w:kern w:val="0"/>
                <w:sz w:val="18"/>
                <w:szCs w:val="18"/>
              </w:rPr>
              <w:t>2.40</w:t>
            </w:r>
          </w:p>
        </w:tc>
      </w:tr>
      <w:tr w:rsidR="00995E2A" w:rsidRPr="00800D22" w14:paraId="3A2CA51E" w14:textId="77777777" w:rsidTr="000A32F1">
        <w:trPr>
          <w:trHeight w:val="255"/>
        </w:trPr>
        <w:tc>
          <w:tcPr>
            <w:tcW w:w="720" w:type="dxa"/>
            <w:vAlign w:val="center"/>
          </w:tcPr>
          <w:p w14:paraId="4A26CB3B" w14:textId="77777777" w:rsidR="00995E2A" w:rsidRPr="00800D22" w:rsidRDefault="00995E2A" w:rsidP="000A32F1">
            <w:pPr>
              <w:widowControl/>
              <w:rPr>
                <w:kern w:val="0"/>
                <w:sz w:val="18"/>
                <w:szCs w:val="18"/>
              </w:rPr>
            </w:pPr>
            <w:r w:rsidRPr="00800D22">
              <w:rPr>
                <w:kern w:val="0"/>
                <w:sz w:val="18"/>
                <w:szCs w:val="18"/>
              </w:rPr>
              <w:t>4</w:t>
            </w:r>
          </w:p>
        </w:tc>
        <w:tc>
          <w:tcPr>
            <w:tcW w:w="869" w:type="dxa"/>
            <w:noWrap/>
            <w:vAlign w:val="center"/>
          </w:tcPr>
          <w:p w14:paraId="4D4F700C" w14:textId="77777777" w:rsidR="00995E2A" w:rsidRPr="00800D22" w:rsidRDefault="00995E2A" w:rsidP="000A32F1">
            <w:pPr>
              <w:widowControl/>
              <w:rPr>
                <w:kern w:val="0"/>
                <w:sz w:val="18"/>
                <w:szCs w:val="18"/>
              </w:rPr>
            </w:pPr>
            <w:r w:rsidRPr="00800D22">
              <w:rPr>
                <w:kern w:val="0"/>
                <w:sz w:val="18"/>
                <w:szCs w:val="18"/>
              </w:rPr>
              <w:t>60.00</w:t>
            </w:r>
          </w:p>
        </w:tc>
        <w:tc>
          <w:tcPr>
            <w:tcW w:w="958" w:type="dxa"/>
            <w:noWrap/>
            <w:vAlign w:val="center"/>
          </w:tcPr>
          <w:p w14:paraId="7B8A5F7C" w14:textId="77777777" w:rsidR="00995E2A" w:rsidRPr="00800D22" w:rsidRDefault="00995E2A" w:rsidP="000A32F1">
            <w:pPr>
              <w:widowControl/>
              <w:rPr>
                <w:kern w:val="0"/>
                <w:sz w:val="18"/>
                <w:szCs w:val="18"/>
              </w:rPr>
            </w:pPr>
            <w:r w:rsidRPr="00800D22">
              <w:rPr>
                <w:kern w:val="0"/>
                <w:sz w:val="18"/>
                <w:szCs w:val="18"/>
              </w:rPr>
              <w:t>12.00</w:t>
            </w:r>
          </w:p>
        </w:tc>
        <w:tc>
          <w:tcPr>
            <w:tcW w:w="1194" w:type="dxa"/>
            <w:noWrap/>
            <w:vAlign w:val="center"/>
          </w:tcPr>
          <w:p w14:paraId="067E242B" w14:textId="77777777" w:rsidR="00995E2A" w:rsidRPr="00800D22" w:rsidRDefault="00995E2A" w:rsidP="000A32F1">
            <w:pPr>
              <w:widowControl/>
              <w:rPr>
                <w:kern w:val="0"/>
                <w:sz w:val="18"/>
                <w:szCs w:val="18"/>
              </w:rPr>
            </w:pPr>
            <w:r w:rsidRPr="00800D22">
              <w:rPr>
                <w:kern w:val="0"/>
                <w:sz w:val="18"/>
                <w:szCs w:val="18"/>
              </w:rPr>
              <w:t>0.66</w:t>
            </w:r>
          </w:p>
        </w:tc>
        <w:tc>
          <w:tcPr>
            <w:tcW w:w="1221" w:type="dxa"/>
            <w:noWrap/>
            <w:vAlign w:val="center"/>
          </w:tcPr>
          <w:p w14:paraId="303E2C83" w14:textId="77777777" w:rsidR="00995E2A" w:rsidRPr="00800D22" w:rsidRDefault="00995E2A" w:rsidP="000A32F1">
            <w:pPr>
              <w:widowControl/>
              <w:rPr>
                <w:kern w:val="0"/>
                <w:sz w:val="18"/>
                <w:szCs w:val="18"/>
              </w:rPr>
            </w:pPr>
            <w:r w:rsidRPr="00800D22">
              <w:rPr>
                <w:kern w:val="0"/>
                <w:sz w:val="18"/>
                <w:szCs w:val="18"/>
              </w:rPr>
              <w:t>3.30</w:t>
            </w:r>
          </w:p>
        </w:tc>
        <w:tc>
          <w:tcPr>
            <w:tcW w:w="992" w:type="dxa"/>
            <w:noWrap/>
            <w:vAlign w:val="center"/>
          </w:tcPr>
          <w:p w14:paraId="5C3E5B7B" w14:textId="77777777" w:rsidR="00995E2A" w:rsidRPr="00800D22" w:rsidRDefault="00995E2A" w:rsidP="000A32F1">
            <w:pPr>
              <w:widowControl/>
              <w:rPr>
                <w:kern w:val="0"/>
                <w:sz w:val="18"/>
                <w:szCs w:val="18"/>
              </w:rPr>
            </w:pPr>
            <w:r w:rsidRPr="00800D22">
              <w:rPr>
                <w:kern w:val="0"/>
                <w:sz w:val="18"/>
                <w:szCs w:val="18"/>
              </w:rPr>
              <w:t>12.24</w:t>
            </w:r>
          </w:p>
        </w:tc>
        <w:tc>
          <w:tcPr>
            <w:tcW w:w="1417" w:type="dxa"/>
            <w:noWrap/>
            <w:vAlign w:val="center"/>
          </w:tcPr>
          <w:p w14:paraId="5F4858DF" w14:textId="77777777" w:rsidR="00995E2A" w:rsidRPr="00800D22" w:rsidRDefault="00995E2A" w:rsidP="000A32F1">
            <w:pPr>
              <w:widowControl/>
              <w:rPr>
                <w:kern w:val="0"/>
                <w:sz w:val="18"/>
                <w:szCs w:val="18"/>
              </w:rPr>
            </w:pPr>
            <w:r w:rsidRPr="00800D22">
              <w:rPr>
                <w:kern w:val="0"/>
                <w:sz w:val="18"/>
                <w:szCs w:val="18"/>
              </w:rPr>
              <w:t>8.64</w:t>
            </w:r>
          </w:p>
        </w:tc>
        <w:tc>
          <w:tcPr>
            <w:tcW w:w="1089" w:type="dxa"/>
            <w:noWrap/>
            <w:vAlign w:val="center"/>
          </w:tcPr>
          <w:p w14:paraId="75863F05" w14:textId="77777777" w:rsidR="00995E2A" w:rsidRPr="00800D22" w:rsidRDefault="00995E2A" w:rsidP="000A32F1">
            <w:pPr>
              <w:widowControl/>
              <w:rPr>
                <w:kern w:val="0"/>
                <w:sz w:val="18"/>
                <w:szCs w:val="18"/>
              </w:rPr>
            </w:pPr>
            <w:r w:rsidRPr="00800D22">
              <w:rPr>
                <w:kern w:val="0"/>
                <w:sz w:val="18"/>
                <w:szCs w:val="18"/>
              </w:rPr>
              <w:t>2.40</w:t>
            </w:r>
          </w:p>
        </w:tc>
      </w:tr>
      <w:tr w:rsidR="00995E2A" w:rsidRPr="00800D22" w14:paraId="7D132939" w14:textId="77777777" w:rsidTr="000A32F1">
        <w:trPr>
          <w:trHeight w:val="255"/>
        </w:trPr>
        <w:tc>
          <w:tcPr>
            <w:tcW w:w="720" w:type="dxa"/>
            <w:vAlign w:val="center"/>
          </w:tcPr>
          <w:p w14:paraId="5DC744F1" w14:textId="77777777" w:rsidR="00995E2A" w:rsidRPr="00800D22" w:rsidRDefault="00995E2A" w:rsidP="000A32F1">
            <w:pPr>
              <w:widowControl/>
              <w:rPr>
                <w:kern w:val="0"/>
                <w:sz w:val="18"/>
                <w:szCs w:val="18"/>
              </w:rPr>
            </w:pPr>
            <w:r w:rsidRPr="00800D22">
              <w:rPr>
                <w:kern w:val="0"/>
                <w:sz w:val="18"/>
                <w:szCs w:val="18"/>
              </w:rPr>
              <w:t>4.5</w:t>
            </w:r>
          </w:p>
        </w:tc>
        <w:tc>
          <w:tcPr>
            <w:tcW w:w="869" w:type="dxa"/>
            <w:noWrap/>
            <w:vAlign w:val="center"/>
          </w:tcPr>
          <w:p w14:paraId="40ACB19C" w14:textId="77777777" w:rsidR="00995E2A" w:rsidRPr="00800D22" w:rsidRDefault="00995E2A" w:rsidP="000A32F1">
            <w:pPr>
              <w:widowControl/>
              <w:rPr>
                <w:kern w:val="0"/>
                <w:sz w:val="18"/>
                <w:szCs w:val="18"/>
              </w:rPr>
            </w:pPr>
            <w:r w:rsidRPr="00800D22">
              <w:rPr>
                <w:kern w:val="0"/>
                <w:sz w:val="18"/>
                <w:szCs w:val="18"/>
              </w:rPr>
              <w:t>60.00</w:t>
            </w:r>
          </w:p>
        </w:tc>
        <w:tc>
          <w:tcPr>
            <w:tcW w:w="958" w:type="dxa"/>
            <w:noWrap/>
            <w:vAlign w:val="center"/>
          </w:tcPr>
          <w:p w14:paraId="3C268244" w14:textId="77777777" w:rsidR="00995E2A" w:rsidRPr="00800D22" w:rsidRDefault="00995E2A" w:rsidP="000A32F1">
            <w:pPr>
              <w:widowControl/>
              <w:rPr>
                <w:kern w:val="0"/>
                <w:sz w:val="18"/>
                <w:szCs w:val="18"/>
              </w:rPr>
            </w:pPr>
            <w:r w:rsidRPr="00800D22">
              <w:rPr>
                <w:kern w:val="0"/>
                <w:sz w:val="18"/>
                <w:szCs w:val="18"/>
              </w:rPr>
              <w:t>12.00</w:t>
            </w:r>
          </w:p>
        </w:tc>
        <w:tc>
          <w:tcPr>
            <w:tcW w:w="1194" w:type="dxa"/>
            <w:noWrap/>
            <w:vAlign w:val="center"/>
          </w:tcPr>
          <w:p w14:paraId="2C604751" w14:textId="77777777" w:rsidR="00995E2A" w:rsidRPr="00800D22" w:rsidRDefault="00995E2A" w:rsidP="000A32F1">
            <w:pPr>
              <w:widowControl/>
              <w:rPr>
                <w:kern w:val="0"/>
                <w:sz w:val="18"/>
                <w:szCs w:val="18"/>
              </w:rPr>
            </w:pPr>
            <w:r w:rsidRPr="00800D22">
              <w:rPr>
                <w:kern w:val="0"/>
                <w:sz w:val="18"/>
                <w:szCs w:val="18"/>
              </w:rPr>
              <w:t>0.66</w:t>
            </w:r>
          </w:p>
        </w:tc>
        <w:tc>
          <w:tcPr>
            <w:tcW w:w="1221" w:type="dxa"/>
            <w:noWrap/>
            <w:vAlign w:val="center"/>
          </w:tcPr>
          <w:p w14:paraId="049CB563" w14:textId="77777777" w:rsidR="00995E2A" w:rsidRPr="00800D22" w:rsidRDefault="00995E2A" w:rsidP="000A32F1">
            <w:pPr>
              <w:widowControl/>
              <w:rPr>
                <w:kern w:val="0"/>
                <w:sz w:val="18"/>
                <w:szCs w:val="18"/>
              </w:rPr>
            </w:pPr>
            <w:r w:rsidRPr="00800D22">
              <w:rPr>
                <w:kern w:val="0"/>
                <w:sz w:val="18"/>
                <w:szCs w:val="18"/>
              </w:rPr>
              <w:t>3.30</w:t>
            </w:r>
          </w:p>
        </w:tc>
        <w:tc>
          <w:tcPr>
            <w:tcW w:w="992" w:type="dxa"/>
            <w:noWrap/>
            <w:vAlign w:val="center"/>
          </w:tcPr>
          <w:p w14:paraId="0AE74AF8" w14:textId="77777777" w:rsidR="00995E2A" w:rsidRPr="00800D22" w:rsidRDefault="00995E2A" w:rsidP="000A32F1">
            <w:pPr>
              <w:widowControl/>
              <w:rPr>
                <w:kern w:val="0"/>
                <w:sz w:val="18"/>
                <w:szCs w:val="18"/>
              </w:rPr>
            </w:pPr>
            <w:r w:rsidRPr="00800D22">
              <w:rPr>
                <w:kern w:val="0"/>
                <w:sz w:val="18"/>
                <w:szCs w:val="18"/>
              </w:rPr>
              <w:t>13.07</w:t>
            </w:r>
          </w:p>
        </w:tc>
        <w:tc>
          <w:tcPr>
            <w:tcW w:w="1417" w:type="dxa"/>
            <w:noWrap/>
            <w:vAlign w:val="center"/>
          </w:tcPr>
          <w:p w14:paraId="6633C1D1" w14:textId="77777777" w:rsidR="00995E2A" w:rsidRPr="00800D22" w:rsidRDefault="00995E2A" w:rsidP="000A32F1">
            <w:pPr>
              <w:widowControl/>
              <w:rPr>
                <w:kern w:val="0"/>
                <w:sz w:val="18"/>
                <w:szCs w:val="18"/>
              </w:rPr>
            </w:pPr>
            <w:r w:rsidRPr="00800D22">
              <w:rPr>
                <w:kern w:val="0"/>
                <w:sz w:val="18"/>
                <w:szCs w:val="18"/>
              </w:rPr>
              <w:t>9.47</w:t>
            </w:r>
          </w:p>
        </w:tc>
        <w:tc>
          <w:tcPr>
            <w:tcW w:w="1089" w:type="dxa"/>
            <w:noWrap/>
            <w:vAlign w:val="center"/>
          </w:tcPr>
          <w:p w14:paraId="6A9F51D4" w14:textId="77777777" w:rsidR="00995E2A" w:rsidRPr="00800D22" w:rsidRDefault="00995E2A" w:rsidP="000A32F1">
            <w:pPr>
              <w:widowControl/>
              <w:rPr>
                <w:kern w:val="0"/>
                <w:sz w:val="18"/>
                <w:szCs w:val="18"/>
              </w:rPr>
            </w:pPr>
            <w:r w:rsidRPr="00800D22">
              <w:rPr>
                <w:kern w:val="0"/>
                <w:sz w:val="18"/>
                <w:szCs w:val="18"/>
              </w:rPr>
              <w:t>2.40</w:t>
            </w:r>
          </w:p>
        </w:tc>
      </w:tr>
      <w:tr w:rsidR="00995E2A" w:rsidRPr="00800D22" w14:paraId="37CE9AE4" w14:textId="77777777" w:rsidTr="000A32F1">
        <w:trPr>
          <w:trHeight w:val="255"/>
        </w:trPr>
        <w:tc>
          <w:tcPr>
            <w:tcW w:w="720" w:type="dxa"/>
            <w:vAlign w:val="center"/>
          </w:tcPr>
          <w:p w14:paraId="63216F88" w14:textId="77777777" w:rsidR="00995E2A" w:rsidRPr="00800D22" w:rsidRDefault="00995E2A" w:rsidP="000A32F1">
            <w:pPr>
              <w:widowControl/>
              <w:rPr>
                <w:kern w:val="0"/>
                <w:sz w:val="18"/>
                <w:szCs w:val="18"/>
              </w:rPr>
            </w:pPr>
            <w:r w:rsidRPr="00800D22">
              <w:rPr>
                <w:kern w:val="0"/>
                <w:sz w:val="18"/>
                <w:szCs w:val="18"/>
              </w:rPr>
              <w:t>5</w:t>
            </w:r>
          </w:p>
        </w:tc>
        <w:tc>
          <w:tcPr>
            <w:tcW w:w="869" w:type="dxa"/>
            <w:noWrap/>
            <w:vAlign w:val="center"/>
          </w:tcPr>
          <w:p w14:paraId="14C0B01E" w14:textId="77777777" w:rsidR="00995E2A" w:rsidRPr="00800D22" w:rsidRDefault="00995E2A" w:rsidP="000A32F1">
            <w:pPr>
              <w:widowControl/>
              <w:rPr>
                <w:kern w:val="0"/>
                <w:sz w:val="18"/>
                <w:szCs w:val="18"/>
              </w:rPr>
            </w:pPr>
            <w:r w:rsidRPr="00800D22">
              <w:rPr>
                <w:kern w:val="0"/>
                <w:sz w:val="18"/>
                <w:szCs w:val="18"/>
              </w:rPr>
              <w:t>55.00</w:t>
            </w:r>
          </w:p>
        </w:tc>
        <w:tc>
          <w:tcPr>
            <w:tcW w:w="958" w:type="dxa"/>
            <w:noWrap/>
            <w:vAlign w:val="center"/>
          </w:tcPr>
          <w:p w14:paraId="3F311E1B" w14:textId="77777777" w:rsidR="00995E2A" w:rsidRPr="00800D22" w:rsidRDefault="00995E2A" w:rsidP="000A32F1">
            <w:pPr>
              <w:widowControl/>
              <w:rPr>
                <w:kern w:val="0"/>
                <w:sz w:val="18"/>
                <w:szCs w:val="18"/>
              </w:rPr>
            </w:pPr>
            <w:r w:rsidRPr="00800D22">
              <w:rPr>
                <w:kern w:val="0"/>
                <w:sz w:val="18"/>
                <w:szCs w:val="18"/>
              </w:rPr>
              <w:t>13.50</w:t>
            </w:r>
          </w:p>
        </w:tc>
        <w:tc>
          <w:tcPr>
            <w:tcW w:w="1194" w:type="dxa"/>
            <w:noWrap/>
            <w:vAlign w:val="center"/>
          </w:tcPr>
          <w:p w14:paraId="5A5CB5EB" w14:textId="77777777" w:rsidR="00995E2A" w:rsidRPr="00800D22" w:rsidRDefault="00995E2A" w:rsidP="000A32F1">
            <w:pPr>
              <w:widowControl/>
              <w:rPr>
                <w:kern w:val="0"/>
                <w:sz w:val="18"/>
                <w:szCs w:val="18"/>
              </w:rPr>
            </w:pPr>
            <w:r w:rsidRPr="00800D22">
              <w:rPr>
                <w:kern w:val="0"/>
                <w:sz w:val="18"/>
                <w:szCs w:val="18"/>
              </w:rPr>
              <w:t>0.74</w:t>
            </w:r>
          </w:p>
        </w:tc>
        <w:tc>
          <w:tcPr>
            <w:tcW w:w="1221" w:type="dxa"/>
            <w:noWrap/>
            <w:vAlign w:val="center"/>
          </w:tcPr>
          <w:p w14:paraId="31BBD67B" w14:textId="77777777" w:rsidR="00995E2A" w:rsidRPr="00800D22" w:rsidRDefault="00995E2A" w:rsidP="000A32F1">
            <w:pPr>
              <w:widowControl/>
              <w:rPr>
                <w:kern w:val="0"/>
                <w:sz w:val="18"/>
                <w:szCs w:val="18"/>
              </w:rPr>
            </w:pPr>
            <w:r w:rsidRPr="00800D22">
              <w:rPr>
                <w:kern w:val="0"/>
                <w:sz w:val="18"/>
                <w:szCs w:val="18"/>
              </w:rPr>
              <w:t>3.03</w:t>
            </w:r>
          </w:p>
        </w:tc>
        <w:tc>
          <w:tcPr>
            <w:tcW w:w="992" w:type="dxa"/>
            <w:noWrap/>
            <w:vAlign w:val="center"/>
          </w:tcPr>
          <w:p w14:paraId="0E200BEC" w14:textId="77777777" w:rsidR="00995E2A" w:rsidRPr="00800D22" w:rsidRDefault="00995E2A" w:rsidP="000A32F1">
            <w:pPr>
              <w:widowControl/>
              <w:rPr>
                <w:kern w:val="0"/>
                <w:sz w:val="18"/>
                <w:szCs w:val="18"/>
              </w:rPr>
            </w:pPr>
            <w:r w:rsidRPr="00800D22">
              <w:rPr>
                <w:kern w:val="0"/>
                <w:sz w:val="18"/>
                <w:szCs w:val="18"/>
              </w:rPr>
              <w:t>13.76</w:t>
            </w:r>
          </w:p>
        </w:tc>
        <w:tc>
          <w:tcPr>
            <w:tcW w:w="1417" w:type="dxa"/>
            <w:noWrap/>
            <w:vAlign w:val="center"/>
          </w:tcPr>
          <w:p w14:paraId="7E760B09" w14:textId="77777777" w:rsidR="00995E2A" w:rsidRPr="00800D22" w:rsidRDefault="00995E2A" w:rsidP="000A32F1">
            <w:pPr>
              <w:widowControl/>
              <w:rPr>
                <w:kern w:val="0"/>
                <w:sz w:val="18"/>
                <w:szCs w:val="18"/>
              </w:rPr>
            </w:pPr>
            <w:r w:rsidRPr="00800D22">
              <w:rPr>
                <w:kern w:val="0"/>
                <w:sz w:val="18"/>
                <w:szCs w:val="18"/>
              </w:rPr>
              <w:t>10.16</w:t>
            </w:r>
          </w:p>
        </w:tc>
        <w:tc>
          <w:tcPr>
            <w:tcW w:w="1089" w:type="dxa"/>
            <w:noWrap/>
            <w:vAlign w:val="center"/>
          </w:tcPr>
          <w:p w14:paraId="11926237" w14:textId="77777777" w:rsidR="00995E2A" w:rsidRPr="00800D22" w:rsidRDefault="00995E2A" w:rsidP="000A32F1">
            <w:pPr>
              <w:widowControl/>
              <w:rPr>
                <w:kern w:val="0"/>
                <w:sz w:val="18"/>
                <w:szCs w:val="18"/>
              </w:rPr>
            </w:pPr>
            <w:r w:rsidRPr="00800D22">
              <w:rPr>
                <w:kern w:val="0"/>
                <w:sz w:val="18"/>
                <w:szCs w:val="18"/>
              </w:rPr>
              <w:t>2.40</w:t>
            </w:r>
          </w:p>
        </w:tc>
      </w:tr>
      <w:tr w:rsidR="00995E2A" w:rsidRPr="00800D22" w14:paraId="7CB1D8A0" w14:textId="77777777" w:rsidTr="000A32F1">
        <w:trPr>
          <w:trHeight w:val="255"/>
        </w:trPr>
        <w:tc>
          <w:tcPr>
            <w:tcW w:w="720" w:type="dxa"/>
            <w:vAlign w:val="center"/>
          </w:tcPr>
          <w:p w14:paraId="0C18FE8A" w14:textId="77777777" w:rsidR="00995E2A" w:rsidRPr="00800D22" w:rsidRDefault="00995E2A" w:rsidP="000A32F1">
            <w:pPr>
              <w:widowControl/>
              <w:rPr>
                <w:kern w:val="0"/>
                <w:sz w:val="18"/>
                <w:szCs w:val="18"/>
              </w:rPr>
            </w:pPr>
            <w:r w:rsidRPr="00800D22">
              <w:rPr>
                <w:kern w:val="0"/>
                <w:sz w:val="18"/>
                <w:szCs w:val="18"/>
              </w:rPr>
              <w:t>5.5</w:t>
            </w:r>
          </w:p>
        </w:tc>
        <w:tc>
          <w:tcPr>
            <w:tcW w:w="869" w:type="dxa"/>
            <w:noWrap/>
            <w:vAlign w:val="center"/>
          </w:tcPr>
          <w:p w14:paraId="35E9A237" w14:textId="77777777" w:rsidR="00995E2A" w:rsidRPr="00800D22" w:rsidRDefault="00995E2A" w:rsidP="000A32F1">
            <w:pPr>
              <w:widowControl/>
              <w:rPr>
                <w:kern w:val="0"/>
                <w:sz w:val="18"/>
                <w:szCs w:val="18"/>
              </w:rPr>
            </w:pPr>
            <w:r w:rsidRPr="00800D22">
              <w:rPr>
                <w:kern w:val="0"/>
                <w:sz w:val="18"/>
                <w:szCs w:val="18"/>
              </w:rPr>
              <w:t>55.00</w:t>
            </w:r>
          </w:p>
        </w:tc>
        <w:tc>
          <w:tcPr>
            <w:tcW w:w="958" w:type="dxa"/>
            <w:noWrap/>
            <w:vAlign w:val="center"/>
          </w:tcPr>
          <w:p w14:paraId="5F00E6A7" w14:textId="77777777" w:rsidR="00995E2A" w:rsidRPr="00800D22" w:rsidRDefault="00995E2A" w:rsidP="000A32F1">
            <w:pPr>
              <w:widowControl/>
              <w:rPr>
                <w:kern w:val="0"/>
                <w:sz w:val="18"/>
                <w:szCs w:val="18"/>
              </w:rPr>
            </w:pPr>
            <w:r w:rsidRPr="00800D22">
              <w:rPr>
                <w:kern w:val="0"/>
                <w:sz w:val="18"/>
                <w:szCs w:val="18"/>
              </w:rPr>
              <w:t>13.50</w:t>
            </w:r>
          </w:p>
        </w:tc>
        <w:tc>
          <w:tcPr>
            <w:tcW w:w="1194" w:type="dxa"/>
            <w:noWrap/>
            <w:vAlign w:val="center"/>
          </w:tcPr>
          <w:p w14:paraId="409D8A3B" w14:textId="77777777" w:rsidR="00995E2A" w:rsidRPr="00800D22" w:rsidRDefault="00995E2A" w:rsidP="000A32F1">
            <w:pPr>
              <w:widowControl/>
              <w:rPr>
                <w:kern w:val="0"/>
                <w:sz w:val="18"/>
                <w:szCs w:val="18"/>
              </w:rPr>
            </w:pPr>
            <w:r w:rsidRPr="00800D22">
              <w:rPr>
                <w:kern w:val="0"/>
                <w:sz w:val="18"/>
                <w:szCs w:val="18"/>
              </w:rPr>
              <w:t>0.74</w:t>
            </w:r>
          </w:p>
        </w:tc>
        <w:tc>
          <w:tcPr>
            <w:tcW w:w="1221" w:type="dxa"/>
            <w:noWrap/>
            <w:vAlign w:val="center"/>
          </w:tcPr>
          <w:p w14:paraId="76CCD30B" w14:textId="77777777" w:rsidR="00995E2A" w:rsidRPr="00800D22" w:rsidRDefault="00995E2A" w:rsidP="000A32F1">
            <w:pPr>
              <w:widowControl/>
              <w:rPr>
                <w:kern w:val="0"/>
                <w:sz w:val="18"/>
                <w:szCs w:val="18"/>
              </w:rPr>
            </w:pPr>
            <w:r w:rsidRPr="00800D22">
              <w:rPr>
                <w:kern w:val="0"/>
                <w:sz w:val="18"/>
                <w:szCs w:val="18"/>
              </w:rPr>
              <w:t>3.03</w:t>
            </w:r>
          </w:p>
        </w:tc>
        <w:tc>
          <w:tcPr>
            <w:tcW w:w="992" w:type="dxa"/>
            <w:noWrap/>
            <w:vAlign w:val="center"/>
          </w:tcPr>
          <w:p w14:paraId="2AC9567E" w14:textId="77777777" w:rsidR="00995E2A" w:rsidRPr="00800D22" w:rsidRDefault="00995E2A" w:rsidP="000A32F1">
            <w:pPr>
              <w:widowControl/>
              <w:rPr>
                <w:kern w:val="0"/>
                <w:sz w:val="18"/>
                <w:szCs w:val="18"/>
              </w:rPr>
            </w:pPr>
            <w:r w:rsidRPr="00800D22">
              <w:rPr>
                <w:kern w:val="0"/>
                <w:sz w:val="18"/>
                <w:szCs w:val="18"/>
              </w:rPr>
              <w:t>14.49</w:t>
            </w:r>
          </w:p>
        </w:tc>
        <w:tc>
          <w:tcPr>
            <w:tcW w:w="1417" w:type="dxa"/>
            <w:noWrap/>
            <w:vAlign w:val="center"/>
          </w:tcPr>
          <w:p w14:paraId="0907DF3E" w14:textId="77777777" w:rsidR="00995E2A" w:rsidRPr="00800D22" w:rsidRDefault="00995E2A" w:rsidP="000A32F1">
            <w:pPr>
              <w:widowControl/>
              <w:rPr>
                <w:kern w:val="0"/>
                <w:sz w:val="18"/>
                <w:szCs w:val="18"/>
              </w:rPr>
            </w:pPr>
            <w:r w:rsidRPr="00800D22">
              <w:rPr>
                <w:kern w:val="0"/>
                <w:sz w:val="18"/>
                <w:szCs w:val="18"/>
              </w:rPr>
              <w:t>10.89</w:t>
            </w:r>
          </w:p>
        </w:tc>
        <w:tc>
          <w:tcPr>
            <w:tcW w:w="1089" w:type="dxa"/>
            <w:noWrap/>
            <w:vAlign w:val="center"/>
          </w:tcPr>
          <w:p w14:paraId="0E0BFB3C" w14:textId="77777777" w:rsidR="00995E2A" w:rsidRPr="00800D22" w:rsidRDefault="00995E2A" w:rsidP="000A32F1">
            <w:pPr>
              <w:widowControl/>
              <w:rPr>
                <w:kern w:val="0"/>
                <w:sz w:val="18"/>
                <w:szCs w:val="18"/>
              </w:rPr>
            </w:pPr>
            <w:r w:rsidRPr="00800D22">
              <w:rPr>
                <w:kern w:val="0"/>
                <w:sz w:val="18"/>
                <w:szCs w:val="18"/>
              </w:rPr>
              <w:t>2.40</w:t>
            </w:r>
          </w:p>
        </w:tc>
      </w:tr>
      <w:tr w:rsidR="00995E2A" w:rsidRPr="00800D22" w14:paraId="5210EE5D" w14:textId="77777777" w:rsidTr="000A32F1">
        <w:trPr>
          <w:trHeight w:val="255"/>
        </w:trPr>
        <w:tc>
          <w:tcPr>
            <w:tcW w:w="720" w:type="dxa"/>
            <w:vAlign w:val="center"/>
          </w:tcPr>
          <w:p w14:paraId="4DD07C4B" w14:textId="77777777" w:rsidR="00995E2A" w:rsidRPr="00800D22" w:rsidRDefault="00995E2A" w:rsidP="000A32F1">
            <w:pPr>
              <w:widowControl/>
              <w:rPr>
                <w:kern w:val="0"/>
                <w:sz w:val="18"/>
                <w:szCs w:val="18"/>
              </w:rPr>
            </w:pPr>
            <w:r w:rsidRPr="00800D22">
              <w:rPr>
                <w:kern w:val="0"/>
                <w:sz w:val="18"/>
                <w:szCs w:val="18"/>
              </w:rPr>
              <w:t>6</w:t>
            </w:r>
          </w:p>
        </w:tc>
        <w:tc>
          <w:tcPr>
            <w:tcW w:w="869" w:type="dxa"/>
            <w:noWrap/>
            <w:vAlign w:val="center"/>
          </w:tcPr>
          <w:p w14:paraId="523D20FD" w14:textId="77777777" w:rsidR="00995E2A" w:rsidRPr="00800D22" w:rsidRDefault="00995E2A" w:rsidP="000A32F1">
            <w:pPr>
              <w:widowControl/>
              <w:rPr>
                <w:kern w:val="0"/>
                <w:sz w:val="18"/>
                <w:szCs w:val="18"/>
              </w:rPr>
            </w:pPr>
            <w:r w:rsidRPr="00800D22">
              <w:rPr>
                <w:kern w:val="0"/>
                <w:sz w:val="18"/>
                <w:szCs w:val="18"/>
              </w:rPr>
              <w:t>50.00</w:t>
            </w:r>
          </w:p>
        </w:tc>
        <w:tc>
          <w:tcPr>
            <w:tcW w:w="958" w:type="dxa"/>
            <w:noWrap/>
            <w:vAlign w:val="center"/>
          </w:tcPr>
          <w:p w14:paraId="0E27584A" w14:textId="77777777" w:rsidR="00995E2A" w:rsidRPr="00800D22" w:rsidRDefault="00995E2A" w:rsidP="000A32F1">
            <w:pPr>
              <w:widowControl/>
              <w:rPr>
                <w:kern w:val="0"/>
                <w:sz w:val="18"/>
                <w:szCs w:val="18"/>
              </w:rPr>
            </w:pPr>
            <w:r w:rsidRPr="00800D22">
              <w:rPr>
                <w:kern w:val="0"/>
                <w:sz w:val="18"/>
                <w:szCs w:val="18"/>
              </w:rPr>
              <w:t>15.00</w:t>
            </w:r>
          </w:p>
        </w:tc>
        <w:tc>
          <w:tcPr>
            <w:tcW w:w="1194" w:type="dxa"/>
            <w:noWrap/>
            <w:vAlign w:val="center"/>
          </w:tcPr>
          <w:p w14:paraId="1672C236" w14:textId="77777777" w:rsidR="00995E2A" w:rsidRPr="00800D22" w:rsidRDefault="00995E2A" w:rsidP="000A32F1">
            <w:pPr>
              <w:widowControl/>
              <w:rPr>
                <w:kern w:val="0"/>
                <w:sz w:val="18"/>
                <w:szCs w:val="18"/>
              </w:rPr>
            </w:pPr>
            <w:r w:rsidRPr="00800D22">
              <w:rPr>
                <w:kern w:val="0"/>
                <w:sz w:val="18"/>
                <w:szCs w:val="18"/>
              </w:rPr>
              <w:t>0.83</w:t>
            </w:r>
          </w:p>
        </w:tc>
        <w:tc>
          <w:tcPr>
            <w:tcW w:w="1221" w:type="dxa"/>
            <w:noWrap/>
            <w:vAlign w:val="center"/>
          </w:tcPr>
          <w:p w14:paraId="4B91555A" w14:textId="77777777" w:rsidR="00995E2A" w:rsidRPr="00800D22" w:rsidRDefault="00995E2A" w:rsidP="000A32F1">
            <w:pPr>
              <w:widowControl/>
              <w:rPr>
                <w:kern w:val="0"/>
                <w:sz w:val="18"/>
                <w:szCs w:val="18"/>
              </w:rPr>
            </w:pPr>
            <w:r w:rsidRPr="00800D22">
              <w:rPr>
                <w:kern w:val="0"/>
                <w:sz w:val="18"/>
                <w:szCs w:val="18"/>
              </w:rPr>
              <w:t>2.75</w:t>
            </w:r>
          </w:p>
        </w:tc>
        <w:tc>
          <w:tcPr>
            <w:tcW w:w="992" w:type="dxa"/>
            <w:noWrap/>
            <w:vAlign w:val="center"/>
          </w:tcPr>
          <w:p w14:paraId="21843F54" w14:textId="77777777" w:rsidR="00995E2A" w:rsidRPr="00800D22" w:rsidRDefault="00995E2A" w:rsidP="000A32F1">
            <w:pPr>
              <w:widowControl/>
              <w:rPr>
                <w:kern w:val="0"/>
                <w:sz w:val="18"/>
                <w:szCs w:val="18"/>
              </w:rPr>
            </w:pPr>
            <w:r w:rsidRPr="00800D22">
              <w:rPr>
                <w:kern w:val="0"/>
                <w:sz w:val="18"/>
                <w:szCs w:val="18"/>
              </w:rPr>
              <w:t>15.06</w:t>
            </w:r>
          </w:p>
        </w:tc>
        <w:tc>
          <w:tcPr>
            <w:tcW w:w="1417" w:type="dxa"/>
            <w:noWrap/>
            <w:vAlign w:val="center"/>
          </w:tcPr>
          <w:p w14:paraId="697E46FD" w14:textId="77777777" w:rsidR="00995E2A" w:rsidRPr="00800D22" w:rsidRDefault="00995E2A" w:rsidP="000A32F1">
            <w:pPr>
              <w:widowControl/>
              <w:rPr>
                <w:kern w:val="0"/>
                <w:sz w:val="18"/>
                <w:szCs w:val="18"/>
              </w:rPr>
            </w:pPr>
            <w:r w:rsidRPr="00800D22">
              <w:rPr>
                <w:kern w:val="0"/>
                <w:sz w:val="18"/>
                <w:szCs w:val="18"/>
              </w:rPr>
              <w:t>11.46</w:t>
            </w:r>
          </w:p>
        </w:tc>
        <w:tc>
          <w:tcPr>
            <w:tcW w:w="1089" w:type="dxa"/>
            <w:noWrap/>
            <w:vAlign w:val="center"/>
          </w:tcPr>
          <w:p w14:paraId="2C765112" w14:textId="77777777" w:rsidR="00995E2A" w:rsidRPr="00800D22" w:rsidRDefault="00995E2A" w:rsidP="000A32F1">
            <w:pPr>
              <w:widowControl/>
              <w:rPr>
                <w:kern w:val="0"/>
                <w:sz w:val="18"/>
                <w:szCs w:val="18"/>
              </w:rPr>
            </w:pPr>
            <w:r w:rsidRPr="00800D22">
              <w:rPr>
                <w:kern w:val="0"/>
                <w:sz w:val="18"/>
                <w:szCs w:val="18"/>
              </w:rPr>
              <w:t>78.86</w:t>
            </w:r>
          </w:p>
        </w:tc>
      </w:tr>
    </w:tbl>
    <w:p w14:paraId="6E9542EB" w14:textId="77777777" w:rsidR="00995E2A" w:rsidRPr="00800D22" w:rsidRDefault="00995E2A" w:rsidP="00995E2A">
      <w:pPr>
        <w:spacing w:beforeLines="100" w:before="312" w:line="440" w:lineRule="exact"/>
        <w:ind w:firstLine="465"/>
        <w:rPr>
          <w:rFonts w:hint="eastAsia"/>
          <w:sz w:val="24"/>
        </w:rPr>
      </w:pPr>
    </w:p>
    <w:p w14:paraId="6F35291B" w14:textId="77777777" w:rsidR="00995E2A" w:rsidRPr="00800D22" w:rsidRDefault="00995E2A" w:rsidP="00995E2A">
      <w:pPr>
        <w:spacing w:line="440" w:lineRule="exact"/>
        <w:ind w:firstLineChars="200" w:firstLine="480"/>
        <w:rPr>
          <w:rFonts w:hint="eastAsia"/>
          <w:sz w:val="24"/>
        </w:rPr>
      </w:pPr>
      <w:r w:rsidRPr="00800D22">
        <w:rPr>
          <w:sz w:val="24"/>
        </w:rPr>
        <w:t>由上表得到了当出现</w:t>
      </w:r>
      <w:r w:rsidRPr="00800D22">
        <w:rPr>
          <w:sz w:val="24"/>
        </w:rPr>
        <w:t>10</w:t>
      </w:r>
      <w:r w:rsidRPr="00800D22">
        <w:rPr>
          <w:sz w:val="24"/>
        </w:rPr>
        <w:t>家企业违约时该</w:t>
      </w:r>
      <w:r w:rsidRPr="00800D22">
        <w:rPr>
          <w:sz w:val="24"/>
        </w:rPr>
        <w:t>P-CBO</w:t>
      </w:r>
      <w:r w:rsidRPr="00800D22">
        <w:rPr>
          <w:sz w:val="24"/>
        </w:rPr>
        <w:t>优先层债券的现金流情况。以</w:t>
      </w:r>
      <w:r w:rsidRPr="00800D22">
        <w:rPr>
          <w:sz w:val="24"/>
        </w:rPr>
        <w:t>6</w:t>
      </w:r>
      <w:r w:rsidRPr="00800D22">
        <w:rPr>
          <w:sz w:val="24"/>
        </w:rPr>
        <w:t>％的利率对现金流进行贴现，得到现金流的净现值</w:t>
      </w:r>
      <w:r w:rsidRPr="00800D22">
        <w:rPr>
          <w:sz w:val="24"/>
        </w:rPr>
        <w:object w:dxaOrig="580" w:dyaOrig="279" w14:anchorId="3A49FA62">
          <v:shape id="_x0000_i1041" type="#_x0000_t75" style="width:29pt;height:14.05pt" o:ole="">
            <v:imagedata r:id="rId20" o:title=""/>
          </v:shape>
          <o:OLEObject Type="Embed" ProgID="Equation.DSMT4" ShapeID="_x0000_i1041" DrawAspect="Content" ObjectID="_1822572199" r:id="rId32"/>
        </w:object>
      </w:r>
      <w:r w:rsidRPr="00800D22">
        <w:rPr>
          <w:rFonts w:hint="eastAsia"/>
          <w:sz w:val="24"/>
        </w:rPr>
        <w:t>，</w:t>
      </w:r>
      <w:r w:rsidRPr="00800D22">
        <w:rPr>
          <w:sz w:val="24"/>
        </w:rPr>
        <w:t>即</w:t>
      </w:r>
      <w:r w:rsidRPr="00800D22">
        <w:rPr>
          <w:rFonts w:hint="eastAsia"/>
          <w:sz w:val="24"/>
        </w:rPr>
        <w:t>：</w:t>
      </w:r>
    </w:p>
    <w:p w14:paraId="6576D4D6" w14:textId="77777777" w:rsidR="00995E2A" w:rsidRPr="00800D22" w:rsidRDefault="00995E2A" w:rsidP="00995E2A">
      <w:pPr>
        <w:spacing w:line="360" w:lineRule="auto"/>
        <w:ind w:firstLine="465"/>
        <w:jc w:val="center"/>
        <w:rPr>
          <w:sz w:val="24"/>
        </w:rPr>
      </w:pPr>
      <w:r w:rsidRPr="00800D22">
        <w:rPr>
          <w:position w:val="-28"/>
          <w:sz w:val="24"/>
        </w:rPr>
        <w:object w:dxaOrig="4420" w:dyaOrig="680" w14:anchorId="43174E8E">
          <v:shape id="_x0000_i1042" type="#_x0000_t75" style="width:220.7pt;height:33.65pt" o:ole="">
            <v:imagedata r:id="rId33" o:title=""/>
          </v:shape>
          <o:OLEObject Type="Embed" ProgID="Equation.3" ShapeID="_x0000_i1042" DrawAspect="Content" ObjectID="_1822572200" r:id="rId34"/>
        </w:object>
      </w:r>
    </w:p>
    <w:p w14:paraId="1AD00277" w14:textId="77777777" w:rsidR="00995E2A" w:rsidRPr="00800D22" w:rsidRDefault="00995E2A" w:rsidP="00995E2A">
      <w:pPr>
        <w:spacing w:line="440" w:lineRule="exact"/>
        <w:ind w:firstLine="465"/>
        <w:rPr>
          <w:sz w:val="24"/>
        </w:rPr>
      </w:pPr>
      <w:r w:rsidRPr="00800D22">
        <w:rPr>
          <w:sz w:val="24"/>
        </w:rPr>
        <w:t>因此，按照</w:t>
      </w:r>
      <w:r w:rsidRPr="00800D22">
        <w:rPr>
          <w:rFonts w:hint="eastAsia"/>
          <w:sz w:val="24"/>
        </w:rPr>
        <w:t>公</w:t>
      </w:r>
      <w:r w:rsidRPr="00800D22">
        <w:rPr>
          <w:sz w:val="24"/>
        </w:rPr>
        <w:t>式</w:t>
      </w:r>
      <w:r w:rsidRPr="00800D22">
        <w:rPr>
          <w:rFonts w:hint="eastAsia"/>
          <w:sz w:val="24"/>
        </w:rPr>
        <w:t>（</w:t>
      </w:r>
      <w:r w:rsidRPr="00800D22">
        <w:rPr>
          <w:rFonts w:hint="eastAsia"/>
          <w:sz w:val="24"/>
        </w:rPr>
        <w:t>10.</w:t>
      </w:r>
      <w:r w:rsidRPr="00800D22">
        <w:rPr>
          <w:sz w:val="24"/>
        </w:rPr>
        <w:t>2</w:t>
      </w:r>
      <w:r w:rsidRPr="00800D22">
        <w:rPr>
          <w:rFonts w:hint="eastAsia"/>
          <w:sz w:val="24"/>
        </w:rPr>
        <w:t>）</w:t>
      </w:r>
      <w:r w:rsidRPr="00800D22">
        <w:rPr>
          <w:sz w:val="24"/>
        </w:rPr>
        <w:t>，在出现</w:t>
      </w:r>
      <w:r w:rsidRPr="00800D22">
        <w:rPr>
          <w:sz w:val="24"/>
        </w:rPr>
        <w:t>10</w:t>
      </w:r>
      <w:r w:rsidRPr="00800D22">
        <w:rPr>
          <w:sz w:val="24"/>
        </w:rPr>
        <w:t>家企业违约的情景下，</w:t>
      </w:r>
      <w:r w:rsidRPr="00800D22">
        <w:rPr>
          <w:sz w:val="24"/>
        </w:rPr>
        <w:t>P-CBO</w:t>
      </w:r>
      <w:r w:rsidRPr="00800D22">
        <w:rPr>
          <w:sz w:val="24"/>
        </w:rPr>
        <w:t>优先层债券损失</w:t>
      </w:r>
      <w:r w:rsidRPr="00800D22">
        <w:rPr>
          <w:position w:val="-12"/>
          <w:sz w:val="24"/>
        </w:rPr>
        <w:object w:dxaOrig="340" w:dyaOrig="360" w14:anchorId="702D65F7">
          <v:shape id="_x0000_i1043" type="#_x0000_t75" style="width:16.85pt;height:17.75pt" o:ole="">
            <v:imagedata r:id="rId35" o:title=""/>
          </v:shape>
          <o:OLEObject Type="Embed" ProgID="Equation.3" ShapeID="_x0000_i1043" DrawAspect="Content" ObjectID="_1822572201" r:id="rId36"/>
        </w:object>
      </w:r>
      <w:r w:rsidRPr="00800D22">
        <w:rPr>
          <w:sz w:val="24"/>
        </w:rPr>
        <w:t>就为：</w:t>
      </w:r>
    </w:p>
    <w:p w14:paraId="38FB5836" w14:textId="77777777" w:rsidR="00995E2A" w:rsidRPr="00800D22" w:rsidRDefault="00995E2A" w:rsidP="00995E2A">
      <w:pPr>
        <w:spacing w:line="360" w:lineRule="auto"/>
        <w:ind w:firstLine="465"/>
        <w:jc w:val="center"/>
        <w:rPr>
          <w:sz w:val="24"/>
        </w:rPr>
      </w:pPr>
      <w:r w:rsidRPr="00800D22">
        <w:rPr>
          <w:position w:val="-18"/>
          <w:sz w:val="24"/>
        </w:rPr>
        <w:object w:dxaOrig="2840" w:dyaOrig="480" w14:anchorId="18ADA068">
          <v:shape id="_x0000_i1044" type="#_x0000_t75" style="width:142.15pt;height:24.3pt" o:ole="">
            <v:imagedata r:id="rId37" o:title=""/>
          </v:shape>
          <o:OLEObject Type="Embed" ProgID="Equation.3" ShapeID="_x0000_i1044" DrawAspect="Content" ObjectID="_1822572202" r:id="rId38"/>
        </w:object>
      </w:r>
    </w:p>
    <w:p w14:paraId="1D73E650" w14:textId="1B7223B0" w:rsidR="00995E2A" w:rsidRPr="00800D22" w:rsidRDefault="00995E2A" w:rsidP="00995E2A">
      <w:pPr>
        <w:spacing w:line="440" w:lineRule="exact"/>
        <w:ind w:firstLine="465"/>
        <w:rPr>
          <w:sz w:val="24"/>
        </w:rPr>
      </w:pPr>
      <w:r w:rsidRPr="00800D22">
        <w:rPr>
          <w:sz w:val="24"/>
        </w:rPr>
        <w:t>按同样的方法，可以得到其它情景下</w:t>
      </w:r>
      <w:r w:rsidRPr="00800D22">
        <w:rPr>
          <w:sz w:val="24"/>
        </w:rPr>
        <w:t>P-CBO</w:t>
      </w:r>
      <w:r w:rsidRPr="00800D22">
        <w:rPr>
          <w:sz w:val="24"/>
        </w:rPr>
        <w:t>优先层债券的损失情况，计算结果如表</w:t>
      </w:r>
      <w:r>
        <w:rPr>
          <w:rFonts w:hint="eastAsia"/>
          <w:sz w:val="24"/>
        </w:rPr>
        <w:t>3</w:t>
      </w:r>
      <w:r w:rsidRPr="00800D22">
        <w:rPr>
          <w:sz w:val="24"/>
        </w:rPr>
        <w:t>所示：</w:t>
      </w:r>
    </w:p>
    <w:p w14:paraId="0257449D" w14:textId="1579D0D2" w:rsidR="00995E2A" w:rsidRPr="00800D22" w:rsidRDefault="00995E2A" w:rsidP="00995E2A">
      <w:pPr>
        <w:pStyle w:val="aff1"/>
        <w:spacing w:beforeLines="100" w:before="312"/>
        <w:jc w:val="center"/>
        <w:rPr>
          <w:rFonts w:ascii="Times New Roman" w:eastAsia="新宋体" w:hAnsi="新宋体" w:cs="Times New Roman" w:hint="eastAsia"/>
          <w:sz w:val="21"/>
          <w:szCs w:val="21"/>
        </w:rPr>
      </w:pPr>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3</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各违约情景出现概率及损失情况</w:t>
      </w:r>
    </w:p>
    <w:p w14:paraId="68EFDB54" w14:textId="02881129" w:rsidR="00995E2A" w:rsidRPr="00800D22" w:rsidRDefault="00995E2A" w:rsidP="00995E2A">
      <w:pPr>
        <w:jc w:val="center"/>
        <w:rPr>
          <w:rFonts w:hint="eastAsia"/>
          <w:szCs w:val="21"/>
        </w:rPr>
      </w:pPr>
      <w:r w:rsidRPr="00800D22">
        <w:rPr>
          <w:rFonts w:hint="eastAsia"/>
          <w:szCs w:val="21"/>
        </w:rPr>
        <w:t xml:space="preserve">Table </w:t>
      </w:r>
      <w:r>
        <w:rPr>
          <w:rFonts w:hint="eastAsia"/>
          <w:szCs w:val="21"/>
        </w:rPr>
        <w:t>3</w:t>
      </w:r>
      <w:r w:rsidRPr="00800D22">
        <w:rPr>
          <w:rFonts w:hint="eastAsia"/>
          <w:szCs w:val="21"/>
        </w:rPr>
        <w:t xml:space="preserve">  </w:t>
      </w:r>
      <w:r w:rsidRPr="00800D22">
        <w:rPr>
          <w:szCs w:val="21"/>
        </w:rPr>
        <w:t>Default probability</w:t>
      </w:r>
      <w:r w:rsidRPr="00800D22">
        <w:rPr>
          <w:rFonts w:hint="eastAsia"/>
          <w:szCs w:val="21"/>
        </w:rPr>
        <w:t xml:space="preserve"> and l</w:t>
      </w:r>
      <w:r w:rsidRPr="00800D22">
        <w:rPr>
          <w:szCs w:val="21"/>
        </w:rPr>
        <w:t xml:space="preserve">oss </w:t>
      </w:r>
      <w:r w:rsidRPr="00800D22">
        <w:rPr>
          <w:rFonts w:hint="eastAsia"/>
          <w:szCs w:val="21"/>
        </w:rPr>
        <w:t>g</w:t>
      </w:r>
      <w:r w:rsidRPr="00800D22">
        <w:rPr>
          <w:szCs w:val="21"/>
        </w:rPr>
        <w:t xml:space="preserve">iven </w:t>
      </w:r>
      <w:r w:rsidRPr="00800D22">
        <w:rPr>
          <w:rFonts w:hint="eastAsia"/>
          <w:szCs w:val="21"/>
        </w:rPr>
        <w:t>d</w:t>
      </w:r>
      <w:r w:rsidRPr="00800D22">
        <w:rPr>
          <w:szCs w:val="21"/>
        </w:rPr>
        <w:t>efault</w:t>
      </w:r>
      <w:r w:rsidRPr="00800D22">
        <w:rPr>
          <w:rFonts w:hint="eastAsia"/>
          <w:szCs w:val="21"/>
        </w:rPr>
        <w:t xml:space="preserve"> in different default situation</w:t>
      </w:r>
    </w:p>
    <w:tbl>
      <w:tblPr>
        <w:tblW w:w="5000" w:type="pct"/>
        <w:tblBorders>
          <w:top w:val="single" w:sz="4" w:space="0" w:color="auto"/>
          <w:bottom w:val="single" w:sz="4" w:space="0" w:color="auto"/>
        </w:tblBorders>
        <w:tblLook w:val="00A0" w:firstRow="1" w:lastRow="0" w:firstColumn="1" w:lastColumn="0" w:noHBand="0" w:noVBand="0"/>
      </w:tblPr>
      <w:tblGrid>
        <w:gridCol w:w="1550"/>
        <w:gridCol w:w="557"/>
        <w:gridCol w:w="651"/>
        <w:gridCol w:w="651"/>
        <w:gridCol w:w="651"/>
        <w:gridCol w:w="651"/>
        <w:gridCol w:w="651"/>
        <w:gridCol w:w="651"/>
        <w:gridCol w:w="651"/>
        <w:gridCol w:w="651"/>
        <w:gridCol w:w="651"/>
        <w:gridCol w:w="556"/>
      </w:tblGrid>
      <w:tr w:rsidR="00995E2A" w:rsidRPr="00800D22" w14:paraId="00A9A040" w14:textId="77777777" w:rsidTr="000A32F1">
        <w:trPr>
          <w:trHeight w:val="320"/>
        </w:trPr>
        <w:tc>
          <w:tcPr>
            <w:tcW w:w="909" w:type="pct"/>
            <w:tcBorders>
              <w:top w:val="single" w:sz="4" w:space="0" w:color="auto"/>
              <w:bottom w:val="single" w:sz="4" w:space="0" w:color="auto"/>
            </w:tcBorders>
            <w:vAlign w:val="center"/>
          </w:tcPr>
          <w:p w14:paraId="54BE0A5F" w14:textId="77777777" w:rsidR="00995E2A" w:rsidRPr="00800D22" w:rsidRDefault="00995E2A" w:rsidP="000A32F1">
            <w:pPr>
              <w:widowControl/>
              <w:rPr>
                <w:bCs/>
                <w:kern w:val="0"/>
                <w:szCs w:val="21"/>
              </w:rPr>
            </w:pPr>
            <w:r w:rsidRPr="00800D22">
              <w:rPr>
                <w:bCs/>
                <w:kern w:val="0"/>
                <w:szCs w:val="21"/>
              </w:rPr>
              <w:t>违约情景</w:t>
            </w:r>
          </w:p>
        </w:tc>
        <w:tc>
          <w:tcPr>
            <w:tcW w:w="327" w:type="pct"/>
            <w:tcBorders>
              <w:top w:val="single" w:sz="4" w:space="0" w:color="auto"/>
              <w:bottom w:val="single" w:sz="4" w:space="0" w:color="auto"/>
            </w:tcBorders>
            <w:vAlign w:val="center"/>
          </w:tcPr>
          <w:p w14:paraId="19A0BBBA" w14:textId="77777777" w:rsidR="00995E2A" w:rsidRPr="00800D22" w:rsidRDefault="00995E2A" w:rsidP="000A32F1">
            <w:pPr>
              <w:widowControl/>
              <w:rPr>
                <w:bCs/>
                <w:kern w:val="0"/>
                <w:szCs w:val="21"/>
              </w:rPr>
            </w:pPr>
            <w:r w:rsidRPr="00800D22">
              <w:rPr>
                <w:bCs/>
                <w:kern w:val="0"/>
                <w:szCs w:val="21"/>
              </w:rPr>
              <w:t>0</w:t>
            </w:r>
          </w:p>
        </w:tc>
        <w:tc>
          <w:tcPr>
            <w:tcW w:w="382" w:type="pct"/>
            <w:tcBorders>
              <w:top w:val="single" w:sz="4" w:space="0" w:color="auto"/>
              <w:bottom w:val="single" w:sz="4" w:space="0" w:color="auto"/>
            </w:tcBorders>
            <w:vAlign w:val="center"/>
          </w:tcPr>
          <w:p w14:paraId="464E808C" w14:textId="77777777" w:rsidR="00995E2A" w:rsidRPr="00800D22" w:rsidRDefault="00995E2A" w:rsidP="000A32F1">
            <w:pPr>
              <w:widowControl/>
              <w:rPr>
                <w:bCs/>
                <w:kern w:val="0"/>
                <w:szCs w:val="21"/>
              </w:rPr>
            </w:pPr>
            <w:r w:rsidRPr="00800D22">
              <w:rPr>
                <w:bCs/>
                <w:kern w:val="0"/>
                <w:szCs w:val="21"/>
              </w:rPr>
              <w:t>1</w:t>
            </w:r>
          </w:p>
        </w:tc>
        <w:tc>
          <w:tcPr>
            <w:tcW w:w="382" w:type="pct"/>
            <w:tcBorders>
              <w:top w:val="single" w:sz="4" w:space="0" w:color="auto"/>
              <w:bottom w:val="single" w:sz="4" w:space="0" w:color="auto"/>
            </w:tcBorders>
            <w:vAlign w:val="center"/>
          </w:tcPr>
          <w:p w14:paraId="4CA65A9E" w14:textId="77777777" w:rsidR="00995E2A" w:rsidRPr="00800D22" w:rsidRDefault="00995E2A" w:rsidP="000A32F1">
            <w:pPr>
              <w:widowControl/>
              <w:rPr>
                <w:bCs/>
                <w:kern w:val="0"/>
                <w:szCs w:val="21"/>
              </w:rPr>
            </w:pPr>
            <w:r w:rsidRPr="00800D22">
              <w:rPr>
                <w:bCs/>
                <w:kern w:val="0"/>
                <w:szCs w:val="21"/>
              </w:rPr>
              <w:t>2</w:t>
            </w:r>
          </w:p>
        </w:tc>
        <w:tc>
          <w:tcPr>
            <w:tcW w:w="382" w:type="pct"/>
            <w:tcBorders>
              <w:top w:val="single" w:sz="4" w:space="0" w:color="auto"/>
              <w:bottom w:val="single" w:sz="4" w:space="0" w:color="auto"/>
            </w:tcBorders>
            <w:vAlign w:val="center"/>
          </w:tcPr>
          <w:p w14:paraId="24EF3E7C" w14:textId="77777777" w:rsidR="00995E2A" w:rsidRPr="00800D22" w:rsidRDefault="00995E2A" w:rsidP="000A32F1">
            <w:pPr>
              <w:widowControl/>
              <w:rPr>
                <w:bCs/>
                <w:kern w:val="0"/>
                <w:szCs w:val="21"/>
              </w:rPr>
            </w:pPr>
            <w:r w:rsidRPr="00800D22">
              <w:rPr>
                <w:bCs/>
                <w:kern w:val="0"/>
                <w:szCs w:val="21"/>
              </w:rPr>
              <w:t>3</w:t>
            </w:r>
          </w:p>
        </w:tc>
        <w:tc>
          <w:tcPr>
            <w:tcW w:w="382" w:type="pct"/>
            <w:tcBorders>
              <w:top w:val="single" w:sz="4" w:space="0" w:color="auto"/>
              <w:bottom w:val="single" w:sz="4" w:space="0" w:color="auto"/>
            </w:tcBorders>
            <w:vAlign w:val="center"/>
          </w:tcPr>
          <w:p w14:paraId="093CE1C8" w14:textId="77777777" w:rsidR="00995E2A" w:rsidRPr="00800D22" w:rsidRDefault="00995E2A" w:rsidP="000A32F1">
            <w:pPr>
              <w:widowControl/>
              <w:rPr>
                <w:bCs/>
                <w:kern w:val="0"/>
                <w:szCs w:val="21"/>
              </w:rPr>
            </w:pPr>
            <w:r w:rsidRPr="00800D22">
              <w:rPr>
                <w:bCs/>
                <w:kern w:val="0"/>
                <w:szCs w:val="21"/>
              </w:rPr>
              <w:t>4</w:t>
            </w:r>
          </w:p>
        </w:tc>
        <w:tc>
          <w:tcPr>
            <w:tcW w:w="382" w:type="pct"/>
            <w:tcBorders>
              <w:top w:val="single" w:sz="4" w:space="0" w:color="auto"/>
              <w:bottom w:val="single" w:sz="4" w:space="0" w:color="auto"/>
            </w:tcBorders>
            <w:vAlign w:val="center"/>
          </w:tcPr>
          <w:p w14:paraId="7FAE7B1C" w14:textId="77777777" w:rsidR="00995E2A" w:rsidRPr="00800D22" w:rsidRDefault="00995E2A" w:rsidP="000A32F1">
            <w:pPr>
              <w:widowControl/>
              <w:rPr>
                <w:bCs/>
                <w:kern w:val="0"/>
                <w:szCs w:val="21"/>
              </w:rPr>
            </w:pPr>
            <w:r w:rsidRPr="00800D22">
              <w:rPr>
                <w:bCs/>
                <w:kern w:val="0"/>
                <w:szCs w:val="21"/>
              </w:rPr>
              <w:t>5</w:t>
            </w:r>
          </w:p>
        </w:tc>
        <w:tc>
          <w:tcPr>
            <w:tcW w:w="382" w:type="pct"/>
            <w:tcBorders>
              <w:top w:val="single" w:sz="4" w:space="0" w:color="auto"/>
              <w:bottom w:val="single" w:sz="4" w:space="0" w:color="auto"/>
            </w:tcBorders>
            <w:vAlign w:val="center"/>
          </w:tcPr>
          <w:p w14:paraId="63B5EFFC" w14:textId="77777777" w:rsidR="00995E2A" w:rsidRPr="00800D22" w:rsidRDefault="00995E2A" w:rsidP="000A32F1">
            <w:pPr>
              <w:widowControl/>
              <w:rPr>
                <w:bCs/>
                <w:kern w:val="0"/>
                <w:szCs w:val="21"/>
              </w:rPr>
            </w:pPr>
            <w:r w:rsidRPr="00800D22">
              <w:rPr>
                <w:bCs/>
                <w:kern w:val="0"/>
                <w:szCs w:val="21"/>
              </w:rPr>
              <w:t>6</w:t>
            </w:r>
          </w:p>
        </w:tc>
        <w:tc>
          <w:tcPr>
            <w:tcW w:w="382" w:type="pct"/>
            <w:tcBorders>
              <w:top w:val="single" w:sz="4" w:space="0" w:color="auto"/>
              <w:bottom w:val="single" w:sz="4" w:space="0" w:color="auto"/>
            </w:tcBorders>
            <w:vAlign w:val="center"/>
          </w:tcPr>
          <w:p w14:paraId="55C4787A" w14:textId="77777777" w:rsidR="00995E2A" w:rsidRPr="00800D22" w:rsidRDefault="00995E2A" w:rsidP="000A32F1">
            <w:pPr>
              <w:widowControl/>
              <w:rPr>
                <w:bCs/>
                <w:kern w:val="0"/>
                <w:szCs w:val="21"/>
              </w:rPr>
            </w:pPr>
            <w:r w:rsidRPr="00800D22">
              <w:rPr>
                <w:bCs/>
                <w:kern w:val="0"/>
                <w:szCs w:val="21"/>
              </w:rPr>
              <w:t>7</w:t>
            </w:r>
          </w:p>
        </w:tc>
        <w:tc>
          <w:tcPr>
            <w:tcW w:w="382" w:type="pct"/>
            <w:tcBorders>
              <w:top w:val="single" w:sz="4" w:space="0" w:color="auto"/>
              <w:bottom w:val="single" w:sz="4" w:space="0" w:color="auto"/>
            </w:tcBorders>
            <w:vAlign w:val="center"/>
          </w:tcPr>
          <w:p w14:paraId="6D4EC9AB" w14:textId="77777777" w:rsidR="00995E2A" w:rsidRPr="00800D22" w:rsidRDefault="00995E2A" w:rsidP="000A32F1">
            <w:pPr>
              <w:widowControl/>
              <w:rPr>
                <w:bCs/>
                <w:kern w:val="0"/>
                <w:szCs w:val="21"/>
              </w:rPr>
            </w:pPr>
            <w:r w:rsidRPr="00800D22">
              <w:rPr>
                <w:bCs/>
                <w:kern w:val="0"/>
                <w:szCs w:val="21"/>
              </w:rPr>
              <w:t>8</w:t>
            </w:r>
          </w:p>
        </w:tc>
        <w:tc>
          <w:tcPr>
            <w:tcW w:w="382" w:type="pct"/>
            <w:tcBorders>
              <w:top w:val="single" w:sz="4" w:space="0" w:color="auto"/>
              <w:bottom w:val="single" w:sz="4" w:space="0" w:color="auto"/>
            </w:tcBorders>
            <w:vAlign w:val="center"/>
          </w:tcPr>
          <w:p w14:paraId="029B8DCD" w14:textId="77777777" w:rsidR="00995E2A" w:rsidRPr="00800D22" w:rsidRDefault="00995E2A" w:rsidP="000A32F1">
            <w:pPr>
              <w:widowControl/>
              <w:rPr>
                <w:bCs/>
                <w:kern w:val="0"/>
                <w:szCs w:val="21"/>
              </w:rPr>
            </w:pPr>
            <w:r w:rsidRPr="00800D22">
              <w:rPr>
                <w:bCs/>
                <w:kern w:val="0"/>
                <w:szCs w:val="21"/>
              </w:rPr>
              <w:t>9</w:t>
            </w:r>
          </w:p>
        </w:tc>
        <w:tc>
          <w:tcPr>
            <w:tcW w:w="327" w:type="pct"/>
            <w:tcBorders>
              <w:top w:val="single" w:sz="4" w:space="0" w:color="auto"/>
              <w:bottom w:val="single" w:sz="4" w:space="0" w:color="auto"/>
            </w:tcBorders>
            <w:vAlign w:val="center"/>
          </w:tcPr>
          <w:p w14:paraId="249B9B82" w14:textId="77777777" w:rsidR="00995E2A" w:rsidRPr="00800D22" w:rsidRDefault="00995E2A" w:rsidP="000A32F1">
            <w:pPr>
              <w:widowControl/>
              <w:rPr>
                <w:bCs/>
                <w:kern w:val="0"/>
                <w:szCs w:val="21"/>
              </w:rPr>
            </w:pPr>
            <w:r w:rsidRPr="00800D22">
              <w:rPr>
                <w:bCs/>
                <w:kern w:val="0"/>
                <w:szCs w:val="21"/>
              </w:rPr>
              <w:t>10</w:t>
            </w:r>
          </w:p>
        </w:tc>
      </w:tr>
      <w:tr w:rsidR="00995E2A" w:rsidRPr="00800D22" w14:paraId="790DA009" w14:textId="77777777" w:rsidTr="000A32F1">
        <w:trPr>
          <w:trHeight w:val="320"/>
        </w:trPr>
        <w:tc>
          <w:tcPr>
            <w:tcW w:w="909" w:type="pct"/>
            <w:tcBorders>
              <w:top w:val="single" w:sz="4" w:space="0" w:color="auto"/>
            </w:tcBorders>
            <w:vAlign w:val="center"/>
          </w:tcPr>
          <w:p w14:paraId="06756F73" w14:textId="77777777" w:rsidR="00995E2A" w:rsidRPr="00800D22" w:rsidRDefault="00995E2A" w:rsidP="000A32F1">
            <w:pPr>
              <w:widowControl/>
              <w:rPr>
                <w:kern w:val="0"/>
                <w:sz w:val="18"/>
                <w:szCs w:val="18"/>
              </w:rPr>
            </w:pPr>
            <w:r w:rsidRPr="00800D22">
              <w:rPr>
                <w:kern w:val="0"/>
                <w:sz w:val="18"/>
                <w:szCs w:val="18"/>
              </w:rPr>
              <w:t>概率（％）</w:t>
            </w:r>
          </w:p>
        </w:tc>
        <w:tc>
          <w:tcPr>
            <w:tcW w:w="327" w:type="pct"/>
            <w:tcBorders>
              <w:top w:val="single" w:sz="4" w:space="0" w:color="auto"/>
            </w:tcBorders>
            <w:vAlign w:val="center"/>
          </w:tcPr>
          <w:p w14:paraId="62414B18" w14:textId="77777777" w:rsidR="00995E2A" w:rsidRPr="00800D22" w:rsidRDefault="00995E2A" w:rsidP="000A32F1">
            <w:pPr>
              <w:widowControl/>
              <w:rPr>
                <w:kern w:val="0"/>
                <w:sz w:val="18"/>
                <w:szCs w:val="18"/>
              </w:rPr>
            </w:pPr>
            <w:r w:rsidRPr="00800D22">
              <w:rPr>
                <w:kern w:val="0"/>
                <w:sz w:val="18"/>
                <w:szCs w:val="18"/>
              </w:rPr>
              <w:t xml:space="preserve">0.32 </w:t>
            </w:r>
          </w:p>
        </w:tc>
        <w:tc>
          <w:tcPr>
            <w:tcW w:w="382" w:type="pct"/>
            <w:tcBorders>
              <w:top w:val="single" w:sz="4" w:space="0" w:color="auto"/>
            </w:tcBorders>
            <w:vAlign w:val="center"/>
          </w:tcPr>
          <w:p w14:paraId="7DEAC585" w14:textId="77777777" w:rsidR="00995E2A" w:rsidRPr="00800D22" w:rsidRDefault="00995E2A" w:rsidP="000A32F1">
            <w:pPr>
              <w:widowControl/>
              <w:rPr>
                <w:kern w:val="0"/>
                <w:sz w:val="18"/>
                <w:szCs w:val="18"/>
              </w:rPr>
            </w:pPr>
            <w:r w:rsidRPr="00800D22">
              <w:rPr>
                <w:kern w:val="0"/>
                <w:sz w:val="18"/>
                <w:szCs w:val="18"/>
              </w:rPr>
              <w:t xml:space="preserve">2.11 </w:t>
            </w:r>
          </w:p>
        </w:tc>
        <w:tc>
          <w:tcPr>
            <w:tcW w:w="382" w:type="pct"/>
            <w:tcBorders>
              <w:top w:val="single" w:sz="4" w:space="0" w:color="auto"/>
            </w:tcBorders>
            <w:vAlign w:val="center"/>
          </w:tcPr>
          <w:p w14:paraId="32A86C30" w14:textId="77777777" w:rsidR="00995E2A" w:rsidRPr="00800D22" w:rsidRDefault="00995E2A" w:rsidP="000A32F1">
            <w:pPr>
              <w:widowControl/>
              <w:rPr>
                <w:kern w:val="0"/>
                <w:sz w:val="18"/>
                <w:szCs w:val="18"/>
              </w:rPr>
            </w:pPr>
            <w:r w:rsidRPr="00800D22">
              <w:rPr>
                <w:kern w:val="0"/>
                <w:sz w:val="18"/>
                <w:szCs w:val="18"/>
              </w:rPr>
              <w:t xml:space="preserve">6.69 </w:t>
            </w:r>
          </w:p>
        </w:tc>
        <w:tc>
          <w:tcPr>
            <w:tcW w:w="382" w:type="pct"/>
            <w:tcBorders>
              <w:top w:val="single" w:sz="4" w:space="0" w:color="auto"/>
            </w:tcBorders>
            <w:vAlign w:val="center"/>
          </w:tcPr>
          <w:p w14:paraId="024B446F" w14:textId="77777777" w:rsidR="00995E2A" w:rsidRPr="00800D22" w:rsidRDefault="00995E2A" w:rsidP="000A32F1">
            <w:pPr>
              <w:widowControl/>
              <w:rPr>
                <w:kern w:val="0"/>
                <w:sz w:val="18"/>
                <w:szCs w:val="18"/>
              </w:rPr>
            </w:pPr>
            <w:r w:rsidRPr="00800D22">
              <w:rPr>
                <w:kern w:val="0"/>
                <w:sz w:val="18"/>
                <w:szCs w:val="18"/>
              </w:rPr>
              <w:t xml:space="preserve">13.39 </w:t>
            </w:r>
          </w:p>
        </w:tc>
        <w:tc>
          <w:tcPr>
            <w:tcW w:w="382" w:type="pct"/>
            <w:tcBorders>
              <w:top w:val="single" w:sz="4" w:space="0" w:color="auto"/>
            </w:tcBorders>
            <w:vAlign w:val="center"/>
          </w:tcPr>
          <w:p w14:paraId="1C8D0562" w14:textId="77777777" w:rsidR="00995E2A" w:rsidRPr="00800D22" w:rsidRDefault="00995E2A" w:rsidP="000A32F1">
            <w:pPr>
              <w:widowControl/>
              <w:rPr>
                <w:kern w:val="0"/>
                <w:sz w:val="18"/>
                <w:szCs w:val="18"/>
              </w:rPr>
            </w:pPr>
            <w:r w:rsidRPr="00800D22">
              <w:rPr>
                <w:kern w:val="0"/>
                <w:sz w:val="18"/>
                <w:szCs w:val="18"/>
              </w:rPr>
              <w:t xml:space="preserve">18.97 </w:t>
            </w:r>
          </w:p>
        </w:tc>
        <w:tc>
          <w:tcPr>
            <w:tcW w:w="382" w:type="pct"/>
            <w:tcBorders>
              <w:top w:val="single" w:sz="4" w:space="0" w:color="auto"/>
            </w:tcBorders>
            <w:vAlign w:val="center"/>
          </w:tcPr>
          <w:p w14:paraId="691436C6" w14:textId="77777777" w:rsidR="00995E2A" w:rsidRPr="00800D22" w:rsidRDefault="00995E2A" w:rsidP="000A32F1">
            <w:pPr>
              <w:widowControl/>
              <w:rPr>
                <w:kern w:val="0"/>
                <w:sz w:val="18"/>
                <w:szCs w:val="18"/>
              </w:rPr>
            </w:pPr>
            <w:r w:rsidRPr="00800D22">
              <w:rPr>
                <w:kern w:val="0"/>
                <w:sz w:val="18"/>
                <w:szCs w:val="18"/>
              </w:rPr>
              <w:t xml:space="preserve">20.23 </w:t>
            </w:r>
          </w:p>
        </w:tc>
        <w:tc>
          <w:tcPr>
            <w:tcW w:w="382" w:type="pct"/>
            <w:tcBorders>
              <w:top w:val="single" w:sz="4" w:space="0" w:color="auto"/>
            </w:tcBorders>
            <w:vAlign w:val="center"/>
          </w:tcPr>
          <w:p w14:paraId="47864749" w14:textId="77777777" w:rsidR="00995E2A" w:rsidRPr="00800D22" w:rsidRDefault="00995E2A" w:rsidP="000A32F1">
            <w:pPr>
              <w:widowControl/>
              <w:rPr>
                <w:kern w:val="0"/>
                <w:sz w:val="18"/>
                <w:szCs w:val="18"/>
              </w:rPr>
            </w:pPr>
            <w:r w:rsidRPr="00800D22">
              <w:rPr>
                <w:kern w:val="0"/>
                <w:sz w:val="18"/>
                <w:szCs w:val="18"/>
              </w:rPr>
              <w:t xml:space="preserve">16.86 </w:t>
            </w:r>
          </w:p>
        </w:tc>
        <w:tc>
          <w:tcPr>
            <w:tcW w:w="382" w:type="pct"/>
            <w:tcBorders>
              <w:top w:val="single" w:sz="4" w:space="0" w:color="auto"/>
            </w:tcBorders>
            <w:vAlign w:val="center"/>
          </w:tcPr>
          <w:p w14:paraId="056990F1" w14:textId="77777777" w:rsidR="00995E2A" w:rsidRPr="00800D22" w:rsidRDefault="00995E2A" w:rsidP="000A32F1">
            <w:pPr>
              <w:widowControl/>
              <w:rPr>
                <w:kern w:val="0"/>
                <w:sz w:val="18"/>
                <w:szCs w:val="18"/>
              </w:rPr>
            </w:pPr>
            <w:r w:rsidRPr="00800D22">
              <w:rPr>
                <w:kern w:val="0"/>
                <w:sz w:val="18"/>
                <w:szCs w:val="18"/>
              </w:rPr>
              <w:t xml:space="preserve">11.24 </w:t>
            </w:r>
          </w:p>
        </w:tc>
        <w:tc>
          <w:tcPr>
            <w:tcW w:w="382" w:type="pct"/>
            <w:tcBorders>
              <w:top w:val="single" w:sz="4" w:space="0" w:color="auto"/>
            </w:tcBorders>
            <w:vAlign w:val="center"/>
          </w:tcPr>
          <w:p w14:paraId="3DEA23B9" w14:textId="77777777" w:rsidR="00995E2A" w:rsidRPr="00800D22" w:rsidRDefault="00995E2A" w:rsidP="000A32F1">
            <w:pPr>
              <w:widowControl/>
              <w:rPr>
                <w:kern w:val="0"/>
                <w:sz w:val="18"/>
                <w:szCs w:val="18"/>
              </w:rPr>
            </w:pPr>
            <w:r w:rsidRPr="00800D22">
              <w:rPr>
                <w:kern w:val="0"/>
                <w:sz w:val="18"/>
                <w:szCs w:val="18"/>
              </w:rPr>
              <w:t xml:space="preserve">6.09 </w:t>
            </w:r>
          </w:p>
        </w:tc>
        <w:tc>
          <w:tcPr>
            <w:tcW w:w="382" w:type="pct"/>
            <w:tcBorders>
              <w:top w:val="single" w:sz="4" w:space="0" w:color="auto"/>
            </w:tcBorders>
            <w:vAlign w:val="center"/>
          </w:tcPr>
          <w:p w14:paraId="5A69568F" w14:textId="77777777" w:rsidR="00995E2A" w:rsidRPr="00800D22" w:rsidRDefault="00995E2A" w:rsidP="000A32F1">
            <w:pPr>
              <w:widowControl/>
              <w:rPr>
                <w:kern w:val="0"/>
                <w:sz w:val="18"/>
                <w:szCs w:val="18"/>
              </w:rPr>
            </w:pPr>
            <w:r w:rsidRPr="00800D22">
              <w:rPr>
                <w:kern w:val="0"/>
                <w:sz w:val="18"/>
                <w:szCs w:val="18"/>
              </w:rPr>
              <w:t xml:space="preserve">2.71 </w:t>
            </w:r>
          </w:p>
        </w:tc>
        <w:tc>
          <w:tcPr>
            <w:tcW w:w="327" w:type="pct"/>
            <w:tcBorders>
              <w:top w:val="single" w:sz="4" w:space="0" w:color="auto"/>
            </w:tcBorders>
            <w:vAlign w:val="center"/>
          </w:tcPr>
          <w:p w14:paraId="162A8A70" w14:textId="77777777" w:rsidR="00995E2A" w:rsidRPr="00800D22" w:rsidRDefault="00995E2A" w:rsidP="000A32F1">
            <w:pPr>
              <w:widowControl/>
              <w:rPr>
                <w:kern w:val="0"/>
                <w:sz w:val="18"/>
                <w:szCs w:val="18"/>
              </w:rPr>
            </w:pPr>
            <w:r w:rsidRPr="00800D22">
              <w:rPr>
                <w:kern w:val="0"/>
                <w:sz w:val="18"/>
                <w:szCs w:val="18"/>
              </w:rPr>
              <w:t xml:space="preserve">0.99 </w:t>
            </w:r>
          </w:p>
        </w:tc>
      </w:tr>
      <w:tr w:rsidR="00995E2A" w:rsidRPr="00800D22" w14:paraId="3AE3E362" w14:textId="77777777" w:rsidTr="000A32F1">
        <w:trPr>
          <w:trHeight w:val="320"/>
        </w:trPr>
        <w:tc>
          <w:tcPr>
            <w:tcW w:w="909" w:type="pct"/>
            <w:tcBorders>
              <w:bottom w:val="single" w:sz="4" w:space="0" w:color="auto"/>
            </w:tcBorders>
            <w:vAlign w:val="center"/>
          </w:tcPr>
          <w:p w14:paraId="1AC15FB3" w14:textId="77777777" w:rsidR="00995E2A" w:rsidRPr="00800D22" w:rsidRDefault="00995E2A" w:rsidP="000A32F1">
            <w:pPr>
              <w:widowControl/>
              <w:rPr>
                <w:kern w:val="0"/>
                <w:sz w:val="18"/>
                <w:szCs w:val="18"/>
              </w:rPr>
            </w:pPr>
            <w:r w:rsidRPr="00800D22">
              <w:rPr>
                <w:kern w:val="0"/>
                <w:sz w:val="18"/>
                <w:szCs w:val="18"/>
              </w:rPr>
              <w:t>损失率（％）</w:t>
            </w:r>
          </w:p>
        </w:tc>
        <w:tc>
          <w:tcPr>
            <w:tcW w:w="327" w:type="pct"/>
            <w:tcBorders>
              <w:bottom w:val="single" w:sz="4" w:space="0" w:color="auto"/>
            </w:tcBorders>
            <w:vAlign w:val="center"/>
          </w:tcPr>
          <w:p w14:paraId="07811532" w14:textId="77777777" w:rsidR="00995E2A" w:rsidRPr="00800D22" w:rsidRDefault="00995E2A" w:rsidP="000A32F1">
            <w:pPr>
              <w:widowControl/>
              <w:rPr>
                <w:kern w:val="0"/>
                <w:sz w:val="18"/>
                <w:szCs w:val="18"/>
              </w:rPr>
            </w:pPr>
            <w:r w:rsidRPr="00800D22">
              <w:rPr>
                <w:kern w:val="0"/>
                <w:sz w:val="18"/>
                <w:szCs w:val="18"/>
              </w:rPr>
              <w:t>0</w:t>
            </w:r>
          </w:p>
        </w:tc>
        <w:tc>
          <w:tcPr>
            <w:tcW w:w="382" w:type="pct"/>
            <w:tcBorders>
              <w:bottom w:val="single" w:sz="4" w:space="0" w:color="auto"/>
            </w:tcBorders>
            <w:vAlign w:val="center"/>
          </w:tcPr>
          <w:p w14:paraId="7E16D75B" w14:textId="77777777" w:rsidR="00995E2A" w:rsidRPr="00800D22" w:rsidRDefault="00995E2A" w:rsidP="000A32F1">
            <w:pPr>
              <w:widowControl/>
              <w:rPr>
                <w:kern w:val="0"/>
                <w:sz w:val="18"/>
                <w:szCs w:val="18"/>
              </w:rPr>
            </w:pPr>
            <w:r w:rsidRPr="00800D22">
              <w:rPr>
                <w:kern w:val="0"/>
                <w:sz w:val="18"/>
                <w:szCs w:val="18"/>
              </w:rPr>
              <w:t>0</w:t>
            </w:r>
          </w:p>
        </w:tc>
        <w:tc>
          <w:tcPr>
            <w:tcW w:w="382" w:type="pct"/>
            <w:tcBorders>
              <w:bottom w:val="single" w:sz="4" w:space="0" w:color="auto"/>
            </w:tcBorders>
            <w:vAlign w:val="center"/>
          </w:tcPr>
          <w:p w14:paraId="4D50C71A" w14:textId="77777777" w:rsidR="00995E2A" w:rsidRPr="00800D22" w:rsidRDefault="00995E2A" w:rsidP="000A32F1">
            <w:pPr>
              <w:widowControl/>
              <w:rPr>
                <w:kern w:val="0"/>
                <w:sz w:val="18"/>
                <w:szCs w:val="18"/>
              </w:rPr>
            </w:pPr>
            <w:r w:rsidRPr="00800D22">
              <w:rPr>
                <w:kern w:val="0"/>
                <w:sz w:val="18"/>
                <w:szCs w:val="18"/>
              </w:rPr>
              <w:t>0</w:t>
            </w:r>
          </w:p>
        </w:tc>
        <w:tc>
          <w:tcPr>
            <w:tcW w:w="382" w:type="pct"/>
            <w:tcBorders>
              <w:bottom w:val="single" w:sz="4" w:space="0" w:color="auto"/>
            </w:tcBorders>
            <w:vAlign w:val="center"/>
          </w:tcPr>
          <w:p w14:paraId="2EF312D4" w14:textId="77777777" w:rsidR="00995E2A" w:rsidRPr="00800D22" w:rsidRDefault="00995E2A" w:rsidP="000A32F1">
            <w:pPr>
              <w:widowControl/>
              <w:rPr>
                <w:kern w:val="0"/>
                <w:sz w:val="18"/>
                <w:szCs w:val="18"/>
              </w:rPr>
            </w:pPr>
            <w:r w:rsidRPr="00800D22">
              <w:rPr>
                <w:kern w:val="0"/>
                <w:sz w:val="18"/>
                <w:szCs w:val="18"/>
              </w:rPr>
              <w:t>0</w:t>
            </w:r>
          </w:p>
        </w:tc>
        <w:tc>
          <w:tcPr>
            <w:tcW w:w="382" w:type="pct"/>
            <w:tcBorders>
              <w:bottom w:val="single" w:sz="4" w:space="0" w:color="auto"/>
            </w:tcBorders>
            <w:vAlign w:val="center"/>
          </w:tcPr>
          <w:p w14:paraId="3E261573" w14:textId="77777777" w:rsidR="00995E2A" w:rsidRPr="00800D22" w:rsidRDefault="00995E2A" w:rsidP="000A32F1">
            <w:pPr>
              <w:widowControl/>
              <w:rPr>
                <w:kern w:val="0"/>
                <w:sz w:val="18"/>
                <w:szCs w:val="18"/>
              </w:rPr>
            </w:pPr>
            <w:r w:rsidRPr="00800D22">
              <w:rPr>
                <w:kern w:val="0"/>
                <w:sz w:val="18"/>
                <w:szCs w:val="18"/>
              </w:rPr>
              <w:t>0</w:t>
            </w:r>
          </w:p>
        </w:tc>
        <w:tc>
          <w:tcPr>
            <w:tcW w:w="382" w:type="pct"/>
            <w:tcBorders>
              <w:bottom w:val="single" w:sz="4" w:space="0" w:color="auto"/>
            </w:tcBorders>
            <w:vAlign w:val="center"/>
          </w:tcPr>
          <w:p w14:paraId="5611ACBA" w14:textId="77777777" w:rsidR="00995E2A" w:rsidRPr="00800D22" w:rsidRDefault="00995E2A" w:rsidP="000A32F1">
            <w:pPr>
              <w:widowControl/>
              <w:rPr>
                <w:kern w:val="0"/>
                <w:sz w:val="18"/>
                <w:szCs w:val="18"/>
              </w:rPr>
            </w:pPr>
            <w:r w:rsidRPr="00800D22">
              <w:rPr>
                <w:kern w:val="0"/>
                <w:sz w:val="18"/>
                <w:szCs w:val="18"/>
              </w:rPr>
              <w:t>0</w:t>
            </w:r>
          </w:p>
        </w:tc>
        <w:tc>
          <w:tcPr>
            <w:tcW w:w="382" w:type="pct"/>
            <w:tcBorders>
              <w:bottom w:val="single" w:sz="4" w:space="0" w:color="auto"/>
            </w:tcBorders>
            <w:vAlign w:val="center"/>
          </w:tcPr>
          <w:p w14:paraId="7F1C2E23" w14:textId="77777777" w:rsidR="00995E2A" w:rsidRPr="00800D22" w:rsidRDefault="00995E2A" w:rsidP="000A32F1">
            <w:pPr>
              <w:widowControl/>
              <w:rPr>
                <w:kern w:val="0"/>
                <w:sz w:val="18"/>
                <w:szCs w:val="18"/>
              </w:rPr>
            </w:pPr>
            <w:r w:rsidRPr="00800D22">
              <w:rPr>
                <w:kern w:val="0"/>
                <w:sz w:val="18"/>
                <w:szCs w:val="18"/>
              </w:rPr>
              <w:t>0</w:t>
            </w:r>
          </w:p>
        </w:tc>
        <w:tc>
          <w:tcPr>
            <w:tcW w:w="382" w:type="pct"/>
            <w:tcBorders>
              <w:bottom w:val="single" w:sz="4" w:space="0" w:color="auto"/>
            </w:tcBorders>
            <w:vAlign w:val="center"/>
          </w:tcPr>
          <w:p w14:paraId="7722FB5C" w14:textId="77777777" w:rsidR="00995E2A" w:rsidRPr="00800D22" w:rsidRDefault="00995E2A" w:rsidP="000A32F1">
            <w:pPr>
              <w:widowControl/>
              <w:rPr>
                <w:kern w:val="0"/>
                <w:sz w:val="18"/>
                <w:szCs w:val="18"/>
              </w:rPr>
            </w:pPr>
            <w:r w:rsidRPr="00800D22">
              <w:rPr>
                <w:kern w:val="0"/>
                <w:sz w:val="18"/>
                <w:szCs w:val="18"/>
              </w:rPr>
              <w:t>0</w:t>
            </w:r>
          </w:p>
        </w:tc>
        <w:tc>
          <w:tcPr>
            <w:tcW w:w="382" w:type="pct"/>
            <w:tcBorders>
              <w:bottom w:val="single" w:sz="4" w:space="0" w:color="auto"/>
            </w:tcBorders>
            <w:vAlign w:val="center"/>
          </w:tcPr>
          <w:p w14:paraId="1411E200" w14:textId="77777777" w:rsidR="00995E2A" w:rsidRPr="00800D22" w:rsidRDefault="00995E2A" w:rsidP="000A32F1">
            <w:pPr>
              <w:widowControl/>
              <w:rPr>
                <w:kern w:val="0"/>
                <w:sz w:val="18"/>
                <w:szCs w:val="18"/>
              </w:rPr>
            </w:pPr>
            <w:r w:rsidRPr="00800D22">
              <w:rPr>
                <w:kern w:val="0"/>
                <w:sz w:val="18"/>
                <w:szCs w:val="18"/>
              </w:rPr>
              <w:t>0</w:t>
            </w:r>
          </w:p>
        </w:tc>
        <w:tc>
          <w:tcPr>
            <w:tcW w:w="382" w:type="pct"/>
            <w:tcBorders>
              <w:bottom w:val="single" w:sz="4" w:space="0" w:color="auto"/>
            </w:tcBorders>
            <w:vAlign w:val="center"/>
          </w:tcPr>
          <w:p w14:paraId="0D17CAEE" w14:textId="77777777" w:rsidR="00995E2A" w:rsidRPr="00800D22" w:rsidRDefault="00995E2A" w:rsidP="000A32F1">
            <w:pPr>
              <w:widowControl/>
              <w:rPr>
                <w:kern w:val="0"/>
                <w:sz w:val="18"/>
                <w:szCs w:val="18"/>
              </w:rPr>
            </w:pPr>
            <w:r w:rsidRPr="00800D22">
              <w:rPr>
                <w:kern w:val="0"/>
                <w:sz w:val="18"/>
                <w:szCs w:val="18"/>
              </w:rPr>
              <w:t>0</w:t>
            </w:r>
          </w:p>
        </w:tc>
        <w:tc>
          <w:tcPr>
            <w:tcW w:w="327" w:type="pct"/>
            <w:tcBorders>
              <w:bottom w:val="single" w:sz="4" w:space="0" w:color="auto"/>
            </w:tcBorders>
            <w:vAlign w:val="center"/>
          </w:tcPr>
          <w:p w14:paraId="64D0D763" w14:textId="77777777" w:rsidR="00995E2A" w:rsidRPr="00800D22" w:rsidRDefault="00995E2A" w:rsidP="000A32F1">
            <w:pPr>
              <w:widowControl/>
              <w:rPr>
                <w:kern w:val="0"/>
                <w:sz w:val="18"/>
                <w:szCs w:val="18"/>
              </w:rPr>
            </w:pPr>
            <w:r w:rsidRPr="00800D22">
              <w:rPr>
                <w:kern w:val="0"/>
                <w:sz w:val="18"/>
                <w:szCs w:val="18"/>
              </w:rPr>
              <w:t xml:space="preserve">3.10 </w:t>
            </w:r>
          </w:p>
        </w:tc>
      </w:tr>
      <w:tr w:rsidR="00995E2A" w:rsidRPr="00800D22" w14:paraId="183D1446" w14:textId="77777777" w:rsidTr="000A32F1">
        <w:trPr>
          <w:trHeight w:val="320"/>
        </w:trPr>
        <w:tc>
          <w:tcPr>
            <w:tcW w:w="909" w:type="pct"/>
            <w:tcBorders>
              <w:top w:val="single" w:sz="4" w:space="0" w:color="auto"/>
              <w:bottom w:val="single" w:sz="4" w:space="0" w:color="auto"/>
            </w:tcBorders>
            <w:vAlign w:val="center"/>
          </w:tcPr>
          <w:p w14:paraId="5396E817" w14:textId="77777777" w:rsidR="00995E2A" w:rsidRPr="00800D22" w:rsidRDefault="00995E2A" w:rsidP="000A32F1">
            <w:pPr>
              <w:widowControl/>
              <w:rPr>
                <w:kern w:val="0"/>
                <w:szCs w:val="21"/>
              </w:rPr>
            </w:pPr>
            <w:r w:rsidRPr="00800D22">
              <w:rPr>
                <w:kern w:val="0"/>
                <w:szCs w:val="21"/>
              </w:rPr>
              <w:t>违约情景</w:t>
            </w:r>
          </w:p>
        </w:tc>
        <w:tc>
          <w:tcPr>
            <w:tcW w:w="327" w:type="pct"/>
            <w:tcBorders>
              <w:top w:val="single" w:sz="4" w:space="0" w:color="auto"/>
              <w:bottom w:val="single" w:sz="4" w:space="0" w:color="auto"/>
            </w:tcBorders>
            <w:vAlign w:val="center"/>
          </w:tcPr>
          <w:p w14:paraId="5F528AC0" w14:textId="77777777" w:rsidR="00995E2A" w:rsidRPr="00800D22" w:rsidRDefault="00995E2A" w:rsidP="000A32F1">
            <w:pPr>
              <w:widowControl/>
              <w:rPr>
                <w:kern w:val="0"/>
                <w:szCs w:val="21"/>
              </w:rPr>
            </w:pPr>
            <w:r w:rsidRPr="00800D22">
              <w:rPr>
                <w:kern w:val="0"/>
                <w:szCs w:val="21"/>
              </w:rPr>
              <w:t>11</w:t>
            </w:r>
          </w:p>
        </w:tc>
        <w:tc>
          <w:tcPr>
            <w:tcW w:w="382" w:type="pct"/>
            <w:tcBorders>
              <w:top w:val="single" w:sz="4" w:space="0" w:color="auto"/>
              <w:bottom w:val="single" w:sz="4" w:space="0" w:color="auto"/>
            </w:tcBorders>
            <w:vAlign w:val="center"/>
          </w:tcPr>
          <w:p w14:paraId="7CA1E421" w14:textId="77777777" w:rsidR="00995E2A" w:rsidRPr="00800D22" w:rsidRDefault="00995E2A" w:rsidP="000A32F1">
            <w:pPr>
              <w:widowControl/>
              <w:rPr>
                <w:kern w:val="0"/>
                <w:szCs w:val="21"/>
              </w:rPr>
            </w:pPr>
            <w:r w:rsidRPr="00800D22">
              <w:rPr>
                <w:kern w:val="0"/>
                <w:szCs w:val="21"/>
              </w:rPr>
              <w:t>12</w:t>
            </w:r>
          </w:p>
        </w:tc>
        <w:tc>
          <w:tcPr>
            <w:tcW w:w="382" w:type="pct"/>
            <w:tcBorders>
              <w:top w:val="single" w:sz="4" w:space="0" w:color="auto"/>
              <w:bottom w:val="single" w:sz="4" w:space="0" w:color="auto"/>
            </w:tcBorders>
            <w:vAlign w:val="center"/>
          </w:tcPr>
          <w:p w14:paraId="69B9B3E8" w14:textId="77777777" w:rsidR="00995E2A" w:rsidRPr="00800D22" w:rsidRDefault="00995E2A" w:rsidP="000A32F1">
            <w:pPr>
              <w:widowControl/>
              <w:rPr>
                <w:kern w:val="0"/>
                <w:szCs w:val="21"/>
              </w:rPr>
            </w:pPr>
            <w:r w:rsidRPr="00800D22">
              <w:rPr>
                <w:kern w:val="0"/>
                <w:szCs w:val="21"/>
              </w:rPr>
              <w:t>13</w:t>
            </w:r>
          </w:p>
        </w:tc>
        <w:tc>
          <w:tcPr>
            <w:tcW w:w="382" w:type="pct"/>
            <w:tcBorders>
              <w:top w:val="single" w:sz="4" w:space="0" w:color="auto"/>
              <w:bottom w:val="single" w:sz="4" w:space="0" w:color="auto"/>
            </w:tcBorders>
            <w:vAlign w:val="center"/>
          </w:tcPr>
          <w:p w14:paraId="1437B71B" w14:textId="77777777" w:rsidR="00995E2A" w:rsidRPr="00800D22" w:rsidRDefault="00995E2A" w:rsidP="000A32F1">
            <w:pPr>
              <w:widowControl/>
              <w:rPr>
                <w:kern w:val="0"/>
                <w:szCs w:val="21"/>
              </w:rPr>
            </w:pPr>
            <w:r w:rsidRPr="00800D22">
              <w:rPr>
                <w:kern w:val="0"/>
                <w:szCs w:val="21"/>
              </w:rPr>
              <w:t>14</w:t>
            </w:r>
          </w:p>
        </w:tc>
        <w:tc>
          <w:tcPr>
            <w:tcW w:w="382" w:type="pct"/>
            <w:tcBorders>
              <w:top w:val="single" w:sz="4" w:space="0" w:color="auto"/>
              <w:bottom w:val="single" w:sz="4" w:space="0" w:color="auto"/>
            </w:tcBorders>
            <w:vAlign w:val="center"/>
          </w:tcPr>
          <w:p w14:paraId="387848E5" w14:textId="77777777" w:rsidR="00995E2A" w:rsidRPr="00800D22" w:rsidRDefault="00995E2A" w:rsidP="000A32F1">
            <w:pPr>
              <w:widowControl/>
              <w:rPr>
                <w:kern w:val="0"/>
                <w:szCs w:val="21"/>
              </w:rPr>
            </w:pPr>
            <w:r w:rsidRPr="00800D22">
              <w:rPr>
                <w:kern w:val="0"/>
                <w:szCs w:val="21"/>
              </w:rPr>
              <w:t>15</w:t>
            </w:r>
          </w:p>
        </w:tc>
        <w:tc>
          <w:tcPr>
            <w:tcW w:w="382" w:type="pct"/>
            <w:tcBorders>
              <w:top w:val="single" w:sz="4" w:space="0" w:color="auto"/>
              <w:bottom w:val="single" w:sz="4" w:space="0" w:color="auto"/>
            </w:tcBorders>
            <w:vAlign w:val="center"/>
          </w:tcPr>
          <w:p w14:paraId="79915AF8" w14:textId="77777777" w:rsidR="00995E2A" w:rsidRPr="00800D22" w:rsidRDefault="00995E2A" w:rsidP="000A32F1">
            <w:pPr>
              <w:widowControl/>
              <w:rPr>
                <w:kern w:val="0"/>
                <w:szCs w:val="21"/>
              </w:rPr>
            </w:pPr>
            <w:r w:rsidRPr="00800D22">
              <w:rPr>
                <w:kern w:val="0"/>
                <w:szCs w:val="21"/>
              </w:rPr>
              <w:t>16</w:t>
            </w:r>
          </w:p>
        </w:tc>
        <w:tc>
          <w:tcPr>
            <w:tcW w:w="382" w:type="pct"/>
            <w:tcBorders>
              <w:top w:val="single" w:sz="4" w:space="0" w:color="auto"/>
              <w:bottom w:val="single" w:sz="4" w:space="0" w:color="auto"/>
            </w:tcBorders>
            <w:vAlign w:val="center"/>
          </w:tcPr>
          <w:p w14:paraId="585BDDDE" w14:textId="77777777" w:rsidR="00995E2A" w:rsidRPr="00800D22" w:rsidRDefault="00995E2A" w:rsidP="000A32F1">
            <w:pPr>
              <w:widowControl/>
              <w:rPr>
                <w:kern w:val="0"/>
                <w:szCs w:val="21"/>
              </w:rPr>
            </w:pPr>
            <w:r w:rsidRPr="00800D22">
              <w:rPr>
                <w:kern w:val="0"/>
                <w:szCs w:val="21"/>
              </w:rPr>
              <w:t>17</w:t>
            </w:r>
          </w:p>
        </w:tc>
        <w:tc>
          <w:tcPr>
            <w:tcW w:w="382" w:type="pct"/>
            <w:tcBorders>
              <w:top w:val="single" w:sz="4" w:space="0" w:color="auto"/>
              <w:bottom w:val="single" w:sz="4" w:space="0" w:color="auto"/>
            </w:tcBorders>
            <w:vAlign w:val="center"/>
          </w:tcPr>
          <w:p w14:paraId="575B7E90" w14:textId="77777777" w:rsidR="00995E2A" w:rsidRPr="00800D22" w:rsidRDefault="00995E2A" w:rsidP="000A32F1">
            <w:pPr>
              <w:widowControl/>
              <w:rPr>
                <w:kern w:val="0"/>
                <w:szCs w:val="21"/>
              </w:rPr>
            </w:pPr>
            <w:r w:rsidRPr="00800D22">
              <w:rPr>
                <w:kern w:val="0"/>
                <w:szCs w:val="21"/>
              </w:rPr>
              <w:t>18</w:t>
            </w:r>
          </w:p>
        </w:tc>
        <w:tc>
          <w:tcPr>
            <w:tcW w:w="382" w:type="pct"/>
            <w:tcBorders>
              <w:top w:val="single" w:sz="4" w:space="0" w:color="auto"/>
              <w:bottom w:val="single" w:sz="4" w:space="0" w:color="auto"/>
            </w:tcBorders>
            <w:vAlign w:val="center"/>
          </w:tcPr>
          <w:p w14:paraId="6C13503F" w14:textId="77777777" w:rsidR="00995E2A" w:rsidRPr="00800D22" w:rsidRDefault="00995E2A" w:rsidP="000A32F1">
            <w:pPr>
              <w:widowControl/>
              <w:rPr>
                <w:kern w:val="0"/>
                <w:szCs w:val="21"/>
              </w:rPr>
            </w:pPr>
            <w:r w:rsidRPr="00800D22">
              <w:rPr>
                <w:kern w:val="0"/>
                <w:szCs w:val="21"/>
              </w:rPr>
              <w:t>19</w:t>
            </w:r>
          </w:p>
        </w:tc>
        <w:tc>
          <w:tcPr>
            <w:tcW w:w="382" w:type="pct"/>
            <w:tcBorders>
              <w:top w:val="single" w:sz="4" w:space="0" w:color="auto"/>
              <w:bottom w:val="single" w:sz="4" w:space="0" w:color="auto"/>
            </w:tcBorders>
            <w:vAlign w:val="center"/>
          </w:tcPr>
          <w:p w14:paraId="3BFA7D58" w14:textId="77777777" w:rsidR="00995E2A" w:rsidRPr="00800D22" w:rsidRDefault="00995E2A" w:rsidP="000A32F1">
            <w:pPr>
              <w:widowControl/>
              <w:rPr>
                <w:kern w:val="0"/>
                <w:szCs w:val="21"/>
              </w:rPr>
            </w:pPr>
            <w:r w:rsidRPr="00800D22">
              <w:rPr>
                <w:kern w:val="0"/>
                <w:szCs w:val="21"/>
              </w:rPr>
              <w:t>20</w:t>
            </w:r>
          </w:p>
        </w:tc>
        <w:tc>
          <w:tcPr>
            <w:tcW w:w="327" w:type="pct"/>
            <w:tcBorders>
              <w:top w:val="single" w:sz="4" w:space="0" w:color="auto"/>
              <w:bottom w:val="single" w:sz="4" w:space="0" w:color="auto"/>
            </w:tcBorders>
            <w:noWrap/>
            <w:vAlign w:val="center"/>
          </w:tcPr>
          <w:p w14:paraId="13A76792" w14:textId="77777777" w:rsidR="00995E2A" w:rsidRPr="00800D22" w:rsidRDefault="00995E2A" w:rsidP="000A32F1">
            <w:pPr>
              <w:widowControl/>
              <w:rPr>
                <w:kern w:val="0"/>
                <w:szCs w:val="21"/>
              </w:rPr>
            </w:pPr>
            <w:r w:rsidRPr="00800D22">
              <w:rPr>
                <w:kern w:val="0"/>
                <w:szCs w:val="21"/>
              </w:rPr>
              <w:t>-</w:t>
            </w:r>
          </w:p>
        </w:tc>
      </w:tr>
      <w:tr w:rsidR="00995E2A" w:rsidRPr="00800D22" w14:paraId="3367AC50" w14:textId="77777777" w:rsidTr="000A32F1">
        <w:trPr>
          <w:trHeight w:val="320"/>
        </w:trPr>
        <w:tc>
          <w:tcPr>
            <w:tcW w:w="909" w:type="pct"/>
            <w:tcBorders>
              <w:top w:val="single" w:sz="4" w:space="0" w:color="auto"/>
            </w:tcBorders>
            <w:vAlign w:val="center"/>
          </w:tcPr>
          <w:p w14:paraId="7A3F78CC" w14:textId="77777777" w:rsidR="00995E2A" w:rsidRPr="00800D22" w:rsidRDefault="00995E2A" w:rsidP="000A32F1">
            <w:pPr>
              <w:widowControl/>
              <w:rPr>
                <w:kern w:val="0"/>
                <w:sz w:val="18"/>
                <w:szCs w:val="18"/>
              </w:rPr>
            </w:pPr>
            <w:r w:rsidRPr="00800D22">
              <w:rPr>
                <w:kern w:val="0"/>
                <w:sz w:val="18"/>
                <w:szCs w:val="18"/>
              </w:rPr>
              <w:t>概率（％）</w:t>
            </w:r>
          </w:p>
        </w:tc>
        <w:tc>
          <w:tcPr>
            <w:tcW w:w="327" w:type="pct"/>
            <w:tcBorders>
              <w:top w:val="single" w:sz="4" w:space="0" w:color="auto"/>
            </w:tcBorders>
            <w:vAlign w:val="center"/>
          </w:tcPr>
          <w:p w14:paraId="700A333A" w14:textId="77777777" w:rsidR="00995E2A" w:rsidRPr="00800D22" w:rsidRDefault="00995E2A" w:rsidP="000A32F1">
            <w:pPr>
              <w:widowControl/>
              <w:rPr>
                <w:kern w:val="0"/>
                <w:sz w:val="18"/>
                <w:szCs w:val="18"/>
              </w:rPr>
            </w:pPr>
            <w:r w:rsidRPr="00800D22">
              <w:rPr>
                <w:kern w:val="0"/>
                <w:sz w:val="18"/>
                <w:szCs w:val="18"/>
              </w:rPr>
              <w:t xml:space="preserve">0.30 </w:t>
            </w:r>
          </w:p>
        </w:tc>
        <w:tc>
          <w:tcPr>
            <w:tcW w:w="382" w:type="pct"/>
            <w:tcBorders>
              <w:top w:val="single" w:sz="4" w:space="0" w:color="auto"/>
            </w:tcBorders>
            <w:vAlign w:val="center"/>
          </w:tcPr>
          <w:p w14:paraId="525C217E" w14:textId="77777777" w:rsidR="00995E2A" w:rsidRPr="00800D22" w:rsidRDefault="00995E2A" w:rsidP="000A32F1">
            <w:pPr>
              <w:widowControl/>
              <w:rPr>
                <w:kern w:val="0"/>
                <w:sz w:val="18"/>
                <w:szCs w:val="18"/>
              </w:rPr>
            </w:pPr>
            <w:r w:rsidRPr="00800D22">
              <w:rPr>
                <w:kern w:val="0"/>
                <w:sz w:val="18"/>
                <w:szCs w:val="18"/>
              </w:rPr>
              <w:t xml:space="preserve">0.08 </w:t>
            </w:r>
          </w:p>
        </w:tc>
        <w:tc>
          <w:tcPr>
            <w:tcW w:w="382" w:type="pct"/>
            <w:tcBorders>
              <w:top w:val="single" w:sz="4" w:space="0" w:color="auto"/>
            </w:tcBorders>
            <w:vAlign w:val="center"/>
          </w:tcPr>
          <w:p w14:paraId="337DCE7E" w14:textId="77777777" w:rsidR="00995E2A" w:rsidRPr="00800D22" w:rsidRDefault="00995E2A" w:rsidP="000A32F1">
            <w:pPr>
              <w:widowControl/>
              <w:rPr>
                <w:kern w:val="0"/>
                <w:sz w:val="18"/>
                <w:szCs w:val="18"/>
              </w:rPr>
            </w:pPr>
            <w:r w:rsidRPr="00800D22">
              <w:rPr>
                <w:kern w:val="0"/>
                <w:sz w:val="18"/>
                <w:szCs w:val="18"/>
              </w:rPr>
              <w:t xml:space="preserve">0.02 </w:t>
            </w:r>
          </w:p>
        </w:tc>
        <w:tc>
          <w:tcPr>
            <w:tcW w:w="382" w:type="pct"/>
            <w:tcBorders>
              <w:top w:val="single" w:sz="4" w:space="0" w:color="auto"/>
            </w:tcBorders>
            <w:vAlign w:val="center"/>
          </w:tcPr>
          <w:p w14:paraId="7C678AF1" w14:textId="77777777" w:rsidR="00995E2A" w:rsidRPr="00800D22" w:rsidRDefault="00995E2A" w:rsidP="000A32F1">
            <w:pPr>
              <w:widowControl/>
              <w:rPr>
                <w:kern w:val="0"/>
                <w:sz w:val="18"/>
                <w:szCs w:val="18"/>
              </w:rPr>
            </w:pPr>
            <w:r w:rsidRPr="00800D22">
              <w:rPr>
                <w:kern w:val="0"/>
                <w:sz w:val="18"/>
                <w:szCs w:val="18"/>
              </w:rPr>
              <w:t xml:space="preserve">0.00 </w:t>
            </w:r>
          </w:p>
        </w:tc>
        <w:tc>
          <w:tcPr>
            <w:tcW w:w="382" w:type="pct"/>
            <w:tcBorders>
              <w:top w:val="single" w:sz="4" w:space="0" w:color="auto"/>
            </w:tcBorders>
            <w:vAlign w:val="center"/>
          </w:tcPr>
          <w:p w14:paraId="2B4A3138" w14:textId="77777777" w:rsidR="00995E2A" w:rsidRPr="00800D22" w:rsidRDefault="00995E2A" w:rsidP="000A32F1">
            <w:pPr>
              <w:widowControl/>
              <w:rPr>
                <w:kern w:val="0"/>
                <w:sz w:val="18"/>
                <w:szCs w:val="18"/>
              </w:rPr>
            </w:pPr>
            <w:r w:rsidRPr="00800D22">
              <w:rPr>
                <w:kern w:val="0"/>
                <w:sz w:val="18"/>
                <w:szCs w:val="18"/>
              </w:rPr>
              <w:t xml:space="preserve">0.00 </w:t>
            </w:r>
          </w:p>
        </w:tc>
        <w:tc>
          <w:tcPr>
            <w:tcW w:w="382" w:type="pct"/>
            <w:tcBorders>
              <w:top w:val="single" w:sz="4" w:space="0" w:color="auto"/>
            </w:tcBorders>
            <w:vAlign w:val="center"/>
          </w:tcPr>
          <w:p w14:paraId="584EF9F3" w14:textId="77777777" w:rsidR="00995E2A" w:rsidRPr="00800D22" w:rsidRDefault="00995E2A" w:rsidP="000A32F1">
            <w:pPr>
              <w:widowControl/>
              <w:rPr>
                <w:kern w:val="0"/>
                <w:sz w:val="18"/>
                <w:szCs w:val="18"/>
              </w:rPr>
            </w:pPr>
            <w:r w:rsidRPr="00800D22">
              <w:rPr>
                <w:kern w:val="0"/>
                <w:sz w:val="18"/>
                <w:szCs w:val="18"/>
              </w:rPr>
              <w:t>0</w:t>
            </w:r>
          </w:p>
        </w:tc>
        <w:tc>
          <w:tcPr>
            <w:tcW w:w="382" w:type="pct"/>
            <w:tcBorders>
              <w:top w:val="single" w:sz="4" w:space="0" w:color="auto"/>
            </w:tcBorders>
            <w:vAlign w:val="center"/>
          </w:tcPr>
          <w:p w14:paraId="68D7B97D" w14:textId="77777777" w:rsidR="00995E2A" w:rsidRPr="00800D22" w:rsidRDefault="00995E2A" w:rsidP="000A32F1">
            <w:pPr>
              <w:widowControl/>
              <w:rPr>
                <w:kern w:val="0"/>
                <w:sz w:val="18"/>
                <w:szCs w:val="18"/>
              </w:rPr>
            </w:pPr>
            <w:r w:rsidRPr="00800D22">
              <w:rPr>
                <w:kern w:val="0"/>
                <w:sz w:val="18"/>
                <w:szCs w:val="18"/>
              </w:rPr>
              <w:t>0</w:t>
            </w:r>
          </w:p>
        </w:tc>
        <w:tc>
          <w:tcPr>
            <w:tcW w:w="382" w:type="pct"/>
            <w:tcBorders>
              <w:top w:val="single" w:sz="4" w:space="0" w:color="auto"/>
            </w:tcBorders>
            <w:vAlign w:val="center"/>
          </w:tcPr>
          <w:p w14:paraId="36F3E4ED" w14:textId="77777777" w:rsidR="00995E2A" w:rsidRPr="00800D22" w:rsidRDefault="00995E2A" w:rsidP="000A32F1">
            <w:pPr>
              <w:widowControl/>
              <w:rPr>
                <w:kern w:val="0"/>
                <w:sz w:val="18"/>
                <w:szCs w:val="18"/>
              </w:rPr>
            </w:pPr>
            <w:r w:rsidRPr="00800D22">
              <w:rPr>
                <w:kern w:val="0"/>
                <w:sz w:val="18"/>
                <w:szCs w:val="18"/>
              </w:rPr>
              <w:t>0</w:t>
            </w:r>
          </w:p>
        </w:tc>
        <w:tc>
          <w:tcPr>
            <w:tcW w:w="382" w:type="pct"/>
            <w:tcBorders>
              <w:top w:val="single" w:sz="4" w:space="0" w:color="auto"/>
            </w:tcBorders>
            <w:vAlign w:val="center"/>
          </w:tcPr>
          <w:p w14:paraId="45A21CE2" w14:textId="77777777" w:rsidR="00995E2A" w:rsidRPr="00800D22" w:rsidRDefault="00995E2A" w:rsidP="000A32F1">
            <w:pPr>
              <w:widowControl/>
              <w:rPr>
                <w:kern w:val="0"/>
                <w:sz w:val="18"/>
                <w:szCs w:val="18"/>
              </w:rPr>
            </w:pPr>
            <w:r w:rsidRPr="00800D22">
              <w:rPr>
                <w:kern w:val="0"/>
                <w:sz w:val="18"/>
                <w:szCs w:val="18"/>
              </w:rPr>
              <w:t>0</w:t>
            </w:r>
          </w:p>
        </w:tc>
        <w:tc>
          <w:tcPr>
            <w:tcW w:w="382" w:type="pct"/>
            <w:tcBorders>
              <w:top w:val="single" w:sz="4" w:space="0" w:color="auto"/>
            </w:tcBorders>
            <w:vAlign w:val="center"/>
          </w:tcPr>
          <w:p w14:paraId="773ADA32" w14:textId="77777777" w:rsidR="00995E2A" w:rsidRPr="00800D22" w:rsidRDefault="00995E2A" w:rsidP="000A32F1">
            <w:pPr>
              <w:widowControl/>
              <w:rPr>
                <w:kern w:val="0"/>
                <w:sz w:val="18"/>
                <w:szCs w:val="18"/>
              </w:rPr>
            </w:pPr>
            <w:r w:rsidRPr="00800D22">
              <w:rPr>
                <w:kern w:val="0"/>
                <w:sz w:val="18"/>
                <w:szCs w:val="18"/>
              </w:rPr>
              <w:t>0</w:t>
            </w:r>
          </w:p>
        </w:tc>
        <w:tc>
          <w:tcPr>
            <w:tcW w:w="327" w:type="pct"/>
            <w:tcBorders>
              <w:top w:val="single" w:sz="4" w:space="0" w:color="auto"/>
            </w:tcBorders>
            <w:noWrap/>
            <w:vAlign w:val="center"/>
          </w:tcPr>
          <w:p w14:paraId="27D1B709" w14:textId="77777777" w:rsidR="00995E2A" w:rsidRPr="00800D22" w:rsidRDefault="00995E2A" w:rsidP="000A32F1">
            <w:pPr>
              <w:widowControl/>
              <w:rPr>
                <w:kern w:val="0"/>
                <w:sz w:val="18"/>
                <w:szCs w:val="18"/>
              </w:rPr>
            </w:pPr>
            <w:r w:rsidRPr="00800D22">
              <w:rPr>
                <w:kern w:val="0"/>
                <w:sz w:val="18"/>
                <w:szCs w:val="18"/>
              </w:rPr>
              <w:t>-</w:t>
            </w:r>
          </w:p>
        </w:tc>
      </w:tr>
      <w:tr w:rsidR="00995E2A" w:rsidRPr="00800D22" w14:paraId="57DA7D40" w14:textId="77777777" w:rsidTr="000A32F1">
        <w:trPr>
          <w:trHeight w:val="320"/>
        </w:trPr>
        <w:tc>
          <w:tcPr>
            <w:tcW w:w="909" w:type="pct"/>
            <w:vAlign w:val="center"/>
          </w:tcPr>
          <w:p w14:paraId="2B4A3CF3" w14:textId="77777777" w:rsidR="00995E2A" w:rsidRPr="00800D22" w:rsidRDefault="00995E2A" w:rsidP="000A32F1">
            <w:pPr>
              <w:widowControl/>
              <w:rPr>
                <w:kern w:val="0"/>
                <w:sz w:val="18"/>
                <w:szCs w:val="18"/>
              </w:rPr>
            </w:pPr>
            <w:r w:rsidRPr="00800D22">
              <w:rPr>
                <w:kern w:val="0"/>
                <w:sz w:val="18"/>
                <w:szCs w:val="18"/>
              </w:rPr>
              <w:t>损失率（％）</w:t>
            </w:r>
          </w:p>
        </w:tc>
        <w:tc>
          <w:tcPr>
            <w:tcW w:w="327" w:type="pct"/>
            <w:vAlign w:val="center"/>
          </w:tcPr>
          <w:p w14:paraId="5A10FF7B" w14:textId="77777777" w:rsidR="00995E2A" w:rsidRPr="00800D22" w:rsidRDefault="00995E2A" w:rsidP="000A32F1">
            <w:pPr>
              <w:widowControl/>
              <w:rPr>
                <w:kern w:val="0"/>
                <w:sz w:val="18"/>
                <w:szCs w:val="18"/>
              </w:rPr>
            </w:pPr>
            <w:r w:rsidRPr="00800D22">
              <w:rPr>
                <w:kern w:val="0"/>
                <w:sz w:val="18"/>
                <w:szCs w:val="18"/>
              </w:rPr>
              <w:t xml:space="preserve">7.90 </w:t>
            </w:r>
          </w:p>
        </w:tc>
        <w:tc>
          <w:tcPr>
            <w:tcW w:w="382" w:type="pct"/>
            <w:vAlign w:val="center"/>
          </w:tcPr>
          <w:p w14:paraId="5925FD48" w14:textId="77777777" w:rsidR="00995E2A" w:rsidRPr="00800D22" w:rsidRDefault="00995E2A" w:rsidP="000A32F1">
            <w:pPr>
              <w:widowControl/>
              <w:rPr>
                <w:kern w:val="0"/>
                <w:sz w:val="18"/>
                <w:szCs w:val="18"/>
              </w:rPr>
            </w:pPr>
            <w:r w:rsidRPr="00800D22">
              <w:rPr>
                <w:kern w:val="0"/>
                <w:sz w:val="18"/>
                <w:szCs w:val="18"/>
              </w:rPr>
              <w:t xml:space="preserve">12.69 </w:t>
            </w:r>
          </w:p>
        </w:tc>
        <w:tc>
          <w:tcPr>
            <w:tcW w:w="382" w:type="pct"/>
            <w:vAlign w:val="center"/>
          </w:tcPr>
          <w:p w14:paraId="217286B4" w14:textId="77777777" w:rsidR="00995E2A" w:rsidRPr="00800D22" w:rsidRDefault="00995E2A" w:rsidP="000A32F1">
            <w:pPr>
              <w:widowControl/>
              <w:rPr>
                <w:kern w:val="0"/>
                <w:sz w:val="18"/>
                <w:szCs w:val="18"/>
              </w:rPr>
            </w:pPr>
            <w:r w:rsidRPr="00800D22">
              <w:rPr>
                <w:kern w:val="0"/>
                <w:sz w:val="18"/>
                <w:szCs w:val="18"/>
              </w:rPr>
              <w:t xml:space="preserve">17.48 </w:t>
            </w:r>
          </w:p>
        </w:tc>
        <w:tc>
          <w:tcPr>
            <w:tcW w:w="382" w:type="pct"/>
            <w:vAlign w:val="center"/>
          </w:tcPr>
          <w:p w14:paraId="41A66F2C" w14:textId="77777777" w:rsidR="00995E2A" w:rsidRPr="00800D22" w:rsidRDefault="00995E2A" w:rsidP="000A32F1">
            <w:pPr>
              <w:widowControl/>
              <w:rPr>
                <w:kern w:val="0"/>
                <w:sz w:val="18"/>
                <w:szCs w:val="18"/>
              </w:rPr>
            </w:pPr>
            <w:r w:rsidRPr="00800D22">
              <w:rPr>
                <w:kern w:val="0"/>
                <w:sz w:val="18"/>
                <w:szCs w:val="18"/>
              </w:rPr>
              <w:t xml:space="preserve">22.28 </w:t>
            </w:r>
          </w:p>
        </w:tc>
        <w:tc>
          <w:tcPr>
            <w:tcW w:w="382" w:type="pct"/>
            <w:vAlign w:val="center"/>
          </w:tcPr>
          <w:p w14:paraId="2903C546" w14:textId="77777777" w:rsidR="00995E2A" w:rsidRPr="00800D22" w:rsidRDefault="00995E2A" w:rsidP="000A32F1">
            <w:pPr>
              <w:widowControl/>
              <w:rPr>
                <w:kern w:val="0"/>
                <w:sz w:val="18"/>
                <w:szCs w:val="18"/>
              </w:rPr>
            </w:pPr>
            <w:r w:rsidRPr="00800D22">
              <w:rPr>
                <w:kern w:val="0"/>
                <w:sz w:val="18"/>
                <w:szCs w:val="18"/>
              </w:rPr>
              <w:t xml:space="preserve">27.07 </w:t>
            </w:r>
          </w:p>
        </w:tc>
        <w:tc>
          <w:tcPr>
            <w:tcW w:w="382" w:type="pct"/>
            <w:vAlign w:val="center"/>
          </w:tcPr>
          <w:p w14:paraId="10B3E38D" w14:textId="77777777" w:rsidR="00995E2A" w:rsidRPr="00800D22" w:rsidRDefault="00995E2A" w:rsidP="000A32F1">
            <w:pPr>
              <w:widowControl/>
              <w:rPr>
                <w:kern w:val="0"/>
                <w:sz w:val="18"/>
                <w:szCs w:val="18"/>
              </w:rPr>
            </w:pPr>
            <w:r w:rsidRPr="00800D22">
              <w:rPr>
                <w:kern w:val="0"/>
                <w:sz w:val="18"/>
                <w:szCs w:val="18"/>
              </w:rPr>
              <w:t xml:space="preserve">31.56 </w:t>
            </w:r>
          </w:p>
        </w:tc>
        <w:tc>
          <w:tcPr>
            <w:tcW w:w="382" w:type="pct"/>
            <w:vAlign w:val="center"/>
          </w:tcPr>
          <w:p w14:paraId="602D58E2" w14:textId="77777777" w:rsidR="00995E2A" w:rsidRPr="00800D22" w:rsidRDefault="00995E2A" w:rsidP="000A32F1">
            <w:pPr>
              <w:widowControl/>
              <w:rPr>
                <w:kern w:val="0"/>
                <w:sz w:val="18"/>
                <w:szCs w:val="18"/>
              </w:rPr>
            </w:pPr>
            <w:r w:rsidRPr="00800D22">
              <w:rPr>
                <w:kern w:val="0"/>
                <w:sz w:val="18"/>
                <w:szCs w:val="18"/>
              </w:rPr>
              <w:t xml:space="preserve">34.78 </w:t>
            </w:r>
          </w:p>
        </w:tc>
        <w:tc>
          <w:tcPr>
            <w:tcW w:w="382" w:type="pct"/>
            <w:vAlign w:val="center"/>
          </w:tcPr>
          <w:p w14:paraId="46B7CCF0" w14:textId="77777777" w:rsidR="00995E2A" w:rsidRPr="00800D22" w:rsidRDefault="00995E2A" w:rsidP="000A32F1">
            <w:pPr>
              <w:widowControl/>
              <w:rPr>
                <w:kern w:val="0"/>
                <w:sz w:val="18"/>
                <w:szCs w:val="18"/>
              </w:rPr>
            </w:pPr>
            <w:r w:rsidRPr="00800D22">
              <w:rPr>
                <w:kern w:val="0"/>
                <w:sz w:val="18"/>
                <w:szCs w:val="18"/>
              </w:rPr>
              <w:t xml:space="preserve">38.05 </w:t>
            </w:r>
          </w:p>
        </w:tc>
        <w:tc>
          <w:tcPr>
            <w:tcW w:w="382" w:type="pct"/>
            <w:vAlign w:val="center"/>
          </w:tcPr>
          <w:p w14:paraId="143DF02D" w14:textId="77777777" w:rsidR="00995E2A" w:rsidRPr="00800D22" w:rsidRDefault="00995E2A" w:rsidP="000A32F1">
            <w:pPr>
              <w:widowControl/>
              <w:rPr>
                <w:kern w:val="0"/>
                <w:sz w:val="18"/>
                <w:szCs w:val="18"/>
              </w:rPr>
            </w:pPr>
            <w:r w:rsidRPr="00800D22">
              <w:rPr>
                <w:kern w:val="0"/>
                <w:sz w:val="18"/>
                <w:szCs w:val="18"/>
              </w:rPr>
              <w:t xml:space="preserve">41.61 </w:t>
            </w:r>
          </w:p>
        </w:tc>
        <w:tc>
          <w:tcPr>
            <w:tcW w:w="382" w:type="pct"/>
            <w:vAlign w:val="center"/>
          </w:tcPr>
          <w:p w14:paraId="2733B1C9" w14:textId="77777777" w:rsidR="00995E2A" w:rsidRPr="00800D22" w:rsidRDefault="00995E2A" w:rsidP="000A32F1">
            <w:pPr>
              <w:widowControl/>
              <w:rPr>
                <w:kern w:val="0"/>
                <w:sz w:val="18"/>
                <w:szCs w:val="18"/>
              </w:rPr>
            </w:pPr>
            <w:r w:rsidRPr="00800D22">
              <w:rPr>
                <w:kern w:val="0"/>
                <w:sz w:val="18"/>
                <w:szCs w:val="18"/>
              </w:rPr>
              <w:t xml:space="preserve">45.16 </w:t>
            </w:r>
          </w:p>
        </w:tc>
        <w:tc>
          <w:tcPr>
            <w:tcW w:w="327" w:type="pct"/>
            <w:noWrap/>
            <w:vAlign w:val="center"/>
          </w:tcPr>
          <w:p w14:paraId="053831C8" w14:textId="77777777" w:rsidR="00995E2A" w:rsidRPr="00800D22" w:rsidRDefault="00995E2A" w:rsidP="000A32F1">
            <w:pPr>
              <w:widowControl/>
              <w:rPr>
                <w:kern w:val="0"/>
                <w:sz w:val="18"/>
                <w:szCs w:val="18"/>
              </w:rPr>
            </w:pPr>
            <w:r w:rsidRPr="00800D22">
              <w:rPr>
                <w:kern w:val="0"/>
                <w:sz w:val="18"/>
                <w:szCs w:val="18"/>
              </w:rPr>
              <w:t>-</w:t>
            </w:r>
          </w:p>
        </w:tc>
      </w:tr>
    </w:tbl>
    <w:p w14:paraId="7403F7E8" w14:textId="77777777" w:rsidR="00995E2A" w:rsidRPr="00800D22" w:rsidRDefault="00995E2A" w:rsidP="00995E2A">
      <w:pPr>
        <w:rPr>
          <w:sz w:val="18"/>
          <w:szCs w:val="18"/>
        </w:rPr>
      </w:pPr>
      <w:r w:rsidRPr="00800D22">
        <w:rPr>
          <w:sz w:val="18"/>
          <w:szCs w:val="18"/>
        </w:rPr>
        <w:t>注：违约情景通过违约企业的数量设定，违约情景发生概率以二项分布</w:t>
      </w:r>
      <w:r w:rsidRPr="00800D22">
        <w:rPr>
          <w:sz w:val="18"/>
          <w:szCs w:val="18"/>
        </w:rPr>
        <w:t>B</w:t>
      </w:r>
      <w:r w:rsidRPr="00800D22">
        <w:rPr>
          <w:sz w:val="18"/>
          <w:szCs w:val="18"/>
        </w:rPr>
        <w:t>（</w:t>
      </w:r>
      <w:r w:rsidRPr="00800D22">
        <w:rPr>
          <w:sz w:val="18"/>
          <w:szCs w:val="18"/>
        </w:rPr>
        <w:t>20</w:t>
      </w:r>
      <w:r w:rsidRPr="00800D22">
        <w:rPr>
          <w:sz w:val="18"/>
          <w:szCs w:val="18"/>
        </w:rPr>
        <w:t>，</w:t>
      </w:r>
      <w:r w:rsidRPr="00800D22">
        <w:rPr>
          <w:sz w:val="18"/>
          <w:szCs w:val="18"/>
        </w:rPr>
        <w:t>25%</w:t>
      </w:r>
      <w:r w:rsidRPr="00800D22">
        <w:rPr>
          <w:sz w:val="18"/>
          <w:szCs w:val="18"/>
        </w:rPr>
        <w:t>）计算，当发生</w:t>
      </w:r>
      <w:r w:rsidRPr="00800D22">
        <w:rPr>
          <w:sz w:val="18"/>
          <w:szCs w:val="18"/>
        </w:rPr>
        <w:t>14</w:t>
      </w:r>
      <w:r w:rsidRPr="00800D22">
        <w:rPr>
          <w:sz w:val="18"/>
          <w:szCs w:val="18"/>
        </w:rPr>
        <w:t>次或更多次违约，由于其概率极低，在此以</w:t>
      </w:r>
      <w:r w:rsidRPr="00800D22">
        <w:rPr>
          <w:sz w:val="18"/>
          <w:szCs w:val="18"/>
        </w:rPr>
        <w:t>0</w:t>
      </w:r>
      <w:r w:rsidRPr="00800D22">
        <w:rPr>
          <w:sz w:val="18"/>
          <w:szCs w:val="18"/>
        </w:rPr>
        <w:t>近似。</w:t>
      </w:r>
    </w:p>
    <w:p w14:paraId="574A828E" w14:textId="77777777" w:rsidR="00995E2A" w:rsidRPr="00800D22" w:rsidRDefault="00995E2A" w:rsidP="00995E2A">
      <w:pPr>
        <w:spacing w:beforeLines="50" w:before="156" w:line="440" w:lineRule="exact"/>
        <w:ind w:firstLineChars="200" w:firstLine="480"/>
        <w:rPr>
          <w:sz w:val="24"/>
        </w:rPr>
      </w:pPr>
      <w:r w:rsidRPr="00800D22">
        <w:rPr>
          <w:sz w:val="24"/>
        </w:rPr>
        <w:t>根据上述结果及</w:t>
      </w:r>
      <w:r w:rsidRPr="00800D22">
        <w:rPr>
          <w:rFonts w:hint="eastAsia"/>
          <w:sz w:val="24"/>
        </w:rPr>
        <w:t>公</w:t>
      </w:r>
      <w:r w:rsidRPr="00800D22">
        <w:rPr>
          <w:sz w:val="24"/>
        </w:rPr>
        <w:t>式</w:t>
      </w:r>
      <w:r w:rsidRPr="00800D22">
        <w:rPr>
          <w:rFonts w:hint="eastAsia"/>
          <w:sz w:val="24"/>
        </w:rPr>
        <w:t>（</w:t>
      </w:r>
      <w:r w:rsidRPr="00800D22">
        <w:rPr>
          <w:rFonts w:hint="eastAsia"/>
          <w:sz w:val="24"/>
        </w:rPr>
        <w:t>10</w:t>
      </w:r>
      <w:r w:rsidRPr="00800D22">
        <w:rPr>
          <w:sz w:val="24"/>
        </w:rPr>
        <w:t>.3</w:t>
      </w:r>
      <w:r w:rsidRPr="00800D22">
        <w:rPr>
          <w:rFonts w:hint="eastAsia"/>
          <w:sz w:val="24"/>
        </w:rPr>
        <w:t>）</w:t>
      </w:r>
      <w:r w:rsidRPr="00800D22">
        <w:rPr>
          <w:sz w:val="24"/>
        </w:rPr>
        <w:t>，该</w:t>
      </w:r>
      <w:r w:rsidRPr="00800D22">
        <w:rPr>
          <w:sz w:val="24"/>
        </w:rPr>
        <w:t>P-CBO</w:t>
      </w:r>
      <w:r w:rsidRPr="00800D22">
        <w:rPr>
          <w:sz w:val="24"/>
        </w:rPr>
        <w:t>优先层的期望损失率就为：</w:t>
      </w:r>
    </w:p>
    <w:p w14:paraId="607F646A" w14:textId="77777777" w:rsidR="00995E2A" w:rsidRPr="00800D22" w:rsidRDefault="00995E2A" w:rsidP="00995E2A">
      <w:pPr>
        <w:spacing w:line="360" w:lineRule="auto"/>
        <w:jc w:val="center"/>
        <w:rPr>
          <w:szCs w:val="21"/>
        </w:rPr>
      </w:pPr>
      <w:r w:rsidRPr="00800D22">
        <w:rPr>
          <w:position w:val="-30"/>
          <w:sz w:val="24"/>
        </w:rPr>
        <w:object w:dxaOrig="1520" w:dyaOrig="700" w14:anchorId="57EF6A01">
          <v:shape id="_x0000_i1045" type="#_x0000_t75" style="width:75.75pt;height:34.6pt" o:ole="">
            <v:imagedata r:id="rId39" o:title=""/>
          </v:shape>
          <o:OLEObject Type="Embed" ProgID="Equation.3" ShapeID="_x0000_i1045" DrawAspect="Content" ObjectID="_1822572203" r:id="rId40"/>
        </w:object>
      </w:r>
      <w:r w:rsidRPr="00800D22">
        <w:rPr>
          <w:sz w:val="24"/>
        </w:rPr>
        <w:t>＝</w:t>
      </w:r>
      <w:r w:rsidRPr="00800D22">
        <w:rPr>
          <w:sz w:val="24"/>
        </w:rPr>
        <w:t>0.0067</w:t>
      </w:r>
      <w:r w:rsidRPr="00800D22">
        <w:rPr>
          <w:sz w:val="24"/>
        </w:rPr>
        <w:t>％</w:t>
      </w:r>
    </w:p>
    <w:p w14:paraId="123C26C1" w14:textId="77777777" w:rsidR="00995E2A" w:rsidRPr="00800D22" w:rsidRDefault="00995E2A" w:rsidP="00995E2A">
      <w:pPr>
        <w:spacing w:line="440" w:lineRule="exact"/>
        <w:ind w:firstLine="465"/>
        <w:rPr>
          <w:sz w:val="24"/>
        </w:rPr>
      </w:pPr>
      <w:r w:rsidRPr="00800D22">
        <w:rPr>
          <w:sz w:val="24"/>
        </w:rPr>
        <w:t>假设上例中</w:t>
      </w:r>
      <w:r w:rsidRPr="00800D22">
        <w:rPr>
          <w:sz w:val="24"/>
        </w:rPr>
        <w:t>P-CBO</w:t>
      </w:r>
      <w:proofErr w:type="gramStart"/>
      <w:r w:rsidRPr="00800D22">
        <w:rPr>
          <w:sz w:val="24"/>
        </w:rPr>
        <w:t>不</w:t>
      </w:r>
      <w:proofErr w:type="gramEnd"/>
      <w:r w:rsidRPr="00800D22">
        <w:rPr>
          <w:sz w:val="24"/>
        </w:rPr>
        <w:t>分层，</w:t>
      </w:r>
      <w:r w:rsidRPr="00800D22">
        <w:rPr>
          <w:sz w:val="24"/>
        </w:rPr>
        <w:t>P-CBO</w:t>
      </w:r>
      <w:r w:rsidRPr="00800D22">
        <w:rPr>
          <w:sz w:val="24"/>
        </w:rPr>
        <w:t>的利率为</w:t>
      </w:r>
      <w:r w:rsidRPr="00800D22">
        <w:rPr>
          <w:sz w:val="24"/>
        </w:rPr>
        <w:t>12%</w:t>
      </w:r>
      <w:r w:rsidRPr="00800D22">
        <w:rPr>
          <w:sz w:val="24"/>
        </w:rPr>
        <w:t>，按照上述同样方法，可以计算出该情形下，</w:t>
      </w:r>
      <w:r w:rsidRPr="00800D22">
        <w:rPr>
          <w:sz w:val="24"/>
        </w:rPr>
        <w:t>P-CBO</w:t>
      </w:r>
      <w:r w:rsidRPr="00800D22">
        <w:rPr>
          <w:sz w:val="24"/>
        </w:rPr>
        <w:t>的期望违约率为：</w:t>
      </w:r>
    </w:p>
    <w:p w14:paraId="28A77156" w14:textId="77777777" w:rsidR="00995E2A" w:rsidRPr="00800D22" w:rsidRDefault="00995E2A" w:rsidP="00995E2A">
      <w:pPr>
        <w:autoSpaceDE w:val="0"/>
        <w:autoSpaceDN w:val="0"/>
        <w:adjustRightInd w:val="0"/>
        <w:spacing w:line="360" w:lineRule="auto"/>
        <w:ind w:firstLineChars="200" w:firstLine="480"/>
        <w:jc w:val="center"/>
        <w:rPr>
          <w:sz w:val="24"/>
        </w:rPr>
      </w:pPr>
      <w:r w:rsidRPr="00800D22">
        <w:rPr>
          <w:position w:val="-30"/>
          <w:sz w:val="24"/>
        </w:rPr>
        <w:object w:dxaOrig="2480" w:dyaOrig="700" w14:anchorId="16C2995C">
          <v:shape id="_x0000_i1046" type="#_x0000_t75" style="width:124.35pt;height:34.6pt" o:ole="">
            <v:imagedata r:id="rId41" o:title=""/>
          </v:shape>
          <o:OLEObject Type="Embed" ProgID="Equation.3" ShapeID="_x0000_i1046" DrawAspect="Content" ObjectID="_1822572204" r:id="rId42"/>
        </w:object>
      </w:r>
    </w:p>
    <w:p w14:paraId="3AB3C510" w14:textId="77777777" w:rsidR="00995E2A" w:rsidRPr="00800D22" w:rsidRDefault="00995E2A" w:rsidP="00995E2A">
      <w:pPr>
        <w:spacing w:line="440" w:lineRule="exact"/>
        <w:ind w:firstLine="465"/>
        <w:rPr>
          <w:sz w:val="24"/>
        </w:rPr>
      </w:pPr>
      <w:r w:rsidRPr="00800D22">
        <w:rPr>
          <w:sz w:val="24"/>
        </w:rPr>
        <w:t>通过上面的计算结果可以发现，通过分层设计，</w:t>
      </w:r>
      <w:r w:rsidRPr="00800D22">
        <w:rPr>
          <w:sz w:val="24"/>
        </w:rPr>
        <w:t>P-CBO</w:t>
      </w:r>
      <w:r w:rsidRPr="00800D22">
        <w:rPr>
          <w:sz w:val="24"/>
        </w:rPr>
        <w:t>优先层债券的期望损失率仅为</w:t>
      </w:r>
      <w:r w:rsidRPr="00800D22">
        <w:rPr>
          <w:sz w:val="24"/>
        </w:rPr>
        <w:t>0.0067</w:t>
      </w:r>
      <w:r w:rsidRPr="00800D22">
        <w:rPr>
          <w:sz w:val="24"/>
        </w:rPr>
        <w:t>％，而</w:t>
      </w:r>
      <w:proofErr w:type="gramStart"/>
      <w:r w:rsidRPr="00800D22">
        <w:rPr>
          <w:sz w:val="24"/>
        </w:rPr>
        <w:t>不</w:t>
      </w:r>
      <w:proofErr w:type="gramEnd"/>
      <w:r w:rsidRPr="00800D22">
        <w:rPr>
          <w:sz w:val="24"/>
        </w:rPr>
        <w:t>分层，则投资者承受的期望损失率高达</w:t>
      </w:r>
      <w:r w:rsidRPr="00800D22">
        <w:rPr>
          <w:sz w:val="24"/>
        </w:rPr>
        <w:t>14.38%</w:t>
      </w:r>
      <w:r w:rsidRPr="00800D22">
        <w:rPr>
          <w:sz w:val="24"/>
        </w:rPr>
        <w:t>，因此，</w:t>
      </w:r>
      <w:r w:rsidRPr="00800D22">
        <w:rPr>
          <w:sz w:val="24"/>
        </w:rPr>
        <w:t>P-CBO</w:t>
      </w:r>
      <w:r w:rsidRPr="00800D22">
        <w:rPr>
          <w:sz w:val="24"/>
        </w:rPr>
        <w:t>的分层设计大大降低了优先层债券投资者的信用风险。也正因如此，优先层债券也获得了非常高的信用等级，以</w:t>
      </w:r>
      <w:r w:rsidRPr="00800D22">
        <w:rPr>
          <w:sz w:val="24"/>
        </w:rPr>
        <w:t>SBC</w:t>
      </w:r>
      <w:r w:rsidRPr="00800D22">
        <w:rPr>
          <w:sz w:val="24"/>
        </w:rPr>
        <w:t>首次发行的</w:t>
      </w:r>
      <w:r w:rsidRPr="00800D22">
        <w:rPr>
          <w:sz w:val="24"/>
        </w:rPr>
        <w:t>P-CBO</w:t>
      </w:r>
      <w:r w:rsidRPr="00800D22">
        <w:rPr>
          <w:sz w:val="24"/>
        </w:rPr>
        <w:t>为例，参与该</w:t>
      </w:r>
      <w:r w:rsidRPr="00800D22">
        <w:rPr>
          <w:sz w:val="24"/>
        </w:rPr>
        <w:t>P-CBO</w:t>
      </w:r>
      <w:r w:rsidRPr="00800D22">
        <w:rPr>
          <w:sz w:val="24"/>
        </w:rPr>
        <w:t>的</w:t>
      </w:r>
      <w:r w:rsidRPr="00800D22">
        <w:rPr>
          <w:sz w:val="24"/>
        </w:rPr>
        <w:t>23</w:t>
      </w:r>
      <w:r w:rsidRPr="00800D22">
        <w:rPr>
          <w:sz w:val="24"/>
        </w:rPr>
        <w:t>家企业</w:t>
      </w:r>
      <w:r w:rsidRPr="00800D22">
        <w:rPr>
          <w:rFonts w:hint="eastAsia"/>
          <w:sz w:val="24"/>
        </w:rPr>
        <w:t>平均</w:t>
      </w:r>
      <w:r w:rsidRPr="00800D22">
        <w:rPr>
          <w:sz w:val="24"/>
        </w:rPr>
        <w:t>信用等级仅为</w:t>
      </w:r>
      <w:r w:rsidRPr="00800D22">
        <w:rPr>
          <w:sz w:val="24"/>
        </w:rPr>
        <w:t>BB</w:t>
      </w:r>
      <w:r w:rsidRPr="00800D22">
        <w:rPr>
          <w:sz w:val="24"/>
        </w:rPr>
        <w:t>，而优先层债券的信用等级则达到了</w:t>
      </w:r>
      <w:r w:rsidRPr="00800D22">
        <w:rPr>
          <w:sz w:val="24"/>
        </w:rPr>
        <w:t>AAA</w:t>
      </w:r>
      <w:r w:rsidRPr="00800D22">
        <w:rPr>
          <w:sz w:val="24"/>
        </w:rPr>
        <w:t>，</w:t>
      </w:r>
      <w:r w:rsidRPr="00800D22">
        <w:rPr>
          <w:sz w:val="24"/>
        </w:rPr>
        <w:t>P-CBO</w:t>
      </w:r>
      <w:r w:rsidRPr="00800D22">
        <w:rPr>
          <w:sz w:val="24"/>
        </w:rPr>
        <w:t>分层结构增</w:t>
      </w:r>
      <w:proofErr w:type="gramStart"/>
      <w:r w:rsidRPr="00800D22">
        <w:rPr>
          <w:rFonts w:hint="eastAsia"/>
          <w:sz w:val="24"/>
        </w:rPr>
        <w:t>信</w:t>
      </w:r>
      <w:r w:rsidRPr="00800D22">
        <w:rPr>
          <w:sz w:val="24"/>
        </w:rPr>
        <w:t>效果</w:t>
      </w:r>
      <w:proofErr w:type="gramEnd"/>
      <w:r w:rsidRPr="00800D22">
        <w:rPr>
          <w:sz w:val="24"/>
        </w:rPr>
        <w:t>非常明显。</w:t>
      </w:r>
    </w:p>
    <w:p w14:paraId="1D9BC1F8" w14:textId="77777777" w:rsidR="00995E2A" w:rsidRPr="00800D22" w:rsidRDefault="00995E2A" w:rsidP="00995E2A">
      <w:pPr>
        <w:pStyle w:val="3"/>
        <w:adjustRightInd w:val="0"/>
        <w:spacing w:beforeLines="50" w:before="156" w:afterLines="50" w:after="156" w:line="440" w:lineRule="exact"/>
        <w:jc w:val="left"/>
        <w:rPr>
          <w:rFonts w:ascii="黑体" w:eastAsia="黑体"/>
          <w:b/>
          <w:sz w:val="28"/>
          <w:szCs w:val="28"/>
        </w:rPr>
      </w:pPr>
      <w:bookmarkStart w:id="18" w:name="_Toc215459484"/>
      <w:bookmarkStart w:id="19" w:name="_Toc238701527"/>
      <w:bookmarkStart w:id="20" w:name="_Toc239689293"/>
      <w:bookmarkStart w:id="21" w:name="_Toc256506335"/>
      <w:smartTag w:uri="urn:schemas-microsoft-com:office:smarttags" w:element="chsdate">
        <w:smartTagPr>
          <w:attr w:name="IsROCDate" w:val="False"/>
          <w:attr w:name="IsLunarDate" w:val="False"/>
          <w:attr w:name="Day" w:val="30"/>
          <w:attr w:name="Month" w:val="12"/>
          <w:attr w:name="Year" w:val="1899"/>
        </w:smartTagPr>
        <w:r w:rsidRPr="00800D22">
          <w:rPr>
            <w:rFonts w:ascii="黑体" w:eastAsia="黑体" w:hint="eastAsia"/>
            <w:b/>
            <w:sz w:val="28"/>
            <w:szCs w:val="28"/>
          </w:rPr>
          <w:t>10</w:t>
        </w:r>
        <w:r w:rsidRPr="00800D22">
          <w:rPr>
            <w:rFonts w:ascii="黑体" w:eastAsia="黑体"/>
            <w:b/>
            <w:sz w:val="28"/>
            <w:szCs w:val="28"/>
          </w:rPr>
          <w:t>.2.4 P</w:t>
        </w:r>
      </w:smartTag>
      <w:r w:rsidRPr="00800D22">
        <w:rPr>
          <w:rFonts w:ascii="黑体" w:eastAsia="黑体"/>
          <w:b/>
          <w:sz w:val="28"/>
          <w:szCs w:val="28"/>
        </w:rPr>
        <w:t>-CBO</w:t>
      </w:r>
      <w:r w:rsidRPr="00800D22">
        <w:rPr>
          <w:rFonts w:ascii="黑体" w:eastAsia="黑体" w:hint="eastAsia"/>
          <w:b/>
          <w:sz w:val="28"/>
          <w:szCs w:val="28"/>
        </w:rPr>
        <w:t>增信</w:t>
      </w:r>
      <w:r w:rsidRPr="00800D22">
        <w:rPr>
          <w:rFonts w:ascii="黑体" w:eastAsia="黑体"/>
          <w:b/>
          <w:sz w:val="28"/>
          <w:szCs w:val="28"/>
        </w:rPr>
        <w:t>的创新历程</w:t>
      </w:r>
      <w:bookmarkEnd w:id="18"/>
      <w:bookmarkEnd w:id="19"/>
      <w:bookmarkEnd w:id="20"/>
      <w:bookmarkEnd w:id="21"/>
    </w:p>
    <w:p w14:paraId="7B6D01AF" w14:textId="4CC0FCDF" w:rsidR="00995E2A" w:rsidRPr="00800D22" w:rsidRDefault="00995E2A" w:rsidP="00995E2A">
      <w:pPr>
        <w:spacing w:line="440" w:lineRule="exact"/>
        <w:ind w:firstLine="465"/>
        <w:rPr>
          <w:sz w:val="24"/>
        </w:rPr>
      </w:pPr>
      <w:r w:rsidRPr="00800D22">
        <w:rPr>
          <w:sz w:val="24"/>
        </w:rPr>
        <w:t>首次成功发行后，</w:t>
      </w:r>
      <w:r w:rsidRPr="00800D22">
        <w:rPr>
          <w:sz w:val="24"/>
        </w:rPr>
        <w:t>SBC</w:t>
      </w:r>
      <w:r w:rsidRPr="00800D22">
        <w:rPr>
          <w:sz w:val="24"/>
        </w:rPr>
        <w:t>随后又成功发行了</w:t>
      </w:r>
      <w:r w:rsidRPr="00800D22">
        <w:rPr>
          <w:rFonts w:hint="eastAsia"/>
          <w:sz w:val="24"/>
        </w:rPr>
        <w:t>11</w:t>
      </w:r>
      <w:r w:rsidRPr="00800D22">
        <w:rPr>
          <w:rFonts w:hint="eastAsia"/>
          <w:sz w:val="24"/>
        </w:rPr>
        <w:t>期</w:t>
      </w:r>
      <w:r w:rsidRPr="00800D22">
        <w:rPr>
          <w:sz w:val="24"/>
        </w:rPr>
        <w:t>P-CBO</w:t>
      </w:r>
      <w:r w:rsidRPr="00800D22">
        <w:rPr>
          <w:sz w:val="24"/>
        </w:rPr>
        <w:t>（如表</w:t>
      </w:r>
      <w:r>
        <w:rPr>
          <w:rFonts w:hint="eastAsia"/>
          <w:sz w:val="24"/>
        </w:rPr>
        <w:t>4</w:t>
      </w:r>
      <w:r w:rsidRPr="00800D22">
        <w:rPr>
          <w:sz w:val="24"/>
        </w:rPr>
        <w:t>所示），共为</w:t>
      </w:r>
      <w:r w:rsidRPr="00800D22">
        <w:rPr>
          <w:sz w:val="24"/>
        </w:rPr>
        <w:t>598</w:t>
      </w:r>
      <w:r w:rsidRPr="00800D22">
        <w:rPr>
          <w:sz w:val="24"/>
        </w:rPr>
        <w:t>家次的中小企业融资</w:t>
      </w:r>
      <w:r w:rsidRPr="00800D22">
        <w:rPr>
          <w:sz w:val="24"/>
        </w:rPr>
        <w:t>18,347</w:t>
      </w:r>
      <w:r w:rsidRPr="00800D22">
        <w:rPr>
          <w:sz w:val="24"/>
        </w:rPr>
        <w:t>亿韩元，平均每家次融资规模达到</w:t>
      </w:r>
      <w:r w:rsidRPr="00800D22">
        <w:rPr>
          <w:sz w:val="24"/>
        </w:rPr>
        <w:t>30</w:t>
      </w:r>
      <w:r w:rsidRPr="00800D22">
        <w:rPr>
          <w:sz w:val="24"/>
        </w:rPr>
        <w:t>亿韩元。每</w:t>
      </w:r>
      <w:r w:rsidRPr="00800D22">
        <w:rPr>
          <w:rFonts w:hint="eastAsia"/>
          <w:sz w:val="24"/>
        </w:rPr>
        <w:t>期</w:t>
      </w:r>
      <w:r w:rsidRPr="00800D22">
        <w:rPr>
          <w:sz w:val="24"/>
        </w:rPr>
        <w:t>P-CBO</w:t>
      </w:r>
      <w:r w:rsidRPr="00800D22">
        <w:rPr>
          <w:sz w:val="24"/>
        </w:rPr>
        <w:t>都有众多的中小企业参与，尤其是在</w:t>
      </w:r>
      <w:r w:rsidRPr="00800D22">
        <w:rPr>
          <w:sz w:val="24"/>
        </w:rPr>
        <w:t>2002</w:t>
      </w:r>
      <w:r w:rsidRPr="00800D22">
        <w:rPr>
          <w:sz w:val="24"/>
        </w:rPr>
        <w:t>年</w:t>
      </w:r>
      <w:r w:rsidRPr="00800D22">
        <w:rPr>
          <w:sz w:val="24"/>
        </w:rPr>
        <w:t>11</w:t>
      </w:r>
      <w:r w:rsidRPr="00800D22">
        <w:rPr>
          <w:sz w:val="24"/>
        </w:rPr>
        <w:t>月发行的第</w:t>
      </w:r>
      <w:r w:rsidRPr="00800D22">
        <w:rPr>
          <w:rFonts w:hint="eastAsia"/>
          <w:sz w:val="24"/>
        </w:rPr>
        <w:t>5</w:t>
      </w:r>
      <w:r w:rsidRPr="00800D22">
        <w:rPr>
          <w:rFonts w:hint="eastAsia"/>
          <w:sz w:val="24"/>
        </w:rPr>
        <w:t>期</w:t>
      </w:r>
      <w:r w:rsidRPr="00800D22">
        <w:rPr>
          <w:sz w:val="24"/>
        </w:rPr>
        <w:t>P-CBO</w:t>
      </w:r>
      <w:r w:rsidRPr="00800D22">
        <w:rPr>
          <w:sz w:val="24"/>
        </w:rPr>
        <w:t>中，参与的中小企业数量达到了</w:t>
      </w:r>
      <w:r w:rsidRPr="00800D22">
        <w:rPr>
          <w:sz w:val="24"/>
        </w:rPr>
        <w:t>131</w:t>
      </w:r>
      <w:r w:rsidRPr="00800D22">
        <w:rPr>
          <w:sz w:val="24"/>
        </w:rPr>
        <w:t>家。从表中还可以看到，这些参与的中小企业信用质量均不高，平均信用等级位于</w:t>
      </w:r>
      <w:r w:rsidRPr="00800D22">
        <w:rPr>
          <w:sz w:val="24"/>
        </w:rPr>
        <w:t>B~BB</w:t>
      </w:r>
      <w:r w:rsidRPr="00800D22">
        <w:rPr>
          <w:sz w:val="24"/>
        </w:rPr>
        <w:t>之间，在首次发行的</w:t>
      </w:r>
      <w:r w:rsidRPr="00800D22">
        <w:rPr>
          <w:sz w:val="24"/>
        </w:rPr>
        <w:t>P-CBO</w:t>
      </w:r>
      <w:r w:rsidRPr="00800D22">
        <w:rPr>
          <w:sz w:val="24"/>
        </w:rPr>
        <w:t>项目中，参与企业的平均信用等级达到</w:t>
      </w:r>
      <w:r w:rsidRPr="00800D22">
        <w:rPr>
          <w:sz w:val="24"/>
        </w:rPr>
        <w:t>BB</w:t>
      </w:r>
      <w:r w:rsidRPr="00800D22">
        <w:rPr>
          <w:sz w:val="24"/>
        </w:rPr>
        <w:t>，但此后，随着投资者对该类产品的不断了解，参与企业的平均信用等级有所下降，在后面发行的几</w:t>
      </w:r>
      <w:r w:rsidRPr="00800D22">
        <w:rPr>
          <w:rFonts w:hint="eastAsia"/>
          <w:sz w:val="24"/>
        </w:rPr>
        <w:t>期</w:t>
      </w:r>
      <w:r w:rsidRPr="00800D22">
        <w:rPr>
          <w:sz w:val="24"/>
        </w:rPr>
        <w:t>P-CBO</w:t>
      </w:r>
      <w:r w:rsidRPr="00800D22">
        <w:rPr>
          <w:sz w:val="24"/>
        </w:rPr>
        <w:t>中，参与企业的平均信用等级均为</w:t>
      </w:r>
      <w:r w:rsidRPr="00800D22">
        <w:rPr>
          <w:sz w:val="24"/>
        </w:rPr>
        <w:t>B+</w:t>
      </w:r>
      <w:r w:rsidRPr="00800D22">
        <w:rPr>
          <w:sz w:val="24"/>
        </w:rPr>
        <w:t>。随着</w:t>
      </w:r>
      <w:r w:rsidRPr="00800D22">
        <w:rPr>
          <w:sz w:val="24"/>
        </w:rPr>
        <w:t>P-CBO</w:t>
      </w:r>
      <w:r w:rsidRPr="00800D22">
        <w:rPr>
          <w:sz w:val="24"/>
        </w:rPr>
        <w:t>不断成熟，</w:t>
      </w:r>
      <w:r w:rsidRPr="00800D22">
        <w:rPr>
          <w:sz w:val="24"/>
        </w:rPr>
        <w:t>SBC</w:t>
      </w:r>
      <w:r w:rsidRPr="00800D22">
        <w:rPr>
          <w:sz w:val="24"/>
        </w:rPr>
        <w:t>也不断尝试各种创新，以不断完善</w:t>
      </w:r>
      <w:r w:rsidRPr="00800D22">
        <w:rPr>
          <w:sz w:val="24"/>
        </w:rPr>
        <w:t>P-CBO</w:t>
      </w:r>
      <w:r w:rsidRPr="00800D22">
        <w:rPr>
          <w:sz w:val="24"/>
        </w:rPr>
        <w:t>，更好</w:t>
      </w:r>
      <w:r w:rsidRPr="00800D22">
        <w:rPr>
          <w:rFonts w:hint="eastAsia"/>
          <w:sz w:val="24"/>
        </w:rPr>
        <w:t>地</w:t>
      </w:r>
      <w:r w:rsidRPr="00800D22">
        <w:rPr>
          <w:sz w:val="24"/>
        </w:rPr>
        <w:t>帮助中小企业融资。</w:t>
      </w:r>
    </w:p>
    <w:p w14:paraId="1FE6986D" w14:textId="6BE36395" w:rsidR="00995E2A" w:rsidRPr="00800D22" w:rsidRDefault="00995E2A" w:rsidP="00995E2A">
      <w:pPr>
        <w:pStyle w:val="aff1"/>
        <w:spacing w:beforeLines="100" w:before="312"/>
        <w:jc w:val="center"/>
        <w:rPr>
          <w:rFonts w:ascii="Times New Roman" w:eastAsia="新宋体" w:hAnsi="新宋体" w:cs="Times New Roman" w:hint="eastAsia"/>
          <w:sz w:val="21"/>
          <w:szCs w:val="21"/>
        </w:rPr>
      </w:pPr>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4</w:t>
      </w:r>
      <w:r w:rsidRPr="00800D22">
        <w:rPr>
          <w:rFonts w:ascii="Times New Roman" w:eastAsia="新宋体" w:hAnsi="新宋体" w:cs="Times New Roman" w:hint="eastAsia"/>
          <w:sz w:val="21"/>
          <w:szCs w:val="21"/>
        </w:rPr>
        <w:t xml:space="preserve">  SBC</w:t>
      </w:r>
      <w:r w:rsidRPr="00800D22">
        <w:rPr>
          <w:rFonts w:ascii="Times New Roman" w:eastAsia="新宋体" w:hAnsi="新宋体" w:cs="Times New Roman" w:hint="eastAsia"/>
          <w:sz w:val="21"/>
          <w:szCs w:val="21"/>
        </w:rPr>
        <w:t>组织发行的</w:t>
      </w:r>
      <w:r w:rsidRPr="00800D22">
        <w:rPr>
          <w:rFonts w:ascii="Times New Roman" w:eastAsia="新宋体" w:hAnsi="新宋体" w:cs="Times New Roman" w:hint="eastAsia"/>
          <w:sz w:val="21"/>
          <w:szCs w:val="21"/>
        </w:rPr>
        <w:t>P-CBO</w:t>
      </w:r>
      <w:r w:rsidRPr="00800D22">
        <w:rPr>
          <w:rFonts w:ascii="Times New Roman" w:eastAsia="新宋体" w:hAnsi="新宋体" w:cs="Times New Roman" w:hint="eastAsia"/>
          <w:sz w:val="21"/>
          <w:szCs w:val="21"/>
        </w:rPr>
        <w:t>基本情况</w:t>
      </w:r>
    </w:p>
    <w:p w14:paraId="6C725F31" w14:textId="4D18D36C" w:rsidR="00995E2A" w:rsidRPr="00800D22" w:rsidRDefault="00995E2A" w:rsidP="00995E2A">
      <w:pPr>
        <w:autoSpaceDE w:val="0"/>
        <w:autoSpaceDN w:val="0"/>
        <w:adjustRightInd w:val="0"/>
        <w:jc w:val="center"/>
        <w:rPr>
          <w:rFonts w:hint="eastAsia"/>
          <w:szCs w:val="21"/>
        </w:rPr>
      </w:pPr>
      <w:r w:rsidRPr="00800D22">
        <w:rPr>
          <w:rFonts w:hint="eastAsia"/>
          <w:szCs w:val="21"/>
        </w:rPr>
        <w:t>Table</w:t>
      </w:r>
      <w:r>
        <w:rPr>
          <w:rFonts w:hint="eastAsia"/>
          <w:szCs w:val="21"/>
        </w:rPr>
        <w:t xml:space="preserve"> 4</w:t>
      </w:r>
      <w:r w:rsidRPr="00800D22">
        <w:rPr>
          <w:rFonts w:hint="eastAsia"/>
          <w:szCs w:val="21"/>
        </w:rPr>
        <w:t xml:space="preserve">  Basic d</w:t>
      </w:r>
      <w:r w:rsidRPr="00800D22">
        <w:rPr>
          <w:szCs w:val="21"/>
        </w:rPr>
        <w:t>ata</w:t>
      </w:r>
      <w:r w:rsidRPr="00800D22">
        <w:rPr>
          <w:rFonts w:hint="eastAsia"/>
          <w:szCs w:val="21"/>
        </w:rPr>
        <w:t xml:space="preserve"> of P-CBO issued by SBC</w:t>
      </w:r>
    </w:p>
    <w:tbl>
      <w:tblPr>
        <w:tblW w:w="5000" w:type="pct"/>
        <w:tblBorders>
          <w:top w:val="single" w:sz="4" w:space="0" w:color="auto"/>
          <w:bottom w:val="single" w:sz="4" w:space="0" w:color="auto"/>
        </w:tblBorders>
        <w:tblLook w:val="01E0" w:firstRow="1" w:lastRow="1" w:firstColumn="1" w:lastColumn="1" w:noHBand="0" w:noVBand="0"/>
      </w:tblPr>
      <w:tblGrid>
        <w:gridCol w:w="626"/>
        <w:gridCol w:w="2652"/>
        <w:gridCol w:w="1355"/>
        <w:gridCol w:w="1663"/>
        <w:gridCol w:w="1237"/>
        <w:gridCol w:w="989"/>
      </w:tblGrid>
      <w:tr w:rsidR="00995E2A" w:rsidRPr="00800D22" w14:paraId="6A2BA4C6" w14:textId="77777777" w:rsidTr="000A32F1">
        <w:trPr>
          <w:trHeight w:val="592"/>
        </w:trPr>
        <w:tc>
          <w:tcPr>
            <w:tcW w:w="367" w:type="pct"/>
            <w:tcBorders>
              <w:top w:val="single" w:sz="4" w:space="0" w:color="auto"/>
              <w:bottom w:val="single" w:sz="4" w:space="0" w:color="auto"/>
            </w:tcBorders>
            <w:vAlign w:val="center"/>
          </w:tcPr>
          <w:p w14:paraId="7ABAD395" w14:textId="77777777" w:rsidR="00995E2A" w:rsidRPr="00800D22" w:rsidRDefault="00995E2A" w:rsidP="000A32F1">
            <w:pPr>
              <w:autoSpaceDE w:val="0"/>
              <w:autoSpaceDN w:val="0"/>
              <w:adjustRightInd w:val="0"/>
              <w:rPr>
                <w:rFonts w:hint="eastAsia"/>
                <w:bCs/>
                <w:szCs w:val="21"/>
              </w:rPr>
            </w:pPr>
            <w:proofErr w:type="gramStart"/>
            <w:r w:rsidRPr="00800D22">
              <w:rPr>
                <w:rFonts w:hint="eastAsia"/>
                <w:bCs/>
                <w:szCs w:val="21"/>
              </w:rPr>
              <w:t>期别</w:t>
            </w:r>
            <w:proofErr w:type="gramEnd"/>
          </w:p>
        </w:tc>
        <w:tc>
          <w:tcPr>
            <w:tcW w:w="1556" w:type="pct"/>
            <w:tcBorders>
              <w:top w:val="single" w:sz="4" w:space="0" w:color="auto"/>
              <w:bottom w:val="single" w:sz="4" w:space="0" w:color="auto"/>
            </w:tcBorders>
            <w:vAlign w:val="center"/>
          </w:tcPr>
          <w:p w14:paraId="6C53F3D6" w14:textId="77777777" w:rsidR="00995E2A" w:rsidRPr="00800D22" w:rsidRDefault="00995E2A" w:rsidP="000A32F1">
            <w:pPr>
              <w:autoSpaceDE w:val="0"/>
              <w:autoSpaceDN w:val="0"/>
              <w:adjustRightInd w:val="0"/>
              <w:rPr>
                <w:bCs/>
                <w:szCs w:val="21"/>
              </w:rPr>
            </w:pPr>
            <w:r w:rsidRPr="00800D22">
              <w:rPr>
                <w:bCs/>
                <w:szCs w:val="21"/>
              </w:rPr>
              <w:t>SPC</w:t>
            </w:r>
            <w:r w:rsidRPr="00800D22">
              <w:rPr>
                <w:bCs/>
                <w:szCs w:val="21"/>
              </w:rPr>
              <w:t>名称</w:t>
            </w:r>
          </w:p>
        </w:tc>
        <w:tc>
          <w:tcPr>
            <w:tcW w:w="795" w:type="pct"/>
            <w:tcBorders>
              <w:top w:val="single" w:sz="4" w:space="0" w:color="auto"/>
              <w:bottom w:val="single" w:sz="4" w:space="0" w:color="auto"/>
            </w:tcBorders>
            <w:vAlign w:val="center"/>
          </w:tcPr>
          <w:p w14:paraId="6BBE4A8E" w14:textId="77777777" w:rsidR="00995E2A" w:rsidRPr="00800D22" w:rsidRDefault="00995E2A" w:rsidP="000A32F1">
            <w:pPr>
              <w:autoSpaceDE w:val="0"/>
              <w:autoSpaceDN w:val="0"/>
              <w:adjustRightInd w:val="0"/>
              <w:rPr>
                <w:bCs/>
                <w:szCs w:val="21"/>
              </w:rPr>
            </w:pPr>
            <w:r w:rsidRPr="00800D22">
              <w:rPr>
                <w:bCs/>
                <w:szCs w:val="21"/>
              </w:rPr>
              <w:t>发行日期</w:t>
            </w:r>
          </w:p>
        </w:tc>
        <w:tc>
          <w:tcPr>
            <w:tcW w:w="976" w:type="pct"/>
            <w:tcBorders>
              <w:top w:val="single" w:sz="4" w:space="0" w:color="auto"/>
              <w:bottom w:val="single" w:sz="4" w:space="0" w:color="auto"/>
            </w:tcBorders>
            <w:vAlign w:val="center"/>
          </w:tcPr>
          <w:p w14:paraId="7E3F267D" w14:textId="77777777" w:rsidR="00995E2A" w:rsidRPr="00800D22" w:rsidRDefault="00995E2A" w:rsidP="000A32F1">
            <w:pPr>
              <w:autoSpaceDE w:val="0"/>
              <w:autoSpaceDN w:val="0"/>
              <w:adjustRightInd w:val="0"/>
              <w:rPr>
                <w:bCs/>
                <w:szCs w:val="21"/>
              </w:rPr>
            </w:pPr>
            <w:r w:rsidRPr="00800D22">
              <w:rPr>
                <w:bCs/>
                <w:szCs w:val="21"/>
              </w:rPr>
              <w:t>发行金额</w:t>
            </w:r>
          </w:p>
        </w:tc>
        <w:tc>
          <w:tcPr>
            <w:tcW w:w="726" w:type="pct"/>
            <w:tcBorders>
              <w:top w:val="single" w:sz="4" w:space="0" w:color="auto"/>
              <w:bottom w:val="single" w:sz="4" w:space="0" w:color="auto"/>
            </w:tcBorders>
            <w:vAlign w:val="center"/>
          </w:tcPr>
          <w:p w14:paraId="57B481D2" w14:textId="77777777" w:rsidR="00995E2A" w:rsidRPr="00800D22" w:rsidRDefault="00995E2A" w:rsidP="000A32F1">
            <w:pPr>
              <w:autoSpaceDE w:val="0"/>
              <w:autoSpaceDN w:val="0"/>
              <w:adjustRightInd w:val="0"/>
              <w:rPr>
                <w:bCs/>
                <w:szCs w:val="21"/>
              </w:rPr>
            </w:pPr>
            <w:r w:rsidRPr="00800D22">
              <w:rPr>
                <w:bCs/>
                <w:szCs w:val="21"/>
              </w:rPr>
              <w:t>参与企业</w:t>
            </w:r>
          </w:p>
          <w:p w14:paraId="42E52B3B" w14:textId="77777777" w:rsidR="00995E2A" w:rsidRPr="00800D22" w:rsidRDefault="00995E2A" w:rsidP="000A32F1">
            <w:pPr>
              <w:autoSpaceDE w:val="0"/>
              <w:autoSpaceDN w:val="0"/>
              <w:adjustRightInd w:val="0"/>
              <w:rPr>
                <w:bCs/>
                <w:szCs w:val="21"/>
              </w:rPr>
            </w:pPr>
            <w:r w:rsidRPr="00800D22">
              <w:rPr>
                <w:bCs/>
                <w:szCs w:val="21"/>
              </w:rPr>
              <w:t>数量</w:t>
            </w:r>
            <w:r w:rsidRPr="00800D22">
              <w:rPr>
                <w:bCs/>
                <w:szCs w:val="21"/>
              </w:rPr>
              <w:t>(</w:t>
            </w:r>
            <w:r w:rsidRPr="00800D22">
              <w:rPr>
                <w:bCs/>
                <w:szCs w:val="21"/>
              </w:rPr>
              <w:t>家</w:t>
            </w:r>
            <w:r w:rsidRPr="00800D22">
              <w:rPr>
                <w:bCs/>
                <w:szCs w:val="21"/>
              </w:rPr>
              <w:t>)</w:t>
            </w:r>
          </w:p>
        </w:tc>
        <w:tc>
          <w:tcPr>
            <w:tcW w:w="580" w:type="pct"/>
            <w:tcBorders>
              <w:top w:val="single" w:sz="4" w:space="0" w:color="auto"/>
              <w:bottom w:val="single" w:sz="4" w:space="0" w:color="auto"/>
            </w:tcBorders>
            <w:vAlign w:val="center"/>
          </w:tcPr>
          <w:p w14:paraId="6CB85D62" w14:textId="77777777" w:rsidR="00995E2A" w:rsidRPr="00800D22" w:rsidRDefault="00995E2A" w:rsidP="000A32F1">
            <w:pPr>
              <w:autoSpaceDE w:val="0"/>
              <w:autoSpaceDN w:val="0"/>
              <w:adjustRightInd w:val="0"/>
              <w:rPr>
                <w:rFonts w:hint="eastAsia"/>
                <w:bCs/>
                <w:szCs w:val="21"/>
              </w:rPr>
            </w:pPr>
            <w:r w:rsidRPr="00800D22">
              <w:rPr>
                <w:bCs/>
                <w:szCs w:val="21"/>
              </w:rPr>
              <w:t>平均信</w:t>
            </w:r>
          </w:p>
          <w:p w14:paraId="77E36877" w14:textId="77777777" w:rsidR="00995E2A" w:rsidRPr="00800D22" w:rsidRDefault="00995E2A" w:rsidP="000A32F1">
            <w:pPr>
              <w:autoSpaceDE w:val="0"/>
              <w:autoSpaceDN w:val="0"/>
              <w:adjustRightInd w:val="0"/>
              <w:rPr>
                <w:bCs/>
                <w:szCs w:val="21"/>
              </w:rPr>
            </w:pPr>
            <w:r w:rsidRPr="00800D22">
              <w:rPr>
                <w:bCs/>
                <w:szCs w:val="21"/>
              </w:rPr>
              <w:t>用等级</w:t>
            </w:r>
          </w:p>
        </w:tc>
      </w:tr>
      <w:tr w:rsidR="00995E2A" w:rsidRPr="00800D22" w14:paraId="3AAE4B21" w14:textId="77777777" w:rsidTr="000A32F1">
        <w:tc>
          <w:tcPr>
            <w:tcW w:w="367" w:type="pct"/>
            <w:tcBorders>
              <w:top w:val="single" w:sz="4" w:space="0" w:color="auto"/>
            </w:tcBorders>
            <w:vAlign w:val="center"/>
          </w:tcPr>
          <w:p w14:paraId="275D3066" w14:textId="77777777" w:rsidR="00995E2A" w:rsidRPr="00800D22" w:rsidRDefault="00995E2A" w:rsidP="000A32F1">
            <w:pPr>
              <w:rPr>
                <w:sz w:val="18"/>
                <w:szCs w:val="18"/>
              </w:rPr>
            </w:pPr>
            <w:r w:rsidRPr="00800D22">
              <w:rPr>
                <w:sz w:val="18"/>
                <w:szCs w:val="18"/>
              </w:rPr>
              <w:t>1</w:t>
            </w:r>
            <w:r w:rsidRPr="00800D22">
              <w:rPr>
                <w:sz w:val="18"/>
                <w:szCs w:val="18"/>
                <w:vertAlign w:val="superscript"/>
              </w:rPr>
              <w:t>st</w:t>
            </w:r>
          </w:p>
        </w:tc>
        <w:tc>
          <w:tcPr>
            <w:tcW w:w="1556" w:type="pct"/>
            <w:tcBorders>
              <w:top w:val="single" w:sz="4" w:space="0" w:color="auto"/>
            </w:tcBorders>
            <w:vAlign w:val="center"/>
          </w:tcPr>
          <w:p w14:paraId="3D16852F" w14:textId="77777777" w:rsidR="00995E2A" w:rsidRPr="00800D22" w:rsidRDefault="00995E2A" w:rsidP="000A32F1">
            <w:pPr>
              <w:autoSpaceDE w:val="0"/>
              <w:autoSpaceDN w:val="0"/>
              <w:adjustRightInd w:val="0"/>
              <w:rPr>
                <w:sz w:val="18"/>
                <w:szCs w:val="18"/>
                <w:vertAlign w:val="superscript"/>
              </w:rPr>
            </w:pPr>
            <w:r w:rsidRPr="00800D22">
              <w:rPr>
                <w:sz w:val="18"/>
                <w:szCs w:val="18"/>
              </w:rPr>
              <w:t>1</w:t>
            </w:r>
            <w:r w:rsidRPr="00800D22">
              <w:rPr>
                <w:sz w:val="18"/>
                <w:szCs w:val="18"/>
                <w:vertAlign w:val="superscript"/>
              </w:rPr>
              <w:t>st</w:t>
            </w:r>
            <w:r w:rsidRPr="00800D22">
              <w:rPr>
                <w:sz w:val="18"/>
                <w:szCs w:val="18"/>
              </w:rPr>
              <w:t xml:space="preserve"> SME Securitization</w:t>
            </w:r>
          </w:p>
        </w:tc>
        <w:tc>
          <w:tcPr>
            <w:tcW w:w="795" w:type="pct"/>
            <w:tcBorders>
              <w:top w:val="single" w:sz="4" w:space="0" w:color="auto"/>
            </w:tcBorders>
            <w:vAlign w:val="center"/>
          </w:tcPr>
          <w:p w14:paraId="24002488" w14:textId="77777777" w:rsidR="00995E2A" w:rsidRPr="00800D22" w:rsidRDefault="00995E2A" w:rsidP="000A32F1">
            <w:pPr>
              <w:autoSpaceDE w:val="0"/>
              <w:autoSpaceDN w:val="0"/>
              <w:adjustRightInd w:val="0"/>
              <w:rPr>
                <w:sz w:val="18"/>
                <w:szCs w:val="18"/>
              </w:rPr>
            </w:pPr>
            <w:r w:rsidRPr="00800D22">
              <w:rPr>
                <w:sz w:val="18"/>
                <w:szCs w:val="18"/>
              </w:rPr>
              <w:t>1999.12.30</w:t>
            </w:r>
          </w:p>
        </w:tc>
        <w:tc>
          <w:tcPr>
            <w:tcW w:w="976" w:type="pct"/>
            <w:tcBorders>
              <w:top w:val="single" w:sz="4" w:space="0" w:color="auto"/>
            </w:tcBorders>
            <w:vAlign w:val="center"/>
          </w:tcPr>
          <w:p w14:paraId="348641AF" w14:textId="77777777" w:rsidR="00995E2A" w:rsidRPr="00800D22" w:rsidRDefault="00995E2A" w:rsidP="000A32F1">
            <w:pPr>
              <w:autoSpaceDE w:val="0"/>
              <w:autoSpaceDN w:val="0"/>
              <w:adjustRightInd w:val="0"/>
              <w:rPr>
                <w:sz w:val="18"/>
                <w:szCs w:val="18"/>
              </w:rPr>
            </w:pPr>
            <w:r w:rsidRPr="00800D22">
              <w:rPr>
                <w:sz w:val="18"/>
                <w:szCs w:val="18"/>
              </w:rPr>
              <w:t>720</w:t>
            </w:r>
            <w:r w:rsidRPr="00800D22">
              <w:rPr>
                <w:sz w:val="18"/>
                <w:szCs w:val="18"/>
              </w:rPr>
              <w:t>亿韩元</w:t>
            </w:r>
          </w:p>
        </w:tc>
        <w:tc>
          <w:tcPr>
            <w:tcW w:w="726" w:type="pct"/>
            <w:tcBorders>
              <w:top w:val="single" w:sz="4" w:space="0" w:color="auto"/>
            </w:tcBorders>
            <w:vAlign w:val="center"/>
          </w:tcPr>
          <w:p w14:paraId="1D92ACF8" w14:textId="77777777" w:rsidR="00995E2A" w:rsidRPr="00800D22" w:rsidRDefault="00995E2A" w:rsidP="000A32F1">
            <w:pPr>
              <w:autoSpaceDE w:val="0"/>
              <w:autoSpaceDN w:val="0"/>
              <w:adjustRightInd w:val="0"/>
              <w:rPr>
                <w:sz w:val="18"/>
                <w:szCs w:val="18"/>
              </w:rPr>
            </w:pPr>
            <w:r w:rsidRPr="00800D22">
              <w:rPr>
                <w:sz w:val="18"/>
                <w:szCs w:val="18"/>
              </w:rPr>
              <w:t>23</w:t>
            </w:r>
          </w:p>
        </w:tc>
        <w:tc>
          <w:tcPr>
            <w:tcW w:w="580" w:type="pct"/>
            <w:tcBorders>
              <w:top w:val="single" w:sz="4" w:space="0" w:color="auto"/>
            </w:tcBorders>
            <w:vAlign w:val="center"/>
          </w:tcPr>
          <w:p w14:paraId="1F026A22" w14:textId="77777777" w:rsidR="00995E2A" w:rsidRPr="00800D22" w:rsidRDefault="00995E2A" w:rsidP="000A32F1">
            <w:pPr>
              <w:autoSpaceDE w:val="0"/>
              <w:autoSpaceDN w:val="0"/>
              <w:adjustRightInd w:val="0"/>
              <w:rPr>
                <w:sz w:val="18"/>
                <w:szCs w:val="18"/>
              </w:rPr>
            </w:pPr>
            <w:r w:rsidRPr="00800D22">
              <w:rPr>
                <w:sz w:val="18"/>
                <w:szCs w:val="18"/>
              </w:rPr>
              <w:t>BB</w:t>
            </w:r>
          </w:p>
        </w:tc>
      </w:tr>
      <w:tr w:rsidR="00995E2A" w:rsidRPr="00800D22" w14:paraId="440CAA91" w14:textId="77777777" w:rsidTr="000A32F1">
        <w:tc>
          <w:tcPr>
            <w:tcW w:w="367" w:type="pct"/>
            <w:vAlign w:val="center"/>
          </w:tcPr>
          <w:p w14:paraId="4B851458" w14:textId="77777777" w:rsidR="00995E2A" w:rsidRPr="00800D22" w:rsidRDefault="00995E2A" w:rsidP="000A32F1">
            <w:pPr>
              <w:rPr>
                <w:sz w:val="18"/>
                <w:szCs w:val="18"/>
              </w:rPr>
            </w:pPr>
            <w:r w:rsidRPr="00800D22">
              <w:rPr>
                <w:sz w:val="18"/>
                <w:szCs w:val="18"/>
              </w:rPr>
              <w:t>2</w:t>
            </w:r>
            <w:r w:rsidRPr="00800D22">
              <w:rPr>
                <w:sz w:val="18"/>
                <w:szCs w:val="18"/>
                <w:vertAlign w:val="superscript"/>
              </w:rPr>
              <w:t>nd</w:t>
            </w:r>
          </w:p>
        </w:tc>
        <w:tc>
          <w:tcPr>
            <w:tcW w:w="1556" w:type="pct"/>
            <w:vAlign w:val="center"/>
          </w:tcPr>
          <w:p w14:paraId="4B6A4843" w14:textId="77777777" w:rsidR="00995E2A" w:rsidRPr="00800D22" w:rsidRDefault="00995E2A" w:rsidP="000A32F1">
            <w:pPr>
              <w:autoSpaceDE w:val="0"/>
              <w:autoSpaceDN w:val="0"/>
              <w:adjustRightInd w:val="0"/>
              <w:rPr>
                <w:sz w:val="18"/>
                <w:szCs w:val="18"/>
              </w:rPr>
            </w:pPr>
            <w:r w:rsidRPr="00800D22">
              <w:rPr>
                <w:sz w:val="18"/>
                <w:szCs w:val="18"/>
              </w:rPr>
              <w:t>2</w:t>
            </w:r>
            <w:r w:rsidRPr="00800D22">
              <w:rPr>
                <w:sz w:val="18"/>
                <w:szCs w:val="18"/>
                <w:vertAlign w:val="superscript"/>
              </w:rPr>
              <w:t>nd</w:t>
            </w:r>
            <w:r w:rsidRPr="00800D22">
              <w:rPr>
                <w:sz w:val="18"/>
                <w:szCs w:val="18"/>
              </w:rPr>
              <w:t xml:space="preserve"> SME Securitization</w:t>
            </w:r>
          </w:p>
        </w:tc>
        <w:tc>
          <w:tcPr>
            <w:tcW w:w="795" w:type="pct"/>
            <w:vAlign w:val="center"/>
          </w:tcPr>
          <w:p w14:paraId="47631971" w14:textId="77777777" w:rsidR="00995E2A" w:rsidRPr="00800D22" w:rsidRDefault="00995E2A" w:rsidP="000A32F1">
            <w:pPr>
              <w:autoSpaceDE w:val="0"/>
              <w:autoSpaceDN w:val="0"/>
              <w:adjustRightInd w:val="0"/>
              <w:rPr>
                <w:sz w:val="18"/>
                <w:szCs w:val="18"/>
              </w:rPr>
            </w:pPr>
            <w:r w:rsidRPr="00800D22">
              <w:rPr>
                <w:sz w:val="18"/>
                <w:szCs w:val="18"/>
              </w:rPr>
              <w:t>2001.01.31</w:t>
            </w:r>
          </w:p>
        </w:tc>
        <w:tc>
          <w:tcPr>
            <w:tcW w:w="976" w:type="pct"/>
            <w:vAlign w:val="center"/>
          </w:tcPr>
          <w:p w14:paraId="3FD3DB7E" w14:textId="77777777" w:rsidR="00995E2A" w:rsidRPr="00800D22" w:rsidRDefault="00995E2A" w:rsidP="000A32F1">
            <w:pPr>
              <w:autoSpaceDE w:val="0"/>
              <w:autoSpaceDN w:val="0"/>
              <w:adjustRightInd w:val="0"/>
              <w:rPr>
                <w:sz w:val="18"/>
                <w:szCs w:val="18"/>
              </w:rPr>
            </w:pPr>
            <w:r w:rsidRPr="00800D22">
              <w:rPr>
                <w:sz w:val="18"/>
                <w:szCs w:val="18"/>
              </w:rPr>
              <w:t>1,600</w:t>
            </w:r>
            <w:r w:rsidRPr="00800D22">
              <w:rPr>
                <w:sz w:val="18"/>
                <w:szCs w:val="18"/>
              </w:rPr>
              <w:t>亿韩元</w:t>
            </w:r>
          </w:p>
        </w:tc>
        <w:tc>
          <w:tcPr>
            <w:tcW w:w="726" w:type="pct"/>
            <w:vAlign w:val="center"/>
          </w:tcPr>
          <w:p w14:paraId="3D9849A4" w14:textId="77777777" w:rsidR="00995E2A" w:rsidRPr="00800D22" w:rsidRDefault="00995E2A" w:rsidP="000A32F1">
            <w:pPr>
              <w:autoSpaceDE w:val="0"/>
              <w:autoSpaceDN w:val="0"/>
              <w:adjustRightInd w:val="0"/>
              <w:rPr>
                <w:sz w:val="18"/>
                <w:szCs w:val="18"/>
              </w:rPr>
            </w:pPr>
            <w:r w:rsidRPr="00800D22">
              <w:rPr>
                <w:sz w:val="18"/>
                <w:szCs w:val="18"/>
              </w:rPr>
              <w:t>52</w:t>
            </w:r>
          </w:p>
        </w:tc>
        <w:tc>
          <w:tcPr>
            <w:tcW w:w="580" w:type="pct"/>
            <w:vAlign w:val="center"/>
          </w:tcPr>
          <w:p w14:paraId="164DDC64" w14:textId="77777777" w:rsidR="00995E2A" w:rsidRPr="00800D22" w:rsidRDefault="00995E2A" w:rsidP="000A32F1">
            <w:pPr>
              <w:autoSpaceDE w:val="0"/>
              <w:autoSpaceDN w:val="0"/>
              <w:adjustRightInd w:val="0"/>
              <w:rPr>
                <w:sz w:val="18"/>
                <w:szCs w:val="18"/>
              </w:rPr>
            </w:pPr>
            <w:r w:rsidRPr="00800D22">
              <w:rPr>
                <w:sz w:val="18"/>
                <w:szCs w:val="18"/>
              </w:rPr>
              <w:t>BB-</w:t>
            </w:r>
          </w:p>
        </w:tc>
      </w:tr>
      <w:tr w:rsidR="00995E2A" w:rsidRPr="00800D22" w14:paraId="7B1D9927" w14:textId="77777777" w:rsidTr="000A32F1">
        <w:tc>
          <w:tcPr>
            <w:tcW w:w="367" w:type="pct"/>
            <w:vAlign w:val="center"/>
          </w:tcPr>
          <w:p w14:paraId="34F84608" w14:textId="77777777" w:rsidR="00995E2A" w:rsidRPr="00800D22" w:rsidRDefault="00995E2A" w:rsidP="000A32F1">
            <w:pPr>
              <w:rPr>
                <w:sz w:val="18"/>
                <w:szCs w:val="18"/>
              </w:rPr>
            </w:pPr>
            <w:r w:rsidRPr="00800D22">
              <w:rPr>
                <w:sz w:val="18"/>
                <w:szCs w:val="18"/>
              </w:rPr>
              <w:t>3</w:t>
            </w:r>
            <w:r w:rsidRPr="00800D22">
              <w:rPr>
                <w:sz w:val="18"/>
                <w:szCs w:val="18"/>
                <w:vertAlign w:val="superscript"/>
              </w:rPr>
              <w:t>rd</w:t>
            </w:r>
          </w:p>
        </w:tc>
        <w:tc>
          <w:tcPr>
            <w:tcW w:w="1556" w:type="pct"/>
            <w:vAlign w:val="center"/>
          </w:tcPr>
          <w:p w14:paraId="33A37414" w14:textId="77777777" w:rsidR="00995E2A" w:rsidRPr="00800D22" w:rsidRDefault="00995E2A" w:rsidP="000A32F1">
            <w:pPr>
              <w:autoSpaceDE w:val="0"/>
              <w:autoSpaceDN w:val="0"/>
              <w:adjustRightInd w:val="0"/>
              <w:rPr>
                <w:sz w:val="18"/>
                <w:szCs w:val="18"/>
              </w:rPr>
            </w:pPr>
            <w:proofErr w:type="spellStart"/>
            <w:r w:rsidRPr="00800D22">
              <w:rPr>
                <w:sz w:val="18"/>
                <w:szCs w:val="18"/>
              </w:rPr>
              <w:t>KOROmas</w:t>
            </w:r>
            <w:proofErr w:type="spellEnd"/>
            <w:r w:rsidRPr="00800D22">
              <w:rPr>
                <w:sz w:val="18"/>
                <w:szCs w:val="18"/>
              </w:rPr>
              <w:t xml:space="preserve"> Fund</w:t>
            </w:r>
          </w:p>
        </w:tc>
        <w:tc>
          <w:tcPr>
            <w:tcW w:w="795" w:type="pct"/>
            <w:vAlign w:val="center"/>
          </w:tcPr>
          <w:p w14:paraId="20A8EE92" w14:textId="77777777" w:rsidR="00995E2A" w:rsidRPr="00800D22" w:rsidRDefault="00995E2A" w:rsidP="000A32F1">
            <w:pPr>
              <w:autoSpaceDE w:val="0"/>
              <w:autoSpaceDN w:val="0"/>
              <w:adjustRightInd w:val="0"/>
              <w:rPr>
                <w:sz w:val="18"/>
                <w:szCs w:val="18"/>
              </w:rPr>
            </w:pPr>
            <w:r w:rsidRPr="00800D22">
              <w:rPr>
                <w:sz w:val="18"/>
                <w:szCs w:val="18"/>
              </w:rPr>
              <w:t>2001.12.11</w:t>
            </w:r>
          </w:p>
        </w:tc>
        <w:tc>
          <w:tcPr>
            <w:tcW w:w="976" w:type="pct"/>
            <w:vAlign w:val="center"/>
          </w:tcPr>
          <w:p w14:paraId="0BD51F93" w14:textId="77777777" w:rsidR="00995E2A" w:rsidRPr="00800D22" w:rsidRDefault="00995E2A" w:rsidP="000A32F1">
            <w:pPr>
              <w:autoSpaceDE w:val="0"/>
              <w:autoSpaceDN w:val="0"/>
              <w:adjustRightInd w:val="0"/>
              <w:rPr>
                <w:sz w:val="18"/>
                <w:szCs w:val="18"/>
              </w:rPr>
            </w:pPr>
            <w:r w:rsidRPr="00800D22">
              <w:rPr>
                <w:sz w:val="18"/>
                <w:szCs w:val="18"/>
              </w:rPr>
              <w:t>3.4</w:t>
            </w:r>
            <w:r w:rsidRPr="00800D22">
              <w:rPr>
                <w:sz w:val="18"/>
                <w:szCs w:val="18"/>
              </w:rPr>
              <w:t>亿美元</w:t>
            </w:r>
          </w:p>
        </w:tc>
        <w:tc>
          <w:tcPr>
            <w:tcW w:w="726" w:type="pct"/>
            <w:vAlign w:val="center"/>
          </w:tcPr>
          <w:p w14:paraId="0A28F74A" w14:textId="77777777" w:rsidR="00995E2A" w:rsidRPr="00800D22" w:rsidRDefault="00995E2A" w:rsidP="000A32F1">
            <w:pPr>
              <w:autoSpaceDE w:val="0"/>
              <w:autoSpaceDN w:val="0"/>
              <w:adjustRightInd w:val="0"/>
              <w:rPr>
                <w:sz w:val="18"/>
                <w:szCs w:val="18"/>
              </w:rPr>
            </w:pPr>
            <w:r w:rsidRPr="00800D22">
              <w:rPr>
                <w:sz w:val="18"/>
                <w:szCs w:val="18"/>
              </w:rPr>
              <w:t>59</w:t>
            </w:r>
          </w:p>
        </w:tc>
        <w:tc>
          <w:tcPr>
            <w:tcW w:w="580" w:type="pct"/>
            <w:vAlign w:val="center"/>
          </w:tcPr>
          <w:p w14:paraId="60A37DCA" w14:textId="77777777" w:rsidR="00995E2A" w:rsidRPr="00800D22" w:rsidRDefault="00995E2A" w:rsidP="000A32F1">
            <w:pPr>
              <w:autoSpaceDE w:val="0"/>
              <w:autoSpaceDN w:val="0"/>
              <w:adjustRightInd w:val="0"/>
              <w:rPr>
                <w:sz w:val="18"/>
                <w:szCs w:val="18"/>
              </w:rPr>
            </w:pPr>
            <w:r w:rsidRPr="00800D22">
              <w:rPr>
                <w:sz w:val="18"/>
                <w:szCs w:val="18"/>
              </w:rPr>
              <w:t>BB-</w:t>
            </w:r>
          </w:p>
        </w:tc>
      </w:tr>
      <w:tr w:rsidR="00995E2A" w:rsidRPr="00800D22" w14:paraId="11BC99B5" w14:textId="77777777" w:rsidTr="000A32F1">
        <w:tc>
          <w:tcPr>
            <w:tcW w:w="367" w:type="pct"/>
            <w:vAlign w:val="center"/>
          </w:tcPr>
          <w:p w14:paraId="39896727" w14:textId="77777777" w:rsidR="00995E2A" w:rsidRPr="00800D22" w:rsidRDefault="00995E2A" w:rsidP="000A32F1">
            <w:pPr>
              <w:rPr>
                <w:sz w:val="18"/>
                <w:szCs w:val="18"/>
              </w:rPr>
            </w:pPr>
            <w:r w:rsidRPr="00800D22">
              <w:rPr>
                <w:sz w:val="18"/>
                <w:szCs w:val="18"/>
              </w:rPr>
              <w:t>4</w:t>
            </w:r>
            <w:r w:rsidRPr="00800D22">
              <w:rPr>
                <w:sz w:val="18"/>
                <w:szCs w:val="18"/>
                <w:vertAlign w:val="superscript"/>
              </w:rPr>
              <w:t>th</w:t>
            </w:r>
          </w:p>
        </w:tc>
        <w:tc>
          <w:tcPr>
            <w:tcW w:w="1556" w:type="pct"/>
            <w:vAlign w:val="center"/>
          </w:tcPr>
          <w:p w14:paraId="674711EA" w14:textId="77777777" w:rsidR="00995E2A" w:rsidRPr="00800D22" w:rsidRDefault="00995E2A" w:rsidP="000A32F1">
            <w:pPr>
              <w:autoSpaceDE w:val="0"/>
              <w:autoSpaceDN w:val="0"/>
              <w:adjustRightInd w:val="0"/>
              <w:rPr>
                <w:sz w:val="18"/>
                <w:szCs w:val="18"/>
              </w:rPr>
            </w:pPr>
            <w:r w:rsidRPr="00800D22">
              <w:rPr>
                <w:sz w:val="18"/>
                <w:szCs w:val="18"/>
              </w:rPr>
              <w:t>3</w:t>
            </w:r>
            <w:r w:rsidRPr="00800D22">
              <w:rPr>
                <w:sz w:val="18"/>
                <w:szCs w:val="18"/>
                <w:vertAlign w:val="superscript"/>
              </w:rPr>
              <w:t>rd</w:t>
            </w:r>
            <w:r w:rsidRPr="00800D22">
              <w:rPr>
                <w:sz w:val="18"/>
                <w:szCs w:val="18"/>
              </w:rPr>
              <w:t xml:space="preserve"> SME Securitization</w:t>
            </w:r>
          </w:p>
        </w:tc>
        <w:tc>
          <w:tcPr>
            <w:tcW w:w="795" w:type="pct"/>
            <w:vAlign w:val="center"/>
          </w:tcPr>
          <w:p w14:paraId="2C873A8A" w14:textId="77777777" w:rsidR="00995E2A" w:rsidRPr="00800D22" w:rsidRDefault="00995E2A" w:rsidP="000A32F1">
            <w:pPr>
              <w:autoSpaceDE w:val="0"/>
              <w:autoSpaceDN w:val="0"/>
              <w:adjustRightInd w:val="0"/>
              <w:rPr>
                <w:sz w:val="18"/>
                <w:szCs w:val="18"/>
              </w:rPr>
            </w:pPr>
            <w:r w:rsidRPr="00800D22">
              <w:rPr>
                <w:sz w:val="18"/>
                <w:szCs w:val="18"/>
              </w:rPr>
              <w:t>2002.09.06</w:t>
            </w:r>
          </w:p>
        </w:tc>
        <w:tc>
          <w:tcPr>
            <w:tcW w:w="976" w:type="pct"/>
            <w:vAlign w:val="center"/>
          </w:tcPr>
          <w:p w14:paraId="5ADD95A0" w14:textId="77777777" w:rsidR="00995E2A" w:rsidRPr="00800D22" w:rsidRDefault="00995E2A" w:rsidP="000A32F1">
            <w:pPr>
              <w:autoSpaceDE w:val="0"/>
              <w:autoSpaceDN w:val="0"/>
              <w:adjustRightInd w:val="0"/>
              <w:rPr>
                <w:sz w:val="18"/>
                <w:szCs w:val="18"/>
              </w:rPr>
            </w:pPr>
            <w:r w:rsidRPr="00800D22">
              <w:rPr>
                <w:sz w:val="18"/>
                <w:szCs w:val="18"/>
              </w:rPr>
              <w:t>815</w:t>
            </w:r>
            <w:r w:rsidRPr="00800D22">
              <w:rPr>
                <w:sz w:val="18"/>
                <w:szCs w:val="18"/>
              </w:rPr>
              <w:t>亿韩元</w:t>
            </w:r>
          </w:p>
        </w:tc>
        <w:tc>
          <w:tcPr>
            <w:tcW w:w="726" w:type="pct"/>
            <w:vAlign w:val="center"/>
          </w:tcPr>
          <w:p w14:paraId="01C1FEA2" w14:textId="77777777" w:rsidR="00995E2A" w:rsidRPr="00800D22" w:rsidRDefault="00995E2A" w:rsidP="000A32F1">
            <w:pPr>
              <w:autoSpaceDE w:val="0"/>
              <w:autoSpaceDN w:val="0"/>
              <w:adjustRightInd w:val="0"/>
              <w:rPr>
                <w:sz w:val="18"/>
                <w:szCs w:val="18"/>
              </w:rPr>
            </w:pPr>
            <w:r w:rsidRPr="00800D22">
              <w:rPr>
                <w:sz w:val="18"/>
                <w:szCs w:val="18"/>
              </w:rPr>
              <w:t>42</w:t>
            </w:r>
          </w:p>
        </w:tc>
        <w:tc>
          <w:tcPr>
            <w:tcW w:w="580" w:type="pct"/>
            <w:vAlign w:val="center"/>
          </w:tcPr>
          <w:p w14:paraId="0A5248B9" w14:textId="77777777" w:rsidR="00995E2A" w:rsidRPr="00800D22" w:rsidRDefault="00995E2A" w:rsidP="000A32F1">
            <w:pPr>
              <w:autoSpaceDE w:val="0"/>
              <w:autoSpaceDN w:val="0"/>
              <w:adjustRightInd w:val="0"/>
              <w:rPr>
                <w:sz w:val="18"/>
                <w:szCs w:val="18"/>
              </w:rPr>
            </w:pPr>
            <w:r w:rsidRPr="00800D22">
              <w:rPr>
                <w:sz w:val="18"/>
                <w:szCs w:val="18"/>
              </w:rPr>
              <w:t>B</w:t>
            </w:r>
          </w:p>
        </w:tc>
      </w:tr>
      <w:tr w:rsidR="00995E2A" w:rsidRPr="00800D22" w14:paraId="39176A79" w14:textId="77777777" w:rsidTr="000A32F1">
        <w:tc>
          <w:tcPr>
            <w:tcW w:w="367" w:type="pct"/>
            <w:vAlign w:val="center"/>
          </w:tcPr>
          <w:p w14:paraId="0B617D94" w14:textId="77777777" w:rsidR="00995E2A" w:rsidRPr="00800D22" w:rsidRDefault="00995E2A" w:rsidP="000A32F1">
            <w:pPr>
              <w:rPr>
                <w:sz w:val="18"/>
                <w:szCs w:val="18"/>
              </w:rPr>
            </w:pPr>
            <w:r w:rsidRPr="00800D22">
              <w:rPr>
                <w:sz w:val="18"/>
                <w:szCs w:val="18"/>
              </w:rPr>
              <w:t>5</w:t>
            </w:r>
            <w:r w:rsidRPr="00800D22">
              <w:rPr>
                <w:sz w:val="18"/>
                <w:szCs w:val="18"/>
                <w:vertAlign w:val="superscript"/>
              </w:rPr>
              <w:t>th</w:t>
            </w:r>
          </w:p>
        </w:tc>
        <w:tc>
          <w:tcPr>
            <w:tcW w:w="1556" w:type="pct"/>
            <w:vAlign w:val="center"/>
          </w:tcPr>
          <w:p w14:paraId="361B5046" w14:textId="77777777" w:rsidR="00995E2A" w:rsidRPr="00800D22" w:rsidRDefault="00995E2A" w:rsidP="000A32F1">
            <w:pPr>
              <w:autoSpaceDE w:val="0"/>
              <w:autoSpaceDN w:val="0"/>
              <w:adjustRightInd w:val="0"/>
              <w:rPr>
                <w:sz w:val="18"/>
                <w:szCs w:val="18"/>
              </w:rPr>
            </w:pPr>
            <w:proofErr w:type="spellStart"/>
            <w:r w:rsidRPr="00800D22">
              <w:rPr>
                <w:sz w:val="18"/>
                <w:szCs w:val="18"/>
              </w:rPr>
              <w:t>COROvoltin</w:t>
            </w:r>
            <w:proofErr w:type="spellEnd"/>
            <w:r w:rsidRPr="00800D22">
              <w:rPr>
                <w:sz w:val="18"/>
                <w:szCs w:val="18"/>
              </w:rPr>
              <w:t xml:space="preserve"> Fund</w:t>
            </w:r>
          </w:p>
        </w:tc>
        <w:tc>
          <w:tcPr>
            <w:tcW w:w="795" w:type="pct"/>
            <w:vAlign w:val="center"/>
          </w:tcPr>
          <w:p w14:paraId="50E363C9" w14:textId="77777777" w:rsidR="00995E2A" w:rsidRPr="00800D22" w:rsidRDefault="00995E2A" w:rsidP="000A32F1">
            <w:pPr>
              <w:autoSpaceDE w:val="0"/>
              <w:autoSpaceDN w:val="0"/>
              <w:adjustRightInd w:val="0"/>
              <w:rPr>
                <w:sz w:val="18"/>
                <w:szCs w:val="18"/>
              </w:rPr>
            </w:pPr>
            <w:r w:rsidRPr="00800D22">
              <w:rPr>
                <w:sz w:val="18"/>
                <w:szCs w:val="18"/>
              </w:rPr>
              <w:t>2002.11.14</w:t>
            </w:r>
          </w:p>
        </w:tc>
        <w:tc>
          <w:tcPr>
            <w:tcW w:w="976" w:type="pct"/>
            <w:vAlign w:val="center"/>
          </w:tcPr>
          <w:p w14:paraId="3E77E9CA" w14:textId="77777777" w:rsidR="00995E2A" w:rsidRPr="00800D22" w:rsidRDefault="00995E2A" w:rsidP="000A32F1">
            <w:pPr>
              <w:autoSpaceDE w:val="0"/>
              <w:autoSpaceDN w:val="0"/>
              <w:adjustRightInd w:val="0"/>
              <w:rPr>
                <w:sz w:val="18"/>
                <w:szCs w:val="18"/>
              </w:rPr>
            </w:pPr>
            <w:r w:rsidRPr="00800D22">
              <w:rPr>
                <w:sz w:val="18"/>
                <w:szCs w:val="18"/>
              </w:rPr>
              <w:t>3.5</w:t>
            </w:r>
            <w:r w:rsidRPr="00800D22">
              <w:rPr>
                <w:sz w:val="18"/>
                <w:szCs w:val="18"/>
              </w:rPr>
              <w:t>亿美元</w:t>
            </w:r>
          </w:p>
        </w:tc>
        <w:tc>
          <w:tcPr>
            <w:tcW w:w="726" w:type="pct"/>
            <w:vAlign w:val="center"/>
          </w:tcPr>
          <w:p w14:paraId="1950C712" w14:textId="77777777" w:rsidR="00995E2A" w:rsidRPr="00800D22" w:rsidRDefault="00995E2A" w:rsidP="000A32F1">
            <w:pPr>
              <w:autoSpaceDE w:val="0"/>
              <w:autoSpaceDN w:val="0"/>
              <w:adjustRightInd w:val="0"/>
              <w:rPr>
                <w:sz w:val="18"/>
                <w:szCs w:val="18"/>
              </w:rPr>
            </w:pPr>
            <w:r w:rsidRPr="00800D22">
              <w:rPr>
                <w:sz w:val="18"/>
                <w:szCs w:val="18"/>
              </w:rPr>
              <w:t>131</w:t>
            </w:r>
          </w:p>
        </w:tc>
        <w:tc>
          <w:tcPr>
            <w:tcW w:w="580" w:type="pct"/>
            <w:vAlign w:val="center"/>
          </w:tcPr>
          <w:p w14:paraId="4AF1CB77" w14:textId="77777777" w:rsidR="00995E2A" w:rsidRPr="00800D22" w:rsidRDefault="00995E2A" w:rsidP="000A32F1">
            <w:pPr>
              <w:autoSpaceDE w:val="0"/>
              <w:autoSpaceDN w:val="0"/>
              <w:adjustRightInd w:val="0"/>
              <w:rPr>
                <w:sz w:val="18"/>
                <w:szCs w:val="18"/>
              </w:rPr>
            </w:pPr>
            <w:r w:rsidRPr="00800D22">
              <w:rPr>
                <w:sz w:val="18"/>
                <w:szCs w:val="18"/>
              </w:rPr>
              <w:t>B</w:t>
            </w:r>
          </w:p>
        </w:tc>
      </w:tr>
      <w:tr w:rsidR="00995E2A" w:rsidRPr="00800D22" w14:paraId="1BE35693" w14:textId="77777777" w:rsidTr="000A32F1">
        <w:tc>
          <w:tcPr>
            <w:tcW w:w="367" w:type="pct"/>
            <w:vAlign w:val="center"/>
          </w:tcPr>
          <w:p w14:paraId="525C806B" w14:textId="77777777" w:rsidR="00995E2A" w:rsidRPr="00800D22" w:rsidRDefault="00995E2A" w:rsidP="000A32F1">
            <w:pPr>
              <w:rPr>
                <w:sz w:val="18"/>
                <w:szCs w:val="18"/>
              </w:rPr>
            </w:pPr>
            <w:r w:rsidRPr="00800D22">
              <w:rPr>
                <w:sz w:val="18"/>
                <w:szCs w:val="18"/>
              </w:rPr>
              <w:t>6</w:t>
            </w:r>
            <w:r w:rsidRPr="00800D22">
              <w:rPr>
                <w:sz w:val="18"/>
                <w:szCs w:val="18"/>
                <w:vertAlign w:val="superscript"/>
              </w:rPr>
              <w:t>th</w:t>
            </w:r>
          </w:p>
        </w:tc>
        <w:tc>
          <w:tcPr>
            <w:tcW w:w="1556" w:type="pct"/>
            <w:vAlign w:val="center"/>
          </w:tcPr>
          <w:p w14:paraId="41B76841" w14:textId="77777777" w:rsidR="00995E2A" w:rsidRPr="00800D22" w:rsidRDefault="00995E2A" w:rsidP="000A32F1">
            <w:pPr>
              <w:autoSpaceDE w:val="0"/>
              <w:autoSpaceDN w:val="0"/>
              <w:adjustRightInd w:val="0"/>
              <w:rPr>
                <w:sz w:val="18"/>
                <w:szCs w:val="18"/>
              </w:rPr>
            </w:pPr>
            <w:r w:rsidRPr="00800D22">
              <w:rPr>
                <w:sz w:val="18"/>
                <w:szCs w:val="18"/>
              </w:rPr>
              <w:t>4</w:t>
            </w:r>
            <w:r w:rsidRPr="00800D22">
              <w:rPr>
                <w:sz w:val="18"/>
                <w:szCs w:val="18"/>
                <w:vertAlign w:val="superscript"/>
              </w:rPr>
              <w:t>th</w:t>
            </w:r>
            <w:r w:rsidRPr="00800D22">
              <w:rPr>
                <w:sz w:val="18"/>
                <w:szCs w:val="18"/>
              </w:rPr>
              <w:t xml:space="preserve"> SME Securitization</w:t>
            </w:r>
          </w:p>
        </w:tc>
        <w:tc>
          <w:tcPr>
            <w:tcW w:w="795" w:type="pct"/>
            <w:vAlign w:val="center"/>
          </w:tcPr>
          <w:p w14:paraId="34276838" w14:textId="77777777" w:rsidR="00995E2A" w:rsidRPr="00800D22" w:rsidRDefault="00995E2A" w:rsidP="000A32F1">
            <w:pPr>
              <w:autoSpaceDE w:val="0"/>
              <w:autoSpaceDN w:val="0"/>
              <w:adjustRightInd w:val="0"/>
              <w:rPr>
                <w:sz w:val="18"/>
                <w:szCs w:val="18"/>
              </w:rPr>
            </w:pPr>
            <w:r w:rsidRPr="00800D22">
              <w:rPr>
                <w:sz w:val="18"/>
                <w:szCs w:val="18"/>
              </w:rPr>
              <w:t>2003.05.09</w:t>
            </w:r>
          </w:p>
        </w:tc>
        <w:tc>
          <w:tcPr>
            <w:tcW w:w="976" w:type="pct"/>
            <w:vAlign w:val="center"/>
          </w:tcPr>
          <w:p w14:paraId="66D607AE" w14:textId="77777777" w:rsidR="00995E2A" w:rsidRPr="00800D22" w:rsidRDefault="00995E2A" w:rsidP="000A32F1">
            <w:pPr>
              <w:autoSpaceDE w:val="0"/>
              <w:autoSpaceDN w:val="0"/>
              <w:adjustRightInd w:val="0"/>
              <w:rPr>
                <w:sz w:val="18"/>
                <w:szCs w:val="18"/>
              </w:rPr>
            </w:pPr>
            <w:r w:rsidRPr="00800D22">
              <w:rPr>
                <w:sz w:val="18"/>
                <w:szCs w:val="18"/>
              </w:rPr>
              <w:t>980</w:t>
            </w:r>
            <w:r w:rsidRPr="00800D22">
              <w:rPr>
                <w:sz w:val="18"/>
                <w:szCs w:val="18"/>
              </w:rPr>
              <w:t>亿韩元</w:t>
            </w:r>
          </w:p>
        </w:tc>
        <w:tc>
          <w:tcPr>
            <w:tcW w:w="726" w:type="pct"/>
            <w:vAlign w:val="center"/>
          </w:tcPr>
          <w:p w14:paraId="3BF18829" w14:textId="77777777" w:rsidR="00995E2A" w:rsidRPr="00800D22" w:rsidRDefault="00995E2A" w:rsidP="000A32F1">
            <w:pPr>
              <w:autoSpaceDE w:val="0"/>
              <w:autoSpaceDN w:val="0"/>
              <w:adjustRightInd w:val="0"/>
              <w:rPr>
                <w:sz w:val="18"/>
                <w:szCs w:val="18"/>
              </w:rPr>
            </w:pPr>
            <w:r w:rsidRPr="00800D22">
              <w:rPr>
                <w:sz w:val="18"/>
                <w:szCs w:val="18"/>
              </w:rPr>
              <w:t>41</w:t>
            </w:r>
          </w:p>
        </w:tc>
        <w:tc>
          <w:tcPr>
            <w:tcW w:w="580" w:type="pct"/>
            <w:vAlign w:val="center"/>
          </w:tcPr>
          <w:p w14:paraId="3C016097" w14:textId="77777777" w:rsidR="00995E2A" w:rsidRPr="00800D22" w:rsidRDefault="00995E2A" w:rsidP="000A32F1">
            <w:pPr>
              <w:autoSpaceDE w:val="0"/>
              <w:autoSpaceDN w:val="0"/>
              <w:adjustRightInd w:val="0"/>
              <w:rPr>
                <w:sz w:val="18"/>
                <w:szCs w:val="18"/>
              </w:rPr>
            </w:pPr>
            <w:r w:rsidRPr="00800D22">
              <w:rPr>
                <w:sz w:val="18"/>
                <w:szCs w:val="18"/>
              </w:rPr>
              <w:t>B</w:t>
            </w:r>
          </w:p>
        </w:tc>
      </w:tr>
      <w:tr w:rsidR="00995E2A" w:rsidRPr="00800D22" w14:paraId="147713FA" w14:textId="77777777" w:rsidTr="000A32F1">
        <w:tc>
          <w:tcPr>
            <w:tcW w:w="367" w:type="pct"/>
            <w:vAlign w:val="center"/>
          </w:tcPr>
          <w:p w14:paraId="7B7D1772" w14:textId="77777777" w:rsidR="00995E2A" w:rsidRPr="00800D22" w:rsidRDefault="00995E2A" w:rsidP="000A32F1">
            <w:pPr>
              <w:rPr>
                <w:sz w:val="18"/>
                <w:szCs w:val="18"/>
              </w:rPr>
            </w:pPr>
            <w:r w:rsidRPr="00800D22">
              <w:rPr>
                <w:sz w:val="18"/>
                <w:szCs w:val="18"/>
              </w:rPr>
              <w:t>7</w:t>
            </w:r>
            <w:r w:rsidRPr="00800D22">
              <w:rPr>
                <w:sz w:val="18"/>
                <w:szCs w:val="18"/>
                <w:vertAlign w:val="superscript"/>
              </w:rPr>
              <w:t>th</w:t>
            </w:r>
          </w:p>
        </w:tc>
        <w:tc>
          <w:tcPr>
            <w:tcW w:w="1556" w:type="pct"/>
            <w:vAlign w:val="center"/>
          </w:tcPr>
          <w:p w14:paraId="08F96CA6" w14:textId="77777777" w:rsidR="00995E2A" w:rsidRPr="00800D22" w:rsidRDefault="00995E2A" w:rsidP="000A32F1">
            <w:pPr>
              <w:autoSpaceDE w:val="0"/>
              <w:autoSpaceDN w:val="0"/>
              <w:adjustRightInd w:val="0"/>
              <w:rPr>
                <w:sz w:val="18"/>
                <w:szCs w:val="18"/>
              </w:rPr>
            </w:pPr>
            <w:r w:rsidRPr="00800D22">
              <w:rPr>
                <w:sz w:val="18"/>
                <w:szCs w:val="18"/>
              </w:rPr>
              <w:t>5</w:t>
            </w:r>
            <w:r w:rsidRPr="00800D22">
              <w:rPr>
                <w:sz w:val="18"/>
                <w:szCs w:val="18"/>
                <w:vertAlign w:val="superscript"/>
              </w:rPr>
              <w:t>th</w:t>
            </w:r>
            <w:r w:rsidRPr="00800D22">
              <w:rPr>
                <w:sz w:val="18"/>
                <w:szCs w:val="18"/>
              </w:rPr>
              <w:t xml:space="preserve"> SME Securitization</w:t>
            </w:r>
          </w:p>
        </w:tc>
        <w:tc>
          <w:tcPr>
            <w:tcW w:w="795" w:type="pct"/>
            <w:vAlign w:val="center"/>
          </w:tcPr>
          <w:p w14:paraId="63C9D613" w14:textId="77777777" w:rsidR="00995E2A" w:rsidRPr="00800D22" w:rsidRDefault="00995E2A" w:rsidP="000A32F1">
            <w:pPr>
              <w:autoSpaceDE w:val="0"/>
              <w:autoSpaceDN w:val="0"/>
              <w:adjustRightInd w:val="0"/>
              <w:rPr>
                <w:sz w:val="18"/>
                <w:szCs w:val="18"/>
              </w:rPr>
            </w:pPr>
            <w:r w:rsidRPr="00800D22">
              <w:rPr>
                <w:sz w:val="18"/>
                <w:szCs w:val="18"/>
              </w:rPr>
              <w:t>2004.02.27</w:t>
            </w:r>
          </w:p>
        </w:tc>
        <w:tc>
          <w:tcPr>
            <w:tcW w:w="976" w:type="pct"/>
            <w:vAlign w:val="center"/>
          </w:tcPr>
          <w:p w14:paraId="51267277" w14:textId="77777777" w:rsidR="00995E2A" w:rsidRPr="00800D22" w:rsidRDefault="00995E2A" w:rsidP="000A32F1">
            <w:pPr>
              <w:autoSpaceDE w:val="0"/>
              <w:autoSpaceDN w:val="0"/>
              <w:adjustRightInd w:val="0"/>
              <w:rPr>
                <w:sz w:val="18"/>
                <w:szCs w:val="18"/>
              </w:rPr>
            </w:pPr>
            <w:r w:rsidRPr="00800D22">
              <w:rPr>
                <w:sz w:val="18"/>
                <w:szCs w:val="18"/>
              </w:rPr>
              <w:t>944</w:t>
            </w:r>
            <w:r w:rsidRPr="00800D22">
              <w:rPr>
                <w:sz w:val="18"/>
                <w:szCs w:val="18"/>
              </w:rPr>
              <w:t>亿韩元</w:t>
            </w:r>
          </w:p>
        </w:tc>
        <w:tc>
          <w:tcPr>
            <w:tcW w:w="726" w:type="pct"/>
            <w:vAlign w:val="center"/>
          </w:tcPr>
          <w:p w14:paraId="4B0217B8" w14:textId="77777777" w:rsidR="00995E2A" w:rsidRPr="00800D22" w:rsidRDefault="00995E2A" w:rsidP="000A32F1">
            <w:pPr>
              <w:autoSpaceDE w:val="0"/>
              <w:autoSpaceDN w:val="0"/>
              <w:adjustRightInd w:val="0"/>
              <w:rPr>
                <w:sz w:val="18"/>
                <w:szCs w:val="18"/>
              </w:rPr>
            </w:pPr>
            <w:r w:rsidRPr="00800D22">
              <w:rPr>
                <w:sz w:val="18"/>
                <w:szCs w:val="18"/>
              </w:rPr>
              <w:t>38</w:t>
            </w:r>
          </w:p>
        </w:tc>
        <w:tc>
          <w:tcPr>
            <w:tcW w:w="580" w:type="pct"/>
            <w:vAlign w:val="center"/>
          </w:tcPr>
          <w:p w14:paraId="2A54DB8A" w14:textId="77777777" w:rsidR="00995E2A" w:rsidRPr="00800D22" w:rsidRDefault="00995E2A" w:rsidP="000A32F1">
            <w:pPr>
              <w:autoSpaceDE w:val="0"/>
              <w:autoSpaceDN w:val="0"/>
              <w:adjustRightInd w:val="0"/>
              <w:rPr>
                <w:sz w:val="18"/>
                <w:szCs w:val="18"/>
              </w:rPr>
            </w:pPr>
            <w:r w:rsidRPr="00800D22">
              <w:rPr>
                <w:sz w:val="18"/>
                <w:szCs w:val="18"/>
              </w:rPr>
              <w:t>B+</w:t>
            </w:r>
          </w:p>
        </w:tc>
      </w:tr>
      <w:tr w:rsidR="00995E2A" w:rsidRPr="00800D22" w14:paraId="1D5F671C" w14:textId="77777777" w:rsidTr="000A32F1">
        <w:trPr>
          <w:trHeight w:val="513"/>
        </w:trPr>
        <w:tc>
          <w:tcPr>
            <w:tcW w:w="367" w:type="pct"/>
            <w:vAlign w:val="center"/>
          </w:tcPr>
          <w:p w14:paraId="3746254E" w14:textId="77777777" w:rsidR="00995E2A" w:rsidRPr="00800D22" w:rsidRDefault="00995E2A" w:rsidP="000A32F1">
            <w:pPr>
              <w:rPr>
                <w:sz w:val="18"/>
                <w:szCs w:val="18"/>
              </w:rPr>
            </w:pPr>
            <w:r w:rsidRPr="00800D22">
              <w:rPr>
                <w:sz w:val="18"/>
                <w:szCs w:val="18"/>
              </w:rPr>
              <w:t>8</w:t>
            </w:r>
            <w:r w:rsidRPr="00800D22">
              <w:rPr>
                <w:sz w:val="18"/>
                <w:szCs w:val="18"/>
                <w:vertAlign w:val="superscript"/>
              </w:rPr>
              <w:t>th</w:t>
            </w:r>
          </w:p>
        </w:tc>
        <w:tc>
          <w:tcPr>
            <w:tcW w:w="1556" w:type="pct"/>
            <w:vAlign w:val="center"/>
          </w:tcPr>
          <w:p w14:paraId="1911DFC1" w14:textId="77777777" w:rsidR="00995E2A" w:rsidRPr="00800D22" w:rsidRDefault="00995E2A" w:rsidP="000A32F1">
            <w:pPr>
              <w:autoSpaceDE w:val="0"/>
              <w:autoSpaceDN w:val="0"/>
              <w:adjustRightInd w:val="0"/>
              <w:rPr>
                <w:sz w:val="18"/>
                <w:szCs w:val="18"/>
              </w:rPr>
            </w:pPr>
            <w:r w:rsidRPr="00800D22">
              <w:rPr>
                <w:sz w:val="18"/>
                <w:szCs w:val="18"/>
              </w:rPr>
              <w:t>Yen CBO Securitization</w:t>
            </w:r>
          </w:p>
          <w:p w14:paraId="5DC1AE5A" w14:textId="77777777" w:rsidR="00995E2A" w:rsidRPr="00800D22" w:rsidRDefault="00995E2A" w:rsidP="000A32F1">
            <w:pPr>
              <w:autoSpaceDE w:val="0"/>
              <w:autoSpaceDN w:val="0"/>
              <w:adjustRightInd w:val="0"/>
              <w:rPr>
                <w:sz w:val="18"/>
                <w:szCs w:val="18"/>
              </w:rPr>
            </w:pPr>
            <w:r w:rsidRPr="00800D22">
              <w:rPr>
                <w:sz w:val="18"/>
                <w:szCs w:val="18"/>
              </w:rPr>
              <w:t>(6</w:t>
            </w:r>
            <w:r w:rsidRPr="00800D22">
              <w:rPr>
                <w:sz w:val="18"/>
                <w:szCs w:val="18"/>
                <w:vertAlign w:val="superscript"/>
              </w:rPr>
              <w:t>th</w:t>
            </w:r>
            <w:r w:rsidRPr="00800D22">
              <w:rPr>
                <w:sz w:val="18"/>
                <w:szCs w:val="18"/>
              </w:rPr>
              <w:t xml:space="preserve"> SME Securitization)</w:t>
            </w:r>
          </w:p>
        </w:tc>
        <w:tc>
          <w:tcPr>
            <w:tcW w:w="795" w:type="pct"/>
            <w:vAlign w:val="center"/>
          </w:tcPr>
          <w:p w14:paraId="6A4A9839" w14:textId="77777777" w:rsidR="00995E2A" w:rsidRPr="00800D22" w:rsidRDefault="00995E2A" w:rsidP="000A32F1">
            <w:pPr>
              <w:autoSpaceDE w:val="0"/>
              <w:autoSpaceDN w:val="0"/>
              <w:adjustRightInd w:val="0"/>
              <w:rPr>
                <w:sz w:val="18"/>
                <w:szCs w:val="18"/>
              </w:rPr>
            </w:pPr>
            <w:r w:rsidRPr="00800D22">
              <w:rPr>
                <w:sz w:val="18"/>
                <w:szCs w:val="18"/>
              </w:rPr>
              <w:t>2004.12.13</w:t>
            </w:r>
          </w:p>
        </w:tc>
        <w:tc>
          <w:tcPr>
            <w:tcW w:w="976" w:type="pct"/>
            <w:vAlign w:val="center"/>
          </w:tcPr>
          <w:p w14:paraId="4ABEA144" w14:textId="77777777" w:rsidR="00995E2A" w:rsidRPr="00800D22" w:rsidRDefault="00995E2A" w:rsidP="000A32F1">
            <w:pPr>
              <w:autoSpaceDE w:val="0"/>
              <w:autoSpaceDN w:val="0"/>
              <w:adjustRightInd w:val="0"/>
              <w:rPr>
                <w:sz w:val="18"/>
                <w:szCs w:val="18"/>
              </w:rPr>
            </w:pPr>
            <w:r w:rsidRPr="00800D22">
              <w:rPr>
                <w:sz w:val="18"/>
                <w:szCs w:val="18"/>
              </w:rPr>
              <w:t>100</w:t>
            </w:r>
            <w:r w:rsidRPr="00800D22">
              <w:rPr>
                <w:sz w:val="18"/>
                <w:szCs w:val="18"/>
              </w:rPr>
              <w:t>亿日元</w:t>
            </w:r>
          </w:p>
        </w:tc>
        <w:tc>
          <w:tcPr>
            <w:tcW w:w="726" w:type="pct"/>
            <w:vAlign w:val="center"/>
          </w:tcPr>
          <w:p w14:paraId="0E3D9063" w14:textId="77777777" w:rsidR="00995E2A" w:rsidRPr="00800D22" w:rsidRDefault="00995E2A" w:rsidP="000A32F1">
            <w:pPr>
              <w:autoSpaceDE w:val="0"/>
              <w:autoSpaceDN w:val="0"/>
              <w:adjustRightInd w:val="0"/>
              <w:rPr>
                <w:sz w:val="18"/>
                <w:szCs w:val="18"/>
              </w:rPr>
            </w:pPr>
            <w:r w:rsidRPr="00800D22">
              <w:rPr>
                <w:sz w:val="18"/>
                <w:szCs w:val="18"/>
              </w:rPr>
              <w:t>46</w:t>
            </w:r>
          </w:p>
        </w:tc>
        <w:tc>
          <w:tcPr>
            <w:tcW w:w="580" w:type="pct"/>
            <w:vAlign w:val="center"/>
          </w:tcPr>
          <w:p w14:paraId="6AD8E1E8" w14:textId="77777777" w:rsidR="00995E2A" w:rsidRPr="00800D22" w:rsidRDefault="00995E2A" w:rsidP="000A32F1">
            <w:pPr>
              <w:autoSpaceDE w:val="0"/>
              <w:autoSpaceDN w:val="0"/>
              <w:adjustRightInd w:val="0"/>
              <w:rPr>
                <w:sz w:val="18"/>
                <w:szCs w:val="18"/>
              </w:rPr>
            </w:pPr>
            <w:r w:rsidRPr="00800D22">
              <w:rPr>
                <w:sz w:val="18"/>
                <w:szCs w:val="18"/>
              </w:rPr>
              <w:t>B+</w:t>
            </w:r>
          </w:p>
        </w:tc>
      </w:tr>
      <w:tr w:rsidR="00995E2A" w:rsidRPr="00800D22" w14:paraId="05136E32" w14:textId="77777777" w:rsidTr="000A32F1">
        <w:tc>
          <w:tcPr>
            <w:tcW w:w="367" w:type="pct"/>
            <w:vAlign w:val="center"/>
          </w:tcPr>
          <w:p w14:paraId="70037150" w14:textId="77777777" w:rsidR="00995E2A" w:rsidRPr="00800D22" w:rsidRDefault="00995E2A" w:rsidP="000A32F1">
            <w:pPr>
              <w:rPr>
                <w:sz w:val="18"/>
                <w:szCs w:val="18"/>
              </w:rPr>
            </w:pPr>
            <w:r w:rsidRPr="00800D22">
              <w:rPr>
                <w:sz w:val="18"/>
                <w:szCs w:val="18"/>
              </w:rPr>
              <w:t>9</w:t>
            </w:r>
            <w:r w:rsidRPr="00800D22">
              <w:rPr>
                <w:sz w:val="18"/>
                <w:szCs w:val="18"/>
                <w:vertAlign w:val="superscript"/>
              </w:rPr>
              <w:t>th</w:t>
            </w:r>
          </w:p>
        </w:tc>
        <w:tc>
          <w:tcPr>
            <w:tcW w:w="1556" w:type="pct"/>
            <w:vAlign w:val="center"/>
          </w:tcPr>
          <w:p w14:paraId="4F1F0997" w14:textId="77777777" w:rsidR="00995E2A" w:rsidRPr="00800D22" w:rsidRDefault="00995E2A" w:rsidP="000A32F1">
            <w:pPr>
              <w:autoSpaceDE w:val="0"/>
              <w:autoSpaceDN w:val="0"/>
              <w:adjustRightInd w:val="0"/>
              <w:rPr>
                <w:sz w:val="18"/>
                <w:szCs w:val="18"/>
              </w:rPr>
            </w:pPr>
            <w:r w:rsidRPr="00800D22">
              <w:rPr>
                <w:sz w:val="18"/>
                <w:szCs w:val="18"/>
              </w:rPr>
              <w:t>7</w:t>
            </w:r>
            <w:r w:rsidRPr="00800D22">
              <w:rPr>
                <w:sz w:val="18"/>
                <w:szCs w:val="18"/>
                <w:vertAlign w:val="superscript"/>
              </w:rPr>
              <w:t>th</w:t>
            </w:r>
            <w:r w:rsidRPr="00800D22">
              <w:rPr>
                <w:sz w:val="18"/>
                <w:szCs w:val="18"/>
              </w:rPr>
              <w:t xml:space="preserve"> SME Securitization</w:t>
            </w:r>
          </w:p>
        </w:tc>
        <w:tc>
          <w:tcPr>
            <w:tcW w:w="795" w:type="pct"/>
            <w:vAlign w:val="center"/>
          </w:tcPr>
          <w:p w14:paraId="74BFC5B0" w14:textId="77777777" w:rsidR="00995E2A" w:rsidRPr="00800D22" w:rsidRDefault="00995E2A" w:rsidP="000A32F1">
            <w:pPr>
              <w:autoSpaceDE w:val="0"/>
              <w:autoSpaceDN w:val="0"/>
              <w:adjustRightInd w:val="0"/>
              <w:rPr>
                <w:sz w:val="18"/>
                <w:szCs w:val="18"/>
              </w:rPr>
            </w:pPr>
            <w:r w:rsidRPr="00800D22">
              <w:rPr>
                <w:sz w:val="18"/>
                <w:szCs w:val="18"/>
              </w:rPr>
              <w:t>2004.10.08</w:t>
            </w:r>
          </w:p>
        </w:tc>
        <w:tc>
          <w:tcPr>
            <w:tcW w:w="976" w:type="pct"/>
            <w:vAlign w:val="center"/>
          </w:tcPr>
          <w:p w14:paraId="7C0FD6FD" w14:textId="77777777" w:rsidR="00995E2A" w:rsidRPr="00800D22" w:rsidRDefault="00995E2A" w:rsidP="000A32F1">
            <w:pPr>
              <w:autoSpaceDE w:val="0"/>
              <w:autoSpaceDN w:val="0"/>
              <w:adjustRightInd w:val="0"/>
              <w:rPr>
                <w:sz w:val="18"/>
                <w:szCs w:val="18"/>
              </w:rPr>
            </w:pPr>
            <w:r w:rsidRPr="00800D22">
              <w:rPr>
                <w:sz w:val="18"/>
                <w:szCs w:val="18"/>
              </w:rPr>
              <w:t>935</w:t>
            </w:r>
            <w:r w:rsidRPr="00800D22">
              <w:rPr>
                <w:sz w:val="18"/>
                <w:szCs w:val="18"/>
              </w:rPr>
              <w:t>亿韩元</w:t>
            </w:r>
          </w:p>
        </w:tc>
        <w:tc>
          <w:tcPr>
            <w:tcW w:w="726" w:type="pct"/>
            <w:vAlign w:val="center"/>
          </w:tcPr>
          <w:p w14:paraId="06B7910A" w14:textId="77777777" w:rsidR="00995E2A" w:rsidRPr="00800D22" w:rsidRDefault="00995E2A" w:rsidP="000A32F1">
            <w:pPr>
              <w:autoSpaceDE w:val="0"/>
              <w:autoSpaceDN w:val="0"/>
              <w:adjustRightInd w:val="0"/>
              <w:rPr>
                <w:sz w:val="18"/>
                <w:szCs w:val="18"/>
              </w:rPr>
            </w:pPr>
            <w:r w:rsidRPr="00800D22">
              <w:rPr>
                <w:sz w:val="18"/>
                <w:szCs w:val="18"/>
              </w:rPr>
              <w:t>43</w:t>
            </w:r>
          </w:p>
        </w:tc>
        <w:tc>
          <w:tcPr>
            <w:tcW w:w="580" w:type="pct"/>
            <w:vAlign w:val="center"/>
          </w:tcPr>
          <w:p w14:paraId="4B43DA1D" w14:textId="77777777" w:rsidR="00995E2A" w:rsidRPr="00800D22" w:rsidRDefault="00995E2A" w:rsidP="000A32F1">
            <w:pPr>
              <w:autoSpaceDE w:val="0"/>
              <w:autoSpaceDN w:val="0"/>
              <w:adjustRightInd w:val="0"/>
              <w:rPr>
                <w:sz w:val="18"/>
                <w:szCs w:val="18"/>
              </w:rPr>
            </w:pPr>
            <w:r w:rsidRPr="00800D22">
              <w:rPr>
                <w:sz w:val="18"/>
                <w:szCs w:val="18"/>
              </w:rPr>
              <w:t>B+</w:t>
            </w:r>
          </w:p>
        </w:tc>
      </w:tr>
      <w:tr w:rsidR="00995E2A" w:rsidRPr="00800D22" w14:paraId="3B3FC265" w14:textId="77777777" w:rsidTr="000A32F1">
        <w:tc>
          <w:tcPr>
            <w:tcW w:w="367" w:type="pct"/>
            <w:vAlign w:val="center"/>
          </w:tcPr>
          <w:p w14:paraId="5577179B" w14:textId="77777777" w:rsidR="00995E2A" w:rsidRPr="00800D22" w:rsidRDefault="00995E2A" w:rsidP="000A32F1">
            <w:pPr>
              <w:rPr>
                <w:sz w:val="18"/>
                <w:szCs w:val="18"/>
              </w:rPr>
            </w:pPr>
            <w:r w:rsidRPr="00800D22">
              <w:rPr>
                <w:sz w:val="18"/>
                <w:szCs w:val="18"/>
              </w:rPr>
              <w:t>10</w:t>
            </w:r>
            <w:r w:rsidRPr="00800D22">
              <w:rPr>
                <w:sz w:val="18"/>
                <w:szCs w:val="18"/>
                <w:vertAlign w:val="superscript"/>
              </w:rPr>
              <w:t>th</w:t>
            </w:r>
          </w:p>
        </w:tc>
        <w:tc>
          <w:tcPr>
            <w:tcW w:w="1556" w:type="pct"/>
            <w:vAlign w:val="center"/>
          </w:tcPr>
          <w:p w14:paraId="54D16BED" w14:textId="77777777" w:rsidR="00995E2A" w:rsidRPr="00800D22" w:rsidRDefault="00995E2A" w:rsidP="000A32F1">
            <w:pPr>
              <w:autoSpaceDE w:val="0"/>
              <w:autoSpaceDN w:val="0"/>
              <w:adjustRightInd w:val="0"/>
              <w:rPr>
                <w:sz w:val="18"/>
                <w:szCs w:val="18"/>
              </w:rPr>
            </w:pPr>
            <w:proofErr w:type="spellStart"/>
            <w:r w:rsidRPr="00800D22">
              <w:rPr>
                <w:sz w:val="18"/>
                <w:szCs w:val="18"/>
              </w:rPr>
              <w:t>Piraruku</w:t>
            </w:r>
            <w:proofErr w:type="spellEnd"/>
            <w:r w:rsidRPr="00800D22">
              <w:rPr>
                <w:sz w:val="18"/>
                <w:szCs w:val="18"/>
              </w:rPr>
              <w:t xml:space="preserve"> Fund Ltd</w:t>
            </w:r>
          </w:p>
        </w:tc>
        <w:tc>
          <w:tcPr>
            <w:tcW w:w="795" w:type="pct"/>
            <w:vAlign w:val="center"/>
          </w:tcPr>
          <w:p w14:paraId="01263C0B" w14:textId="77777777" w:rsidR="00995E2A" w:rsidRPr="00800D22" w:rsidRDefault="00995E2A" w:rsidP="000A32F1">
            <w:pPr>
              <w:autoSpaceDE w:val="0"/>
              <w:autoSpaceDN w:val="0"/>
              <w:adjustRightInd w:val="0"/>
              <w:rPr>
                <w:sz w:val="18"/>
                <w:szCs w:val="18"/>
              </w:rPr>
            </w:pPr>
            <w:r w:rsidRPr="00800D22">
              <w:rPr>
                <w:sz w:val="18"/>
                <w:szCs w:val="18"/>
              </w:rPr>
              <w:t>2004.12.14</w:t>
            </w:r>
          </w:p>
        </w:tc>
        <w:tc>
          <w:tcPr>
            <w:tcW w:w="976" w:type="pct"/>
            <w:vAlign w:val="center"/>
          </w:tcPr>
          <w:p w14:paraId="32DA166A" w14:textId="77777777" w:rsidR="00995E2A" w:rsidRPr="00800D22" w:rsidRDefault="00995E2A" w:rsidP="000A32F1">
            <w:pPr>
              <w:autoSpaceDE w:val="0"/>
              <w:autoSpaceDN w:val="0"/>
              <w:adjustRightInd w:val="0"/>
              <w:rPr>
                <w:sz w:val="18"/>
                <w:szCs w:val="18"/>
              </w:rPr>
            </w:pPr>
            <w:r w:rsidRPr="00800D22">
              <w:rPr>
                <w:sz w:val="18"/>
                <w:szCs w:val="18"/>
              </w:rPr>
              <w:t>1.66</w:t>
            </w:r>
            <w:r w:rsidRPr="00800D22">
              <w:rPr>
                <w:sz w:val="18"/>
                <w:szCs w:val="18"/>
              </w:rPr>
              <w:t>亿美元</w:t>
            </w:r>
          </w:p>
        </w:tc>
        <w:tc>
          <w:tcPr>
            <w:tcW w:w="726" w:type="pct"/>
            <w:vAlign w:val="center"/>
          </w:tcPr>
          <w:p w14:paraId="739A9E9F" w14:textId="77777777" w:rsidR="00995E2A" w:rsidRPr="00800D22" w:rsidRDefault="00995E2A" w:rsidP="000A32F1">
            <w:pPr>
              <w:autoSpaceDE w:val="0"/>
              <w:autoSpaceDN w:val="0"/>
              <w:adjustRightInd w:val="0"/>
              <w:rPr>
                <w:sz w:val="18"/>
                <w:szCs w:val="18"/>
              </w:rPr>
            </w:pPr>
            <w:r w:rsidRPr="00800D22">
              <w:rPr>
                <w:sz w:val="18"/>
                <w:szCs w:val="18"/>
              </w:rPr>
              <w:t>74</w:t>
            </w:r>
          </w:p>
        </w:tc>
        <w:tc>
          <w:tcPr>
            <w:tcW w:w="580" w:type="pct"/>
            <w:vAlign w:val="center"/>
          </w:tcPr>
          <w:p w14:paraId="0DC4355C" w14:textId="77777777" w:rsidR="00995E2A" w:rsidRPr="00800D22" w:rsidRDefault="00995E2A" w:rsidP="000A32F1">
            <w:pPr>
              <w:autoSpaceDE w:val="0"/>
              <w:autoSpaceDN w:val="0"/>
              <w:adjustRightInd w:val="0"/>
              <w:rPr>
                <w:sz w:val="18"/>
                <w:szCs w:val="18"/>
              </w:rPr>
            </w:pPr>
            <w:r w:rsidRPr="00800D22">
              <w:rPr>
                <w:sz w:val="18"/>
                <w:szCs w:val="18"/>
              </w:rPr>
              <w:t>B+</w:t>
            </w:r>
          </w:p>
        </w:tc>
      </w:tr>
      <w:tr w:rsidR="00995E2A" w:rsidRPr="00800D22" w14:paraId="4277027A" w14:textId="77777777" w:rsidTr="000A32F1">
        <w:tc>
          <w:tcPr>
            <w:tcW w:w="367" w:type="pct"/>
            <w:vAlign w:val="center"/>
          </w:tcPr>
          <w:p w14:paraId="18116A78" w14:textId="77777777" w:rsidR="00995E2A" w:rsidRPr="00800D22" w:rsidRDefault="00995E2A" w:rsidP="000A32F1">
            <w:pPr>
              <w:rPr>
                <w:sz w:val="18"/>
                <w:szCs w:val="18"/>
              </w:rPr>
            </w:pPr>
            <w:r w:rsidRPr="00800D22">
              <w:rPr>
                <w:sz w:val="18"/>
                <w:szCs w:val="18"/>
              </w:rPr>
              <w:t>11</w:t>
            </w:r>
            <w:r w:rsidRPr="00800D22">
              <w:rPr>
                <w:sz w:val="18"/>
                <w:szCs w:val="18"/>
                <w:vertAlign w:val="superscript"/>
              </w:rPr>
              <w:t>th</w:t>
            </w:r>
          </w:p>
        </w:tc>
        <w:tc>
          <w:tcPr>
            <w:tcW w:w="1556" w:type="pct"/>
            <w:vAlign w:val="center"/>
          </w:tcPr>
          <w:p w14:paraId="6F2E45E6" w14:textId="77777777" w:rsidR="00995E2A" w:rsidRPr="00800D22" w:rsidRDefault="00995E2A" w:rsidP="000A32F1">
            <w:pPr>
              <w:autoSpaceDE w:val="0"/>
              <w:autoSpaceDN w:val="0"/>
              <w:adjustRightInd w:val="0"/>
              <w:rPr>
                <w:sz w:val="18"/>
                <w:szCs w:val="18"/>
              </w:rPr>
            </w:pPr>
            <w:r w:rsidRPr="00800D22">
              <w:rPr>
                <w:sz w:val="18"/>
                <w:szCs w:val="18"/>
              </w:rPr>
              <w:t>8</w:t>
            </w:r>
            <w:r w:rsidRPr="00800D22">
              <w:rPr>
                <w:sz w:val="18"/>
                <w:szCs w:val="18"/>
                <w:vertAlign w:val="superscript"/>
              </w:rPr>
              <w:t>th</w:t>
            </w:r>
            <w:r w:rsidRPr="00800D22">
              <w:rPr>
                <w:sz w:val="18"/>
                <w:szCs w:val="18"/>
              </w:rPr>
              <w:t xml:space="preserve"> SME Securitization</w:t>
            </w:r>
          </w:p>
        </w:tc>
        <w:tc>
          <w:tcPr>
            <w:tcW w:w="795" w:type="pct"/>
            <w:vAlign w:val="center"/>
          </w:tcPr>
          <w:p w14:paraId="5D3C6D42" w14:textId="77777777" w:rsidR="00995E2A" w:rsidRPr="00800D22" w:rsidRDefault="00995E2A" w:rsidP="000A32F1">
            <w:pPr>
              <w:autoSpaceDE w:val="0"/>
              <w:autoSpaceDN w:val="0"/>
              <w:adjustRightInd w:val="0"/>
              <w:rPr>
                <w:sz w:val="18"/>
                <w:szCs w:val="18"/>
              </w:rPr>
            </w:pPr>
            <w:r w:rsidRPr="00800D22">
              <w:rPr>
                <w:sz w:val="18"/>
                <w:szCs w:val="18"/>
              </w:rPr>
              <w:t>2005.06.30</w:t>
            </w:r>
          </w:p>
        </w:tc>
        <w:tc>
          <w:tcPr>
            <w:tcW w:w="976" w:type="pct"/>
            <w:vAlign w:val="center"/>
          </w:tcPr>
          <w:p w14:paraId="72385B9C" w14:textId="77777777" w:rsidR="00995E2A" w:rsidRPr="00800D22" w:rsidRDefault="00995E2A" w:rsidP="000A32F1">
            <w:pPr>
              <w:autoSpaceDE w:val="0"/>
              <w:autoSpaceDN w:val="0"/>
              <w:adjustRightInd w:val="0"/>
              <w:rPr>
                <w:sz w:val="18"/>
                <w:szCs w:val="18"/>
              </w:rPr>
            </w:pPr>
            <w:r w:rsidRPr="00800D22">
              <w:rPr>
                <w:sz w:val="18"/>
                <w:szCs w:val="18"/>
              </w:rPr>
              <w:t>847</w:t>
            </w:r>
            <w:r w:rsidRPr="00800D22">
              <w:rPr>
                <w:sz w:val="18"/>
                <w:szCs w:val="18"/>
              </w:rPr>
              <w:t>亿韩元</w:t>
            </w:r>
          </w:p>
        </w:tc>
        <w:tc>
          <w:tcPr>
            <w:tcW w:w="726" w:type="pct"/>
            <w:vAlign w:val="center"/>
          </w:tcPr>
          <w:p w14:paraId="771F5951" w14:textId="77777777" w:rsidR="00995E2A" w:rsidRPr="00800D22" w:rsidRDefault="00995E2A" w:rsidP="000A32F1">
            <w:pPr>
              <w:autoSpaceDE w:val="0"/>
              <w:autoSpaceDN w:val="0"/>
              <w:adjustRightInd w:val="0"/>
              <w:rPr>
                <w:sz w:val="18"/>
                <w:szCs w:val="18"/>
              </w:rPr>
            </w:pPr>
            <w:r w:rsidRPr="00800D22">
              <w:rPr>
                <w:sz w:val="18"/>
                <w:szCs w:val="18"/>
              </w:rPr>
              <w:t>48</w:t>
            </w:r>
          </w:p>
        </w:tc>
        <w:tc>
          <w:tcPr>
            <w:tcW w:w="580" w:type="pct"/>
            <w:vAlign w:val="center"/>
          </w:tcPr>
          <w:p w14:paraId="08B27D21" w14:textId="77777777" w:rsidR="00995E2A" w:rsidRPr="00800D22" w:rsidRDefault="00995E2A" w:rsidP="000A32F1">
            <w:pPr>
              <w:autoSpaceDE w:val="0"/>
              <w:autoSpaceDN w:val="0"/>
              <w:adjustRightInd w:val="0"/>
              <w:rPr>
                <w:sz w:val="18"/>
                <w:szCs w:val="18"/>
              </w:rPr>
            </w:pPr>
            <w:r w:rsidRPr="00800D22">
              <w:rPr>
                <w:sz w:val="18"/>
                <w:szCs w:val="18"/>
              </w:rPr>
              <w:t>B+</w:t>
            </w:r>
          </w:p>
        </w:tc>
      </w:tr>
      <w:tr w:rsidR="00995E2A" w:rsidRPr="00800D22" w14:paraId="6BDF0278" w14:textId="77777777" w:rsidTr="000A32F1">
        <w:tc>
          <w:tcPr>
            <w:tcW w:w="367" w:type="pct"/>
            <w:vAlign w:val="center"/>
          </w:tcPr>
          <w:p w14:paraId="6AA6D198" w14:textId="77777777" w:rsidR="00995E2A" w:rsidRPr="00800D22" w:rsidRDefault="00995E2A" w:rsidP="000A32F1">
            <w:pPr>
              <w:rPr>
                <w:sz w:val="18"/>
                <w:szCs w:val="18"/>
              </w:rPr>
            </w:pPr>
          </w:p>
        </w:tc>
        <w:tc>
          <w:tcPr>
            <w:tcW w:w="1556" w:type="pct"/>
            <w:vAlign w:val="center"/>
          </w:tcPr>
          <w:p w14:paraId="1CC394CE" w14:textId="77777777" w:rsidR="00995E2A" w:rsidRPr="00800D22" w:rsidRDefault="00995E2A" w:rsidP="000A32F1">
            <w:pPr>
              <w:autoSpaceDE w:val="0"/>
              <w:autoSpaceDN w:val="0"/>
              <w:adjustRightInd w:val="0"/>
              <w:rPr>
                <w:sz w:val="18"/>
                <w:szCs w:val="18"/>
              </w:rPr>
            </w:pPr>
            <w:r w:rsidRPr="00800D22">
              <w:rPr>
                <w:sz w:val="18"/>
                <w:szCs w:val="18"/>
              </w:rPr>
              <w:t>合计</w:t>
            </w:r>
          </w:p>
        </w:tc>
        <w:tc>
          <w:tcPr>
            <w:tcW w:w="795" w:type="pct"/>
            <w:vAlign w:val="center"/>
          </w:tcPr>
          <w:p w14:paraId="16305B7C" w14:textId="77777777" w:rsidR="00995E2A" w:rsidRPr="00800D22" w:rsidRDefault="00995E2A" w:rsidP="000A32F1">
            <w:pPr>
              <w:autoSpaceDE w:val="0"/>
              <w:autoSpaceDN w:val="0"/>
              <w:adjustRightInd w:val="0"/>
              <w:rPr>
                <w:sz w:val="18"/>
                <w:szCs w:val="18"/>
              </w:rPr>
            </w:pPr>
          </w:p>
        </w:tc>
        <w:tc>
          <w:tcPr>
            <w:tcW w:w="976" w:type="pct"/>
            <w:vAlign w:val="center"/>
          </w:tcPr>
          <w:p w14:paraId="583263CF" w14:textId="77777777" w:rsidR="00995E2A" w:rsidRPr="00800D22" w:rsidRDefault="00995E2A" w:rsidP="000A32F1">
            <w:pPr>
              <w:autoSpaceDE w:val="0"/>
              <w:autoSpaceDN w:val="0"/>
              <w:adjustRightInd w:val="0"/>
              <w:rPr>
                <w:sz w:val="18"/>
                <w:szCs w:val="18"/>
              </w:rPr>
            </w:pPr>
            <w:r w:rsidRPr="00800D22">
              <w:rPr>
                <w:sz w:val="18"/>
                <w:szCs w:val="18"/>
              </w:rPr>
              <w:t>18,347</w:t>
            </w:r>
            <w:r w:rsidRPr="00800D22">
              <w:rPr>
                <w:sz w:val="18"/>
                <w:szCs w:val="18"/>
              </w:rPr>
              <w:t>亿韩元</w:t>
            </w:r>
          </w:p>
        </w:tc>
        <w:tc>
          <w:tcPr>
            <w:tcW w:w="726" w:type="pct"/>
            <w:vAlign w:val="center"/>
          </w:tcPr>
          <w:p w14:paraId="202BEC25" w14:textId="77777777" w:rsidR="00995E2A" w:rsidRPr="00800D22" w:rsidRDefault="00995E2A" w:rsidP="000A32F1">
            <w:pPr>
              <w:autoSpaceDE w:val="0"/>
              <w:autoSpaceDN w:val="0"/>
              <w:adjustRightInd w:val="0"/>
              <w:rPr>
                <w:sz w:val="18"/>
                <w:szCs w:val="18"/>
              </w:rPr>
            </w:pPr>
            <w:r w:rsidRPr="00800D22">
              <w:rPr>
                <w:sz w:val="18"/>
                <w:szCs w:val="18"/>
              </w:rPr>
              <w:t>598</w:t>
            </w:r>
          </w:p>
        </w:tc>
        <w:tc>
          <w:tcPr>
            <w:tcW w:w="580" w:type="pct"/>
            <w:vAlign w:val="center"/>
          </w:tcPr>
          <w:p w14:paraId="500F0927" w14:textId="77777777" w:rsidR="00995E2A" w:rsidRPr="00800D22" w:rsidRDefault="00995E2A" w:rsidP="000A32F1">
            <w:pPr>
              <w:autoSpaceDE w:val="0"/>
              <w:autoSpaceDN w:val="0"/>
              <w:adjustRightInd w:val="0"/>
              <w:rPr>
                <w:rFonts w:hint="eastAsia"/>
                <w:sz w:val="18"/>
                <w:szCs w:val="18"/>
              </w:rPr>
            </w:pPr>
            <w:r w:rsidRPr="00800D22">
              <w:rPr>
                <w:rFonts w:hint="eastAsia"/>
                <w:sz w:val="18"/>
                <w:szCs w:val="18"/>
              </w:rPr>
              <w:t>-</w:t>
            </w:r>
          </w:p>
        </w:tc>
      </w:tr>
    </w:tbl>
    <w:p w14:paraId="656EA59C" w14:textId="77777777" w:rsidR="00995E2A" w:rsidRPr="00800D22" w:rsidRDefault="00995E2A" w:rsidP="00995E2A">
      <w:pPr>
        <w:autoSpaceDE w:val="0"/>
        <w:autoSpaceDN w:val="0"/>
        <w:adjustRightInd w:val="0"/>
        <w:rPr>
          <w:sz w:val="18"/>
          <w:szCs w:val="18"/>
        </w:rPr>
      </w:pPr>
      <w:r w:rsidRPr="00800D22">
        <w:rPr>
          <w:sz w:val="18"/>
          <w:szCs w:val="18"/>
        </w:rPr>
        <w:t>注：计算发行金额合计时，美元</w:t>
      </w:r>
      <w:r w:rsidRPr="00800D22">
        <w:rPr>
          <w:rFonts w:hint="eastAsia"/>
          <w:sz w:val="18"/>
          <w:szCs w:val="18"/>
        </w:rPr>
        <w:t>和</w:t>
      </w:r>
      <w:r w:rsidRPr="00800D22">
        <w:rPr>
          <w:sz w:val="18"/>
          <w:szCs w:val="18"/>
        </w:rPr>
        <w:t>日元发行金额均按发行时汇率折算。</w:t>
      </w:r>
    </w:p>
    <w:p w14:paraId="60D440CA" w14:textId="77777777" w:rsidR="00995E2A" w:rsidRPr="00800D22" w:rsidRDefault="00995E2A" w:rsidP="00995E2A">
      <w:pPr>
        <w:pStyle w:val="Default"/>
        <w:spacing w:afterLines="100" w:after="312"/>
        <w:rPr>
          <w:rFonts w:ascii="Times New Roman" w:hAnsi="Times New Roman" w:cs="Times New Roman"/>
          <w:color w:val="auto"/>
          <w:sz w:val="18"/>
          <w:szCs w:val="18"/>
        </w:rPr>
      </w:pPr>
      <w:r w:rsidRPr="00800D22">
        <w:rPr>
          <w:rFonts w:ascii="Times New Roman" w:hAnsi="Times New Roman" w:cs="Times New Roman"/>
          <w:color w:val="auto"/>
          <w:sz w:val="18"/>
          <w:szCs w:val="18"/>
        </w:rPr>
        <w:t>数据来源：</w:t>
      </w:r>
      <w:proofErr w:type="spellStart"/>
      <w:r w:rsidRPr="00800D22">
        <w:rPr>
          <w:rFonts w:ascii="Times New Roman" w:eastAsia="新宋体" w:hAnsi="Times New Roman" w:cs="Times New Roman"/>
          <w:color w:val="auto"/>
          <w:sz w:val="18"/>
          <w:szCs w:val="18"/>
        </w:rPr>
        <w:t>Gyutaeg</w:t>
      </w:r>
      <w:proofErr w:type="spellEnd"/>
      <w:r w:rsidRPr="00800D22">
        <w:rPr>
          <w:rFonts w:ascii="Times New Roman" w:eastAsia="新宋体" w:hAnsi="Times New Roman" w:cs="Times New Roman"/>
          <w:color w:val="auto"/>
          <w:sz w:val="18"/>
          <w:szCs w:val="18"/>
        </w:rPr>
        <w:t xml:space="preserve"> Oh. Risk Management in ABS Markets Case Study: Korea[J],Korea Fixed Income Research Institute,2005:1-48.</w:t>
      </w:r>
    </w:p>
    <w:p w14:paraId="49C66D88" w14:textId="77777777" w:rsidR="00995E2A" w:rsidRPr="00800D22" w:rsidRDefault="00995E2A" w:rsidP="00995E2A">
      <w:pPr>
        <w:autoSpaceDE w:val="0"/>
        <w:autoSpaceDN w:val="0"/>
        <w:adjustRightInd w:val="0"/>
        <w:spacing w:beforeLines="50" w:before="156" w:line="440" w:lineRule="exact"/>
        <w:ind w:firstLineChars="196" w:firstLine="472"/>
        <w:rPr>
          <w:b/>
          <w:sz w:val="24"/>
        </w:rPr>
      </w:pPr>
      <w:r w:rsidRPr="00800D22">
        <w:rPr>
          <w:b/>
          <w:sz w:val="24"/>
        </w:rPr>
        <w:t>创新</w:t>
      </w:r>
      <w:r w:rsidRPr="00800D22">
        <w:rPr>
          <w:b/>
          <w:sz w:val="24"/>
        </w:rPr>
        <w:t>1</w:t>
      </w:r>
      <w:r w:rsidRPr="00800D22">
        <w:rPr>
          <w:b/>
          <w:sz w:val="24"/>
        </w:rPr>
        <w:t>：引入第三方担保</w:t>
      </w:r>
    </w:p>
    <w:p w14:paraId="5C64E6AD" w14:textId="7F530662" w:rsidR="00995E2A" w:rsidRPr="00800D22" w:rsidRDefault="00995E2A" w:rsidP="00995E2A">
      <w:pPr>
        <w:spacing w:line="440" w:lineRule="exact"/>
        <w:ind w:firstLineChars="200" w:firstLine="480"/>
        <w:rPr>
          <w:rFonts w:hint="eastAsia"/>
          <w:sz w:val="24"/>
        </w:rPr>
      </w:pPr>
      <w:r w:rsidRPr="00800D22">
        <w:rPr>
          <w:sz w:val="24"/>
        </w:rPr>
        <w:t>P-CBO</w:t>
      </w:r>
      <w:r w:rsidRPr="00800D22">
        <w:rPr>
          <w:sz w:val="24"/>
        </w:rPr>
        <w:t>虽然为中小企业融资提供了便利，但</w:t>
      </w:r>
      <w:r w:rsidRPr="00800D22">
        <w:rPr>
          <w:sz w:val="24"/>
        </w:rPr>
        <w:t>P-CBO</w:t>
      </w:r>
      <w:r w:rsidRPr="00800D22">
        <w:rPr>
          <w:sz w:val="24"/>
        </w:rPr>
        <w:t>的发行也仍然面临一个难题：在韩国，中小企业的违约率较高（如表</w:t>
      </w:r>
      <w:r>
        <w:rPr>
          <w:rFonts w:hint="eastAsia"/>
          <w:sz w:val="24"/>
        </w:rPr>
        <w:t>5</w:t>
      </w:r>
      <w:r w:rsidRPr="00800D22">
        <w:rPr>
          <w:sz w:val="24"/>
        </w:rPr>
        <w:t>所示），</w:t>
      </w:r>
      <w:r w:rsidRPr="00800D22">
        <w:rPr>
          <w:sz w:val="24"/>
        </w:rPr>
        <w:t>BB</w:t>
      </w:r>
      <w:r w:rsidRPr="00800D22">
        <w:rPr>
          <w:sz w:val="24"/>
        </w:rPr>
        <w:t>级企业的累积违约率约为平均累积违约率的</w:t>
      </w:r>
      <w:r w:rsidRPr="00800D22">
        <w:rPr>
          <w:sz w:val="24"/>
        </w:rPr>
        <w:t>2~3</w:t>
      </w:r>
      <w:r w:rsidRPr="00800D22">
        <w:rPr>
          <w:sz w:val="24"/>
        </w:rPr>
        <w:t>倍，</w:t>
      </w:r>
      <w:r w:rsidRPr="00800D22">
        <w:rPr>
          <w:sz w:val="24"/>
        </w:rPr>
        <w:t>B~C</w:t>
      </w:r>
      <w:r w:rsidRPr="00800D22">
        <w:rPr>
          <w:sz w:val="24"/>
        </w:rPr>
        <w:t>级企业</w:t>
      </w:r>
      <w:r w:rsidRPr="00800D22">
        <w:rPr>
          <w:rFonts w:hint="eastAsia"/>
          <w:sz w:val="24"/>
        </w:rPr>
        <w:t>的</w:t>
      </w:r>
      <w:r w:rsidRPr="00800D22">
        <w:rPr>
          <w:sz w:val="24"/>
        </w:rPr>
        <w:t>违约率更高，以</w:t>
      </w:r>
      <w:r w:rsidRPr="00800D22">
        <w:rPr>
          <w:sz w:val="24"/>
        </w:rPr>
        <w:t>1</w:t>
      </w:r>
      <w:r w:rsidRPr="00800D22">
        <w:rPr>
          <w:sz w:val="24"/>
        </w:rPr>
        <w:t>年期为例，</w:t>
      </w:r>
      <w:r w:rsidRPr="00800D22">
        <w:rPr>
          <w:sz w:val="24"/>
        </w:rPr>
        <w:t>B~C</w:t>
      </w:r>
      <w:r w:rsidRPr="00800D22">
        <w:rPr>
          <w:sz w:val="24"/>
        </w:rPr>
        <w:t>级企业的违约率是平均违约率的</w:t>
      </w:r>
      <w:r w:rsidRPr="00800D22">
        <w:rPr>
          <w:sz w:val="24"/>
        </w:rPr>
        <w:t>6</w:t>
      </w:r>
      <w:r w:rsidRPr="00800D22">
        <w:rPr>
          <w:sz w:val="24"/>
        </w:rPr>
        <w:t>倍，达到</w:t>
      </w:r>
      <w:r w:rsidRPr="00800D22">
        <w:rPr>
          <w:sz w:val="24"/>
        </w:rPr>
        <w:t>11.74%</w:t>
      </w:r>
      <w:r w:rsidRPr="00800D22">
        <w:rPr>
          <w:sz w:val="24"/>
        </w:rPr>
        <w:t>。在如此高的违约率下，即使通过资产证券化技术让</w:t>
      </w:r>
      <w:r w:rsidRPr="00800D22">
        <w:rPr>
          <w:sz w:val="24"/>
        </w:rPr>
        <w:t>SBC</w:t>
      </w:r>
      <w:r w:rsidRPr="00800D22">
        <w:rPr>
          <w:sz w:val="24"/>
        </w:rPr>
        <w:t>首先承担债券的违约损失，优先层债券投资者仍很可能遭受较大的违约损失，除非在</w:t>
      </w:r>
      <w:r w:rsidRPr="00800D22">
        <w:rPr>
          <w:sz w:val="24"/>
        </w:rPr>
        <w:t>P-CBO</w:t>
      </w:r>
      <w:r w:rsidRPr="00800D22">
        <w:rPr>
          <w:sz w:val="24"/>
        </w:rPr>
        <w:t>中增加次级层债券的比例，提升对优先层债券的保护力度，而增加次级层债券的比例又会加重</w:t>
      </w:r>
      <w:r w:rsidRPr="00800D22">
        <w:rPr>
          <w:sz w:val="24"/>
        </w:rPr>
        <w:t>SBC</w:t>
      </w:r>
      <w:r w:rsidRPr="00800D22">
        <w:rPr>
          <w:sz w:val="24"/>
        </w:rPr>
        <w:t>的负担，影响整个</w:t>
      </w:r>
      <w:r w:rsidRPr="00800D22">
        <w:rPr>
          <w:sz w:val="24"/>
        </w:rPr>
        <w:t>P-CBO</w:t>
      </w:r>
      <w:r w:rsidRPr="00800D22">
        <w:rPr>
          <w:sz w:val="24"/>
        </w:rPr>
        <w:t>的融资效率。</w:t>
      </w:r>
    </w:p>
    <w:p w14:paraId="25F266BF" w14:textId="4878E790" w:rsidR="00995E2A" w:rsidRPr="00800D22" w:rsidRDefault="00995E2A" w:rsidP="00995E2A">
      <w:pPr>
        <w:pStyle w:val="aff1"/>
        <w:spacing w:beforeLines="100" w:before="312"/>
        <w:jc w:val="center"/>
        <w:rPr>
          <w:rFonts w:ascii="Times New Roman" w:eastAsia="新宋体" w:hAnsi="新宋体" w:cs="Times New Roman" w:hint="eastAsia"/>
          <w:sz w:val="21"/>
          <w:szCs w:val="21"/>
        </w:rPr>
      </w:pPr>
      <w:bookmarkStart w:id="22" w:name="_Toc246425360"/>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5</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韩国企业累积违约率情况（</w:t>
      </w:r>
      <w:r w:rsidRPr="00800D22">
        <w:rPr>
          <w:rFonts w:ascii="Times New Roman" w:eastAsia="新宋体" w:hAnsi="新宋体" w:cs="Times New Roman"/>
          <w:sz w:val="21"/>
          <w:szCs w:val="21"/>
        </w:rPr>
        <w:t>单位：</w:t>
      </w:r>
      <w:r w:rsidRPr="00800D22">
        <w:rPr>
          <w:rFonts w:ascii="Times New Roman" w:eastAsia="新宋体" w:hAnsi="新宋体" w:cs="Times New Roman"/>
          <w:sz w:val="21"/>
          <w:szCs w:val="21"/>
        </w:rPr>
        <w:t>%</w:t>
      </w:r>
      <w:r w:rsidRPr="00800D22">
        <w:rPr>
          <w:rFonts w:ascii="Times New Roman" w:eastAsia="新宋体" w:hAnsi="新宋体" w:cs="Times New Roman"/>
          <w:sz w:val="21"/>
          <w:szCs w:val="21"/>
        </w:rPr>
        <w:t>）</w:t>
      </w:r>
      <w:bookmarkEnd w:id="22"/>
    </w:p>
    <w:p w14:paraId="5F5C7671" w14:textId="1A53F095" w:rsidR="00995E2A" w:rsidRPr="00800D22" w:rsidRDefault="00995E2A" w:rsidP="00995E2A">
      <w:pPr>
        <w:autoSpaceDE w:val="0"/>
        <w:autoSpaceDN w:val="0"/>
        <w:adjustRightInd w:val="0"/>
        <w:jc w:val="center"/>
        <w:rPr>
          <w:rFonts w:hint="eastAsia"/>
          <w:szCs w:val="21"/>
        </w:rPr>
      </w:pPr>
      <w:r w:rsidRPr="00800D22">
        <w:rPr>
          <w:rFonts w:hint="eastAsia"/>
          <w:szCs w:val="21"/>
        </w:rPr>
        <w:t xml:space="preserve">Table </w:t>
      </w:r>
      <w:r>
        <w:rPr>
          <w:rFonts w:hint="eastAsia"/>
          <w:szCs w:val="21"/>
        </w:rPr>
        <w:t>5</w:t>
      </w:r>
      <w:r w:rsidRPr="00800D22">
        <w:rPr>
          <w:rFonts w:hint="eastAsia"/>
          <w:szCs w:val="21"/>
        </w:rPr>
        <w:t xml:space="preserve">  </w:t>
      </w:r>
      <w:r w:rsidRPr="00800D22">
        <w:rPr>
          <w:szCs w:val="21"/>
        </w:rPr>
        <w:t>Accumulated</w:t>
      </w:r>
      <w:r w:rsidRPr="00800D22">
        <w:rPr>
          <w:rFonts w:hint="eastAsia"/>
          <w:szCs w:val="21"/>
        </w:rPr>
        <w:t xml:space="preserve"> d</w:t>
      </w:r>
      <w:r w:rsidRPr="00800D22">
        <w:rPr>
          <w:szCs w:val="21"/>
        </w:rPr>
        <w:t>efault probability</w:t>
      </w:r>
      <w:r w:rsidRPr="00800D22">
        <w:rPr>
          <w:rFonts w:hint="eastAsia"/>
          <w:szCs w:val="21"/>
        </w:rPr>
        <w:t xml:space="preserve"> of Korea e</w:t>
      </w:r>
      <w:r w:rsidRPr="00800D22">
        <w:rPr>
          <w:szCs w:val="21"/>
        </w:rPr>
        <w:t>nterprise</w:t>
      </w:r>
      <w:r w:rsidRPr="00800D22">
        <w:rPr>
          <w:rFonts w:hint="eastAsia"/>
          <w:szCs w:val="21"/>
        </w:rPr>
        <w:t>s (Unit: %)</w:t>
      </w:r>
    </w:p>
    <w:tbl>
      <w:tblPr>
        <w:tblW w:w="5000" w:type="pct"/>
        <w:tblBorders>
          <w:top w:val="single" w:sz="4" w:space="0" w:color="auto"/>
          <w:bottom w:val="single" w:sz="4" w:space="0" w:color="auto"/>
        </w:tblBorders>
        <w:tblLook w:val="01E0" w:firstRow="1" w:lastRow="1" w:firstColumn="1" w:lastColumn="1" w:noHBand="0" w:noVBand="0"/>
      </w:tblPr>
      <w:tblGrid>
        <w:gridCol w:w="756"/>
        <w:gridCol w:w="863"/>
        <w:gridCol w:w="863"/>
        <w:gridCol w:w="863"/>
        <w:gridCol w:w="863"/>
        <w:gridCol w:w="863"/>
        <w:gridCol w:w="863"/>
        <w:gridCol w:w="863"/>
        <w:gridCol w:w="863"/>
        <w:gridCol w:w="862"/>
      </w:tblGrid>
      <w:tr w:rsidR="00995E2A" w:rsidRPr="00800D22" w14:paraId="47D76581" w14:textId="77777777" w:rsidTr="000A32F1">
        <w:trPr>
          <w:trHeight w:val="315"/>
        </w:trPr>
        <w:tc>
          <w:tcPr>
            <w:tcW w:w="443" w:type="pct"/>
            <w:tcBorders>
              <w:top w:val="single" w:sz="4" w:space="0" w:color="auto"/>
              <w:bottom w:val="single" w:sz="4" w:space="0" w:color="auto"/>
            </w:tcBorders>
            <w:vAlign w:val="center"/>
          </w:tcPr>
          <w:p w14:paraId="7938AAB5" w14:textId="77777777" w:rsidR="00995E2A" w:rsidRPr="00800D22" w:rsidRDefault="00995E2A" w:rsidP="000A32F1">
            <w:pPr>
              <w:rPr>
                <w:rFonts w:hint="eastAsia"/>
                <w:bCs/>
                <w:szCs w:val="21"/>
              </w:rPr>
            </w:pPr>
            <w:r w:rsidRPr="00800D22">
              <w:rPr>
                <w:rFonts w:hint="eastAsia"/>
                <w:bCs/>
                <w:szCs w:val="21"/>
              </w:rPr>
              <w:t>级别</w:t>
            </w:r>
          </w:p>
        </w:tc>
        <w:tc>
          <w:tcPr>
            <w:tcW w:w="506" w:type="pct"/>
            <w:tcBorders>
              <w:top w:val="single" w:sz="4" w:space="0" w:color="auto"/>
              <w:bottom w:val="single" w:sz="4" w:space="0" w:color="auto"/>
            </w:tcBorders>
            <w:vAlign w:val="center"/>
          </w:tcPr>
          <w:p w14:paraId="0DF9E3E8" w14:textId="77777777" w:rsidR="00995E2A" w:rsidRPr="00800D22" w:rsidRDefault="00995E2A" w:rsidP="000A32F1">
            <w:pPr>
              <w:rPr>
                <w:bCs/>
                <w:szCs w:val="21"/>
              </w:rPr>
            </w:pPr>
            <w:r w:rsidRPr="00800D22">
              <w:rPr>
                <w:bCs/>
                <w:szCs w:val="21"/>
              </w:rPr>
              <w:t>1</w:t>
            </w:r>
            <w:r w:rsidRPr="00800D22">
              <w:rPr>
                <w:bCs/>
                <w:szCs w:val="21"/>
              </w:rPr>
              <w:t>年</w:t>
            </w:r>
          </w:p>
        </w:tc>
        <w:tc>
          <w:tcPr>
            <w:tcW w:w="506" w:type="pct"/>
            <w:tcBorders>
              <w:top w:val="single" w:sz="4" w:space="0" w:color="auto"/>
              <w:bottom w:val="single" w:sz="4" w:space="0" w:color="auto"/>
            </w:tcBorders>
            <w:vAlign w:val="center"/>
          </w:tcPr>
          <w:p w14:paraId="46A90263" w14:textId="77777777" w:rsidR="00995E2A" w:rsidRPr="00800D22" w:rsidRDefault="00995E2A" w:rsidP="000A32F1">
            <w:pPr>
              <w:rPr>
                <w:bCs/>
                <w:szCs w:val="21"/>
              </w:rPr>
            </w:pPr>
            <w:r w:rsidRPr="00800D22">
              <w:rPr>
                <w:bCs/>
                <w:szCs w:val="21"/>
              </w:rPr>
              <w:t>2</w:t>
            </w:r>
            <w:r w:rsidRPr="00800D22">
              <w:rPr>
                <w:bCs/>
                <w:szCs w:val="21"/>
              </w:rPr>
              <w:t>年</w:t>
            </w:r>
          </w:p>
        </w:tc>
        <w:tc>
          <w:tcPr>
            <w:tcW w:w="506" w:type="pct"/>
            <w:tcBorders>
              <w:top w:val="single" w:sz="4" w:space="0" w:color="auto"/>
              <w:bottom w:val="single" w:sz="4" w:space="0" w:color="auto"/>
            </w:tcBorders>
            <w:vAlign w:val="center"/>
          </w:tcPr>
          <w:p w14:paraId="5CCD7843" w14:textId="77777777" w:rsidR="00995E2A" w:rsidRPr="00800D22" w:rsidRDefault="00995E2A" w:rsidP="000A32F1">
            <w:pPr>
              <w:rPr>
                <w:bCs/>
                <w:szCs w:val="21"/>
              </w:rPr>
            </w:pPr>
            <w:r w:rsidRPr="00800D22">
              <w:rPr>
                <w:bCs/>
                <w:szCs w:val="21"/>
              </w:rPr>
              <w:t>3</w:t>
            </w:r>
            <w:r w:rsidRPr="00800D22">
              <w:rPr>
                <w:bCs/>
                <w:szCs w:val="21"/>
              </w:rPr>
              <w:t>年</w:t>
            </w:r>
          </w:p>
        </w:tc>
        <w:tc>
          <w:tcPr>
            <w:tcW w:w="506" w:type="pct"/>
            <w:tcBorders>
              <w:top w:val="single" w:sz="4" w:space="0" w:color="auto"/>
              <w:bottom w:val="single" w:sz="4" w:space="0" w:color="auto"/>
            </w:tcBorders>
            <w:vAlign w:val="center"/>
          </w:tcPr>
          <w:p w14:paraId="518B9C8C" w14:textId="77777777" w:rsidR="00995E2A" w:rsidRPr="00800D22" w:rsidRDefault="00995E2A" w:rsidP="000A32F1">
            <w:pPr>
              <w:rPr>
                <w:bCs/>
                <w:szCs w:val="21"/>
              </w:rPr>
            </w:pPr>
            <w:r w:rsidRPr="00800D22">
              <w:rPr>
                <w:bCs/>
                <w:szCs w:val="21"/>
              </w:rPr>
              <w:t>4</w:t>
            </w:r>
            <w:r w:rsidRPr="00800D22">
              <w:rPr>
                <w:bCs/>
                <w:szCs w:val="21"/>
              </w:rPr>
              <w:t>年</w:t>
            </w:r>
          </w:p>
        </w:tc>
        <w:tc>
          <w:tcPr>
            <w:tcW w:w="506" w:type="pct"/>
            <w:tcBorders>
              <w:top w:val="single" w:sz="4" w:space="0" w:color="auto"/>
              <w:bottom w:val="single" w:sz="4" w:space="0" w:color="auto"/>
            </w:tcBorders>
            <w:vAlign w:val="center"/>
          </w:tcPr>
          <w:p w14:paraId="74018A83" w14:textId="77777777" w:rsidR="00995E2A" w:rsidRPr="00800D22" w:rsidRDefault="00995E2A" w:rsidP="000A32F1">
            <w:pPr>
              <w:rPr>
                <w:bCs/>
                <w:szCs w:val="21"/>
              </w:rPr>
            </w:pPr>
            <w:r w:rsidRPr="00800D22">
              <w:rPr>
                <w:bCs/>
                <w:szCs w:val="21"/>
              </w:rPr>
              <w:t>5</w:t>
            </w:r>
            <w:r w:rsidRPr="00800D22">
              <w:rPr>
                <w:bCs/>
                <w:szCs w:val="21"/>
              </w:rPr>
              <w:t>年</w:t>
            </w:r>
          </w:p>
        </w:tc>
        <w:tc>
          <w:tcPr>
            <w:tcW w:w="506" w:type="pct"/>
            <w:tcBorders>
              <w:top w:val="single" w:sz="4" w:space="0" w:color="auto"/>
              <w:bottom w:val="single" w:sz="4" w:space="0" w:color="auto"/>
            </w:tcBorders>
            <w:vAlign w:val="center"/>
          </w:tcPr>
          <w:p w14:paraId="7A2BB3C1" w14:textId="77777777" w:rsidR="00995E2A" w:rsidRPr="00800D22" w:rsidRDefault="00995E2A" w:rsidP="000A32F1">
            <w:pPr>
              <w:rPr>
                <w:bCs/>
                <w:szCs w:val="21"/>
              </w:rPr>
            </w:pPr>
            <w:r w:rsidRPr="00800D22">
              <w:rPr>
                <w:bCs/>
                <w:szCs w:val="21"/>
              </w:rPr>
              <w:t>6</w:t>
            </w:r>
            <w:r w:rsidRPr="00800D22">
              <w:rPr>
                <w:bCs/>
                <w:szCs w:val="21"/>
              </w:rPr>
              <w:t>年</w:t>
            </w:r>
          </w:p>
        </w:tc>
        <w:tc>
          <w:tcPr>
            <w:tcW w:w="506" w:type="pct"/>
            <w:tcBorders>
              <w:top w:val="single" w:sz="4" w:space="0" w:color="auto"/>
              <w:bottom w:val="single" w:sz="4" w:space="0" w:color="auto"/>
            </w:tcBorders>
            <w:vAlign w:val="center"/>
          </w:tcPr>
          <w:p w14:paraId="799BF02A" w14:textId="77777777" w:rsidR="00995E2A" w:rsidRPr="00800D22" w:rsidRDefault="00995E2A" w:rsidP="000A32F1">
            <w:pPr>
              <w:rPr>
                <w:bCs/>
                <w:szCs w:val="21"/>
              </w:rPr>
            </w:pPr>
            <w:r w:rsidRPr="00800D22">
              <w:rPr>
                <w:bCs/>
                <w:szCs w:val="21"/>
              </w:rPr>
              <w:t>7</w:t>
            </w:r>
            <w:r w:rsidRPr="00800D22">
              <w:rPr>
                <w:bCs/>
                <w:szCs w:val="21"/>
              </w:rPr>
              <w:t>年</w:t>
            </w:r>
          </w:p>
        </w:tc>
        <w:tc>
          <w:tcPr>
            <w:tcW w:w="506" w:type="pct"/>
            <w:tcBorders>
              <w:top w:val="single" w:sz="4" w:space="0" w:color="auto"/>
              <w:bottom w:val="single" w:sz="4" w:space="0" w:color="auto"/>
            </w:tcBorders>
            <w:vAlign w:val="center"/>
          </w:tcPr>
          <w:p w14:paraId="6E59819A" w14:textId="77777777" w:rsidR="00995E2A" w:rsidRPr="00800D22" w:rsidRDefault="00995E2A" w:rsidP="000A32F1">
            <w:pPr>
              <w:rPr>
                <w:bCs/>
                <w:szCs w:val="21"/>
              </w:rPr>
            </w:pPr>
            <w:r w:rsidRPr="00800D22">
              <w:rPr>
                <w:bCs/>
                <w:szCs w:val="21"/>
              </w:rPr>
              <w:t>8</w:t>
            </w:r>
            <w:r w:rsidRPr="00800D22">
              <w:rPr>
                <w:bCs/>
                <w:szCs w:val="21"/>
              </w:rPr>
              <w:t>年</w:t>
            </w:r>
          </w:p>
        </w:tc>
        <w:tc>
          <w:tcPr>
            <w:tcW w:w="506" w:type="pct"/>
            <w:tcBorders>
              <w:top w:val="single" w:sz="4" w:space="0" w:color="auto"/>
              <w:bottom w:val="single" w:sz="4" w:space="0" w:color="auto"/>
            </w:tcBorders>
            <w:vAlign w:val="center"/>
          </w:tcPr>
          <w:p w14:paraId="7ACDE502" w14:textId="77777777" w:rsidR="00995E2A" w:rsidRPr="00800D22" w:rsidRDefault="00995E2A" w:rsidP="000A32F1">
            <w:pPr>
              <w:rPr>
                <w:bCs/>
                <w:szCs w:val="21"/>
              </w:rPr>
            </w:pPr>
            <w:r w:rsidRPr="00800D22">
              <w:rPr>
                <w:bCs/>
                <w:szCs w:val="21"/>
              </w:rPr>
              <w:t>9</w:t>
            </w:r>
            <w:r w:rsidRPr="00800D22">
              <w:rPr>
                <w:bCs/>
                <w:szCs w:val="21"/>
              </w:rPr>
              <w:t>年</w:t>
            </w:r>
          </w:p>
        </w:tc>
      </w:tr>
      <w:tr w:rsidR="00995E2A" w:rsidRPr="00800D22" w14:paraId="2DB236E5" w14:textId="77777777" w:rsidTr="000A32F1">
        <w:trPr>
          <w:trHeight w:val="284"/>
        </w:trPr>
        <w:tc>
          <w:tcPr>
            <w:tcW w:w="443" w:type="pct"/>
            <w:tcBorders>
              <w:top w:val="single" w:sz="4" w:space="0" w:color="auto"/>
            </w:tcBorders>
            <w:vAlign w:val="center"/>
          </w:tcPr>
          <w:p w14:paraId="2D5DCF5F" w14:textId="77777777" w:rsidR="00995E2A" w:rsidRPr="00800D22" w:rsidRDefault="00995E2A" w:rsidP="000A32F1">
            <w:pPr>
              <w:rPr>
                <w:sz w:val="18"/>
                <w:szCs w:val="18"/>
              </w:rPr>
            </w:pPr>
            <w:r w:rsidRPr="00800D22">
              <w:rPr>
                <w:sz w:val="18"/>
                <w:szCs w:val="18"/>
              </w:rPr>
              <w:t>AAA</w:t>
            </w:r>
          </w:p>
        </w:tc>
        <w:tc>
          <w:tcPr>
            <w:tcW w:w="506" w:type="pct"/>
            <w:tcBorders>
              <w:top w:val="single" w:sz="4" w:space="0" w:color="auto"/>
            </w:tcBorders>
            <w:vAlign w:val="center"/>
          </w:tcPr>
          <w:p w14:paraId="02E92A42" w14:textId="77777777" w:rsidR="00995E2A" w:rsidRPr="00800D22" w:rsidRDefault="00995E2A" w:rsidP="000A32F1">
            <w:pPr>
              <w:rPr>
                <w:sz w:val="18"/>
                <w:szCs w:val="18"/>
              </w:rPr>
            </w:pPr>
            <w:r w:rsidRPr="00800D22">
              <w:rPr>
                <w:sz w:val="18"/>
                <w:szCs w:val="18"/>
              </w:rPr>
              <w:t>0.00</w:t>
            </w:r>
          </w:p>
        </w:tc>
        <w:tc>
          <w:tcPr>
            <w:tcW w:w="506" w:type="pct"/>
            <w:tcBorders>
              <w:top w:val="single" w:sz="4" w:space="0" w:color="auto"/>
            </w:tcBorders>
            <w:vAlign w:val="center"/>
          </w:tcPr>
          <w:p w14:paraId="4606E90A" w14:textId="77777777" w:rsidR="00995E2A" w:rsidRPr="00800D22" w:rsidRDefault="00995E2A" w:rsidP="000A32F1">
            <w:pPr>
              <w:rPr>
                <w:sz w:val="18"/>
                <w:szCs w:val="18"/>
              </w:rPr>
            </w:pPr>
            <w:r w:rsidRPr="00800D22">
              <w:rPr>
                <w:sz w:val="18"/>
                <w:szCs w:val="18"/>
              </w:rPr>
              <w:t>0.00</w:t>
            </w:r>
          </w:p>
        </w:tc>
        <w:tc>
          <w:tcPr>
            <w:tcW w:w="506" w:type="pct"/>
            <w:tcBorders>
              <w:top w:val="single" w:sz="4" w:space="0" w:color="auto"/>
            </w:tcBorders>
            <w:vAlign w:val="center"/>
          </w:tcPr>
          <w:p w14:paraId="1226EDEB" w14:textId="77777777" w:rsidR="00995E2A" w:rsidRPr="00800D22" w:rsidRDefault="00995E2A" w:rsidP="000A32F1">
            <w:pPr>
              <w:rPr>
                <w:sz w:val="18"/>
                <w:szCs w:val="18"/>
              </w:rPr>
            </w:pPr>
            <w:r w:rsidRPr="00800D22">
              <w:rPr>
                <w:sz w:val="18"/>
                <w:szCs w:val="18"/>
              </w:rPr>
              <w:t>0.00</w:t>
            </w:r>
          </w:p>
        </w:tc>
        <w:tc>
          <w:tcPr>
            <w:tcW w:w="506" w:type="pct"/>
            <w:tcBorders>
              <w:top w:val="single" w:sz="4" w:space="0" w:color="auto"/>
            </w:tcBorders>
            <w:vAlign w:val="center"/>
          </w:tcPr>
          <w:p w14:paraId="7A820D36" w14:textId="77777777" w:rsidR="00995E2A" w:rsidRPr="00800D22" w:rsidRDefault="00995E2A" w:rsidP="000A32F1">
            <w:pPr>
              <w:rPr>
                <w:sz w:val="18"/>
                <w:szCs w:val="18"/>
              </w:rPr>
            </w:pPr>
            <w:r w:rsidRPr="00800D22">
              <w:rPr>
                <w:sz w:val="18"/>
                <w:szCs w:val="18"/>
              </w:rPr>
              <w:t>0.00</w:t>
            </w:r>
          </w:p>
        </w:tc>
        <w:tc>
          <w:tcPr>
            <w:tcW w:w="506" w:type="pct"/>
            <w:tcBorders>
              <w:top w:val="single" w:sz="4" w:space="0" w:color="auto"/>
            </w:tcBorders>
            <w:vAlign w:val="center"/>
          </w:tcPr>
          <w:p w14:paraId="6A41BD56" w14:textId="77777777" w:rsidR="00995E2A" w:rsidRPr="00800D22" w:rsidRDefault="00995E2A" w:rsidP="000A32F1">
            <w:pPr>
              <w:rPr>
                <w:sz w:val="18"/>
                <w:szCs w:val="18"/>
              </w:rPr>
            </w:pPr>
            <w:r w:rsidRPr="00800D22">
              <w:rPr>
                <w:sz w:val="18"/>
                <w:szCs w:val="18"/>
              </w:rPr>
              <w:t>0.00</w:t>
            </w:r>
          </w:p>
        </w:tc>
        <w:tc>
          <w:tcPr>
            <w:tcW w:w="506" w:type="pct"/>
            <w:tcBorders>
              <w:top w:val="single" w:sz="4" w:space="0" w:color="auto"/>
            </w:tcBorders>
            <w:vAlign w:val="center"/>
          </w:tcPr>
          <w:p w14:paraId="77097BA8" w14:textId="77777777" w:rsidR="00995E2A" w:rsidRPr="00800D22" w:rsidRDefault="00995E2A" w:rsidP="000A32F1">
            <w:pPr>
              <w:rPr>
                <w:sz w:val="18"/>
                <w:szCs w:val="18"/>
              </w:rPr>
            </w:pPr>
            <w:r w:rsidRPr="00800D22">
              <w:rPr>
                <w:sz w:val="18"/>
                <w:szCs w:val="18"/>
              </w:rPr>
              <w:t>0.00</w:t>
            </w:r>
          </w:p>
        </w:tc>
        <w:tc>
          <w:tcPr>
            <w:tcW w:w="506" w:type="pct"/>
            <w:tcBorders>
              <w:top w:val="single" w:sz="4" w:space="0" w:color="auto"/>
            </w:tcBorders>
            <w:vAlign w:val="center"/>
          </w:tcPr>
          <w:p w14:paraId="41D9E00E" w14:textId="77777777" w:rsidR="00995E2A" w:rsidRPr="00800D22" w:rsidRDefault="00995E2A" w:rsidP="000A32F1">
            <w:pPr>
              <w:rPr>
                <w:sz w:val="18"/>
                <w:szCs w:val="18"/>
              </w:rPr>
            </w:pPr>
            <w:r w:rsidRPr="00800D22">
              <w:rPr>
                <w:sz w:val="18"/>
                <w:szCs w:val="18"/>
              </w:rPr>
              <w:t>0.00</w:t>
            </w:r>
          </w:p>
        </w:tc>
        <w:tc>
          <w:tcPr>
            <w:tcW w:w="506" w:type="pct"/>
            <w:tcBorders>
              <w:top w:val="single" w:sz="4" w:space="0" w:color="auto"/>
            </w:tcBorders>
            <w:vAlign w:val="center"/>
          </w:tcPr>
          <w:p w14:paraId="5E755505" w14:textId="77777777" w:rsidR="00995E2A" w:rsidRPr="00800D22" w:rsidRDefault="00995E2A" w:rsidP="000A32F1">
            <w:pPr>
              <w:rPr>
                <w:sz w:val="18"/>
                <w:szCs w:val="18"/>
              </w:rPr>
            </w:pPr>
            <w:r w:rsidRPr="00800D22">
              <w:rPr>
                <w:sz w:val="18"/>
                <w:szCs w:val="18"/>
              </w:rPr>
              <w:t>0.00</w:t>
            </w:r>
          </w:p>
        </w:tc>
        <w:tc>
          <w:tcPr>
            <w:tcW w:w="506" w:type="pct"/>
            <w:tcBorders>
              <w:top w:val="single" w:sz="4" w:space="0" w:color="auto"/>
            </w:tcBorders>
            <w:vAlign w:val="center"/>
          </w:tcPr>
          <w:p w14:paraId="564B9C26" w14:textId="77777777" w:rsidR="00995E2A" w:rsidRPr="00800D22" w:rsidRDefault="00995E2A" w:rsidP="000A32F1">
            <w:pPr>
              <w:rPr>
                <w:sz w:val="18"/>
                <w:szCs w:val="18"/>
              </w:rPr>
            </w:pPr>
            <w:r w:rsidRPr="00800D22">
              <w:rPr>
                <w:sz w:val="18"/>
                <w:szCs w:val="18"/>
              </w:rPr>
              <w:t>0.00</w:t>
            </w:r>
          </w:p>
        </w:tc>
      </w:tr>
      <w:tr w:rsidR="00995E2A" w:rsidRPr="00800D22" w14:paraId="7A0DC00C" w14:textId="77777777" w:rsidTr="000A32F1">
        <w:trPr>
          <w:trHeight w:val="284"/>
        </w:trPr>
        <w:tc>
          <w:tcPr>
            <w:tcW w:w="443" w:type="pct"/>
            <w:vAlign w:val="center"/>
          </w:tcPr>
          <w:p w14:paraId="28F0C7E9" w14:textId="77777777" w:rsidR="00995E2A" w:rsidRPr="00800D22" w:rsidRDefault="00995E2A" w:rsidP="000A32F1">
            <w:pPr>
              <w:rPr>
                <w:sz w:val="18"/>
                <w:szCs w:val="18"/>
              </w:rPr>
            </w:pPr>
            <w:r w:rsidRPr="00800D22">
              <w:rPr>
                <w:sz w:val="18"/>
                <w:szCs w:val="18"/>
              </w:rPr>
              <w:t>AA</w:t>
            </w:r>
          </w:p>
        </w:tc>
        <w:tc>
          <w:tcPr>
            <w:tcW w:w="506" w:type="pct"/>
            <w:vAlign w:val="center"/>
          </w:tcPr>
          <w:p w14:paraId="3831EB85" w14:textId="77777777" w:rsidR="00995E2A" w:rsidRPr="00800D22" w:rsidRDefault="00995E2A" w:rsidP="000A32F1">
            <w:pPr>
              <w:rPr>
                <w:sz w:val="18"/>
                <w:szCs w:val="18"/>
              </w:rPr>
            </w:pPr>
            <w:r w:rsidRPr="00800D22">
              <w:rPr>
                <w:sz w:val="18"/>
                <w:szCs w:val="18"/>
              </w:rPr>
              <w:t>0.00</w:t>
            </w:r>
          </w:p>
        </w:tc>
        <w:tc>
          <w:tcPr>
            <w:tcW w:w="506" w:type="pct"/>
            <w:vAlign w:val="center"/>
          </w:tcPr>
          <w:p w14:paraId="6E2517CB" w14:textId="77777777" w:rsidR="00995E2A" w:rsidRPr="00800D22" w:rsidRDefault="00995E2A" w:rsidP="000A32F1">
            <w:pPr>
              <w:rPr>
                <w:sz w:val="18"/>
                <w:szCs w:val="18"/>
              </w:rPr>
            </w:pPr>
            <w:r w:rsidRPr="00800D22">
              <w:rPr>
                <w:sz w:val="18"/>
                <w:szCs w:val="18"/>
              </w:rPr>
              <w:t>0.00</w:t>
            </w:r>
          </w:p>
        </w:tc>
        <w:tc>
          <w:tcPr>
            <w:tcW w:w="506" w:type="pct"/>
            <w:vAlign w:val="center"/>
          </w:tcPr>
          <w:p w14:paraId="200EB5B8" w14:textId="77777777" w:rsidR="00995E2A" w:rsidRPr="00800D22" w:rsidRDefault="00995E2A" w:rsidP="000A32F1">
            <w:pPr>
              <w:rPr>
                <w:sz w:val="18"/>
                <w:szCs w:val="18"/>
              </w:rPr>
            </w:pPr>
            <w:r w:rsidRPr="00800D22">
              <w:rPr>
                <w:sz w:val="18"/>
                <w:szCs w:val="18"/>
              </w:rPr>
              <w:t>0.00</w:t>
            </w:r>
          </w:p>
        </w:tc>
        <w:tc>
          <w:tcPr>
            <w:tcW w:w="506" w:type="pct"/>
            <w:vAlign w:val="center"/>
          </w:tcPr>
          <w:p w14:paraId="6F5E07C4" w14:textId="77777777" w:rsidR="00995E2A" w:rsidRPr="00800D22" w:rsidRDefault="00995E2A" w:rsidP="000A32F1">
            <w:pPr>
              <w:rPr>
                <w:sz w:val="18"/>
                <w:szCs w:val="18"/>
              </w:rPr>
            </w:pPr>
            <w:r w:rsidRPr="00800D22">
              <w:rPr>
                <w:sz w:val="18"/>
                <w:szCs w:val="18"/>
              </w:rPr>
              <w:t>0.00</w:t>
            </w:r>
          </w:p>
        </w:tc>
        <w:tc>
          <w:tcPr>
            <w:tcW w:w="506" w:type="pct"/>
            <w:vAlign w:val="center"/>
          </w:tcPr>
          <w:p w14:paraId="055CE5B0" w14:textId="77777777" w:rsidR="00995E2A" w:rsidRPr="00800D22" w:rsidRDefault="00995E2A" w:rsidP="000A32F1">
            <w:pPr>
              <w:rPr>
                <w:sz w:val="18"/>
                <w:szCs w:val="18"/>
              </w:rPr>
            </w:pPr>
            <w:r w:rsidRPr="00800D22">
              <w:rPr>
                <w:sz w:val="18"/>
                <w:szCs w:val="18"/>
              </w:rPr>
              <w:t>0.00</w:t>
            </w:r>
          </w:p>
        </w:tc>
        <w:tc>
          <w:tcPr>
            <w:tcW w:w="506" w:type="pct"/>
            <w:vAlign w:val="center"/>
          </w:tcPr>
          <w:p w14:paraId="57E45199" w14:textId="77777777" w:rsidR="00995E2A" w:rsidRPr="00800D22" w:rsidRDefault="00995E2A" w:rsidP="000A32F1">
            <w:pPr>
              <w:rPr>
                <w:sz w:val="18"/>
                <w:szCs w:val="18"/>
              </w:rPr>
            </w:pPr>
            <w:r w:rsidRPr="00800D22">
              <w:rPr>
                <w:sz w:val="18"/>
                <w:szCs w:val="18"/>
              </w:rPr>
              <w:t>0.00</w:t>
            </w:r>
          </w:p>
        </w:tc>
        <w:tc>
          <w:tcPr>
            <w:tcW w:w="506" w:type="pct"/>
            <w:vAlign w:val="center"/>
          </w:tcPr>
          <w:p w14:paraId="6D1B516A" w14:textId="77777777" w:rsidR="00995E2A" w:rsidRPr="00800D22" w:rsidRDefault="00995E2A" w:rsidP="000A32F1">
            <w:pPr>
              <w:rPr>
                <w:sz w:val="18"/>
                <w:szCs w:val="18"/>
              </w:rPr>
            </w:pPr>
            <w:r w:rsidRPr="00800D22">
              <w:rPr>
                <w:sz w:val="18"/>
                <w:szCs w:val="18"/>
              </w:rPr>
              <w:t>0.00</w:t>
            </w:r>
          </w:p>
        </w:tc>
        <w:tc>
          <w:tcPr>
            <w:tcW w:w="506" w:type="pct"/>
            <w:vAlign w:val="center"/>
          </w:tcPr>
          <w:p w14:paraId="4C0F52DB" w14:textId="77777777" w:rsidR="00995E2A" w:rsidRPr="00800D22" w:rsidRDefault="00995E2A" w:rsidP="000A32F1">
            <w:pPr>
              <w:rPr>
                <w:sz w:val="18"/>
                <w:szCs w:val="18"/>
              </w:rPr>
            </w:pPr>
            <w:r w:rsidRPr="00800D22">
              <w:rPr>
                <w:sz w:val="18"/>
                <w:szCs w:val="18"/>
              </w:rPr>
              <w:t>0.00</w:t>
            </w:r>
          </w:p>
        </w:tc>
        <w:tc>
          <w:tcPr>
            <w:tcW w:w="506" w:type="pct"/>
            <w:vAlign w:val="center"/>
          </w:tcPr>
          <w:p w14:paraId="02EA8570" w14:textId="77777777" w:rsidR="00995E2A" w:rsidRPr="00800D22" w:rsidRDefault="00995E2A" w:rsidP="000A32F1">
            <w:pPr>
              <w:rPr>
                <w:sz w:val="18"/>
                <w:szCs w:val="18"/>
              </w:rPr>
            </w:pPr>
            <w:r w:rsidRPr="00800D22">
              <w:rPr>
                <w:sz w:val="18"/>
                <w:szCs w:val="18"/>
              </w:rPr>
              <w:t>0.00</w:t>
            </w:r>
          </w:p>
        </w:tc>
      </w:tr>
      <w:tr w:rsidR="00995E2A" w:rsidRPr="00800D22" w14:paraId="46D0C473" w14:textId="77777777" w:rsidTr="000A32F1">
        <w:trPr>
          <w:trHeight w:val="284"/>
        </w:trPr>
        <w:tc>
          <w:tcPr>
            <w:tcW w:w="443" w:type="pct"/>
            <w:vAlign w:val="center"/>
          </w:tcPr>
          <w:p w14:paraId="7C8D8C90" w14:textId="77777777" w:rsidR="00995E2A" w:rsidRPr="00800D22" w:rsidRDefault="00995E2A" w:rsidP="000A32F1">
            <w:pPr>
              <w:rPr>
                <w:sz w:val="18"/>
                <w:szCs w:val="18"/>
              </w:rPr>
            </w:pPr>
            <w:r w:rsidRPr="00800D22">
              <w:rPr>
                <w:sz w:val="18"/>
                <w:szCs w:val="18"/>
              </w:rPr>
              <w:t>A</w:t>
            </w:r>
          </w:p>
        </w:tc>
        <w:tc>
          <w:tcPr>
            <w:tcW w:w="506" w:type="pct"/>
            <w:vAlign w:val="center"/>
          </w:tcPr>
          <w:p w14:paraId="5D5658FC" w14:textId="77777777" w:rsidR="00995E2A" w:rsidRPr="00800D22" w:rsidRDefault="00995E2A" w:rsidP="000A32F1">
            <w:pPr>
              <w:rPr>
                <w:sz w:val="18"/>
                <w:szCs w:val="18"/>
              </w:rPr>
            </w:pPr>
            <w:r w:rsidRPr="00800D22">
              <w:rPr>
                <w:sz w:val="18"/>
                <w:szCs w:val="18"/>
              </w:rPr>
              <w:t>0.00</w:t>
            </w:r>
          </w:p>
        </w:tc>
        <w:tc>
          <w:tcPr>
            <w:tcW w:w="506" w:type="pct"/>
            <w:vAlign w:val="center"/>
          </w:tcPr>
          <w:p w14:paraId="54A0B24F" w14:textId="77777777" w:rsidR="00995E2A" w:rsidRPr="00800D22" w:rsidRDefault="00995E2A" w:rsidP="000A32F1">
            <w:pPr>
              <w:rPr>
                <w:sz w:val="18"/>
                <w:szCs w:val="18"/>
              </w:rPr>
            </w:pPr>
            <w:r w:rsidRPr="00800D22">
              <w:rPr>
                <w:sz w:val="18"/>
                <w:szCs w:val="18"/>
              </w:rPr>
              <w:t>0.00</w:t>
            </w:r>
          </w:p>
        </w:tc>
        <w:tc>
          <w:tcPr>
            <w:tcW w:w="506" w:type="pct"/>
            <w:vAlign w:val="center"/>
          </w:tcPr>
          <w:p w14:paraId="33E556B8" w14:textId="77777777" w:rsidR="00995E2A" w:rsidRPr="00800D22" w:rsidRDefault="00995E2A" w:rsidP="000A32F1">
            <w:pPr>
              <w:rPr>
                <w:sz w:val="18"/>
                <w:szCs w:val="18"/>
              </w:rPr>
            </w:pPr>
            <w:r w:rsidRPr="00800D22">
              <w:rPr>
                <w:sz w:val="18"/>
                <w:szCs w:val="18"/>
              </w:rPr>
              <w:t>0.00</w:t>
            </w:r>
          </w:p>
        </w:tc>
        <w:tc>
          <w:tcPr>
            <w:tcW w:w="506" w:type="pct"/>
            <w:vAlign w:val="center"/>
          </w:tcPr>
          <w:p w14:paraId="003C9868" w14:textId="77777777" w:rsidR="00995E2A" w:rsidRPr="00800D22" w:rsidRDefault="00995E2A" w:rsidP="000A32F1">
            <w:pPr>
              <w:rPr>
                <w:sz w:val="18"/>
                <w:szCs w:val="18"/>
              </w:rPr>
            </w:pPr>
            <w:r w:rsidRPr="00800D22">
              <w:rPr>
                <w:sz w:val="18"/>
                <w:szCs w:val="18"/>
              </w:rPr>
              <w:t>0.00</w:t>
            </w:r>
          </w:p>
        </w:tc>
        <w:tc>
          <w:tcPr>
            <w:tcW w:w="506" w:type="pct"/>
            <w:vAlign w:val="center"/>
          </w:tcPr>
          <w:p w14:paraId="2FAF6CCE" w14:textId="77777777" w:rsidR="00995E2A" w:rsidRPr="00800D22" w:rsidRDefault="00995E2A" w:rsidP="000A32F1">
            <w:pPr>
              <w:rPr>
                <w:sz w:val="18"/>
                <w:szCs w:val="18"/>
              </w:rPr>
            </w:pPr>
            <w:r w:rsidRPr="00800D22">
              <w:rPr>
                <w:sz w:val="18"/>
                <w:szCs w:val="18"/>
              </w:rPr>
              <w:t>0.00</w:t>
            </w:r>
          </w:p>
        </w:tc>
        <w:tc>
          <w:tcPr>
            <w:tcW w:w="506" w:type="pct"/>
            <w:vAlign w:val="center"/>
          </w:tcPr>
          <w:p w14:paraId="77EDD5F4" w14:textId="77777777" w:rsidR="00995E2A" w:rsidRPr="00800D22" w:rsidRDefault="00995E2A" w:rsidP="000A32F1">
            <w:pPr>
              <w:rPr>
                <w:sz w:val="18"/>
                <w:szCs w:val="18"/>
              </w:rPr>
            </w:pPr>
            <w:r w:rsidRPr="00800D22">
              <w:rPr>
                <w:sz w:val="18"/>
                <w:szCs w:val="18"/>
              </w:rPr>
              <w:t>0.00</w:t>
            </w:r>
          </w:p>
        </w:tc>
        <w:tc>
          <w:tcPr>
            <w:tcW w:w="506" w:type="pct"/>
            <w:vAlign w:val="center"/>
          </w:tcPr>
          <w:p w14:paraId="7A35E5ED" w14:textId="77777777" w:rsidR="00995E2A" w:rsidRPr="00800D22" w:rsidRDefault="00995E2A" w:rsidP="000A32F1">
            <w:pPr>
              <w:rPr>
                <w:sz w:val="18"/>
                <w:szCs w:val="18"/>
              </w:rPr>
            </w:pPr>
            <w:r w:rsidRPr="00800D22">
              <w:rPr>
                <w:sz w:val="18"/>
                <w:szCs w:val="18"/>
              </w:rPr>
              <w:t>0.00</w:t>
            </w:r>
          </w:p>
        </w:tc>
        <w:tc>
          <w:tcPr>
            <w:tcW w:w="506" w:type="pct"/>
            <w:vAlign w:val="center"/>
          </w:tcPr>
          <w:p w14:paraId="00C2B1B5" w14:textId="77777777" w:rsidR="00995E2A" w:rsidRPr="00800D22" w:rsidRDefault="00995E2A" w:rsidP="000A32F1">
            <w:pPr>
              <w:rPr>
                <w:sz w:val="18"/>
                <w:szCs w:val="18"/>
              </w:rPr>
            </w:pPr>
            <w:r w:rsidRPr="00800D22">
              <w:rPr>
                <w:sz w:val="18"/>
                <w:szCs w:val="18"/>
              </w:rPr>
              <w:t>0.00</w:t>
            </w:r>
          </w:p>
        </w:tc>
        <w:tc>
          <w:tcPr>
            <w:tcW w:w="506" w:type="pct"/>
            <w:vAlign w:val="center"/>
          </w:tcPr>
          <w:p w14:paraId="482822ED" w14:textId="77777777" w:rsidR="00995E2A" w:rsidRPr="00800D22" w:rsidRDefault="00995E2A" w:rsidP="000A32F1">
            <w:pPr>
              <w:rPr>
                <w:sz w:val="18"/>
                <w:szCs w:val="18"/>
              </w:rPr>
            </w:pPr>
            <w:r w:rsidRPr="00800D22">
              <w:rPr>
                <w:sz w:val="18"/>
                <w:szCs w:val="18"/>
              </w:rPr>
              <w:t>0.00</w:t>
            </w:r>
          </w:p>
        </w:tc>
      </w:tr>
      <w:tr w:rsidR="00995E2A" w:rsidRPr="00800D22" w14:paraId="369F0353" w14:textId="77777777" w:rsidTr="000A32F1">
        <w:trPr>
          <w:trHeight w:val="284"/>
        </w:trPr>
        <w:tc>
          <w:tcPr>
            <w:tcW w:w="443" w:type="pct"/>
            <w:vAlign w:val="center"/>
          </w:tcPr>
          <w:p w14:paraId="520D59BA" w14:textId="77777777" w:rsidR="00995E2A" w:rsidRPr="00800D22" w:rsidRDefault="00995E2A" w:rsidP="000A32F1">
            <w:pPr>
              <w:rPr>
                <w:sz w:val="18"/>
                <w:szCs w:val="18"/>
              </w:rPr>
            </w:pPr>
            <w:r w:rsidRPr="00800D22">
              <w:rPr>
                <w:sz w:val="18"/>
                <w:szCs w:val="18"/>
              </w:rPr>
              <w:t>BBB</w:t>
            </w:r>
          </w:p>
        </w:tc>
        <w:tc>
          <w:tcPr>
            <w:tcW w:w="506" w:type="pct"/>
            <w:vAlign w:val="center"/>
          </w:tcPr>
          <w:p w14:paraId="65380843" w14:textId="77777777" w:rsidR="00995E2A" w:rsidRPr="00800D22" w:rsidRDefault="00995E2A" w:rsidP="000A32F1">
            <w:pPr>
              <w:rPr>
                <w:sz w:val="18"/>
                <w:szCs w:val="18"/>
              </w:rPr>
            </w:pPr>
            <w:r w:rsidRPr="00800D22">
              <w:rPr>
                <w:sz w:val="18"/>
                <w:szCs w:val="18"/>
              </w:rPr>
              <w:t>0.33</w:t>
            </w:r>
          </w:p>
        </w:tc>
        <w:tc>
          <w:tcPr>
            <w:tcW w:w="506" w:type="pct"/>
            <w:vAlign w:val="center"/>
          </w:tcPr>
          <w:p w14:paraId="31A1EE6C" w14:textId="77777777" w:rsidR="00995E2A" w:rsidRPr="00800D22" w:rsidRDefault="00995E2A" w:rsidP="000A32F1">
            <w:pPr>
              <w:rPr>
                <w:sz w:val="18"/>
                <w:szCs w:val="18"/>
              </w:rPr>
            </w:pPr>
            <w:r w:rsidRPr="00800D22">
              <w:rPr>
                <w:sz w:val="18"/>
                <w:szCs w:val="18"/>
              </w:rPr>
              <w:t>0.57</w:t>
            </w:r>
          </w:p>
        </w:tc>
        <w:tc>
          <w:tcPr>
            <w:tcW w:w="506" w:type="pct"/>
            <w:vAlign w:val="center"/>
          </w:tcPr>
          <w:p w14:paraId="2C447748" w14:textId="77777777" w:rsidR="00995E2A" w:rsidRPr="00800D22" w:rsidRDefault="00995E2A" w:rsidP="000A32F1">
            <w:pPr>
              <w:rPr>
                <w:sz w:val="18"/>
                <w:szCs w:val="18"/>
              </w:rPr>
            </w:pPr>
            <w:r w:rsidRPr="00800D22">
              <w:rPr>
                <w:sz w:val="18"/>
                <w:szCs w:val="18"/>
              </w:rPr>
              <w:t>0.85</w:t>
            </w:r>
          </w:p>
        </w:tc>
        <w:tc>
          <w:tcPr>
            <w:tcW w:w="506" w:type="pct"/>
            <w:vAlign w:val="center"/>
          </w:tcPr>
          <w:p w14:paraId="59A0DB06" w14:textId="77777777" w:rsidR="00995E2A" w:rsidRPr="00800D22" w:rsidRDefault="00995E2A" w:rsidP="000A32F1">
            <w:pPr>
              <w:rPr>
                <w:sz w:val="18"/>
                <w:szCs w:val="18"/>
              </w:rPr>
            </w:pPr>
            <w:r w:rsidRPr="00800D22">
              <w:rPr>
                <w:sz w:val="18"/>
                <w:szCs w:val="18"/>
              </w:rPr>
              <w:t>1.32</w:t>
            </w:r>
          </w:p>
        </w:tc>
        <w:tc>
          <w:tcPr>
            <w:tcW w:w="506" w:type="pct"/>
            <w:vAlign w:val="center"/>
          </w:tcPr>
          <w:p w14:paraId="0AFF552B" w14:textId="77777777" w:rsidR="00995E2A" w:rsidRPr="00800D22" w:rsidRDefault="00995E2A" w:rsidP="000A32F1">
            <w:pPr>
              <w:rPr>
                <w:sz w:val="18"/>
                <w:szCs w:val="18"/>
              </w:rPr>
            </w:pPr>
            <w:r w:rsidRPr="00800D22">
              <w:rPr>
                <w:sz w:val="18"/>
                <w:szCs w:val="18"/>
              </w:rPr>
              <w:t>1.86</w:t>
            </w:r>
          </w:p>
        </w:tc>
        <w:tc>
          <w:tcPr>
            <w:tcW w:w="506" w:type="pct"/>
            <w:vAlign w:val="center"/>
          </w:tcPr>
          <w:p w14:paraId="0072F9E3" w14:textId="77777777" w:rsidR="00995E2A" w:rsidRPr="00800D22" w:rsidRDefault="00995E2A" w:rsidP="000A32F1">
            <w:pPr>
              <w:rPr>
                <w:sz w:val="18"/>
                <w:szCs w:val="18"/>
              </w:rPr>
            </w:pPr>
            <w:r w:rsidRPr="00800D22">
              <w:rPr>
                <w:sz w:val="18"/>
                <w:szCs w:val="18"/>
              </w:rPr>
              <w:t>1.86</w:t>
            </w:r>
          </w:p>
        </w:tc>
        <w:tc>
          <w:tcPr>
            <w:tcW w:w="506" w:type="pct"/>
            <w:vAlign w:val="center"/>
          </w:tcPr>
          <w:p w14:paraId="55E933D5" w14:textId="77777777" w:rsidR="00995E2A" w:rsidRPr="00800D22" w:rsidRDefault="00995E2A" w:rsidP="000A32F1">
            <w:pPr>
              <w:rPr>
                <w:sz w:val="18"/>
                <w:szCs w:val="18"/>
              </w:rPr>
            </w:pPr>
            <w:r w:rsidRPr="00800D22">
              <w:rPr>
                <w:sz w:val="18"/>
                <w:szCs w:val="18"/>
              </w:rPr>
              <w:t>1.86</w:t>
            </w:r>
          </w:p>
        </w:tc>
        <w:tc>
          <w:tcPr>
            <w:tcW w:w="506" w:type="pct"/>
            <w:vAlign w:val="center"/>
          </w:tcPr>
          <w:p w14:paraId="6E765F53" w14:textId="77777777" w:rsidR="00995E2A" w:rsidRPr="00800D22" w:rsidRDefault="00995E2A" w:rsidP="000A32F1">
            <w:pPr>
              <w:rPr>
                <w:sz w:val="18"/>
                <w:szCs w:val="18"/>
              </w:rPr>
            </w:pPr>
            <w:r w:rsidRPr="00800D22">
              <w:rPr>
                <w:sz w:val="18"/>
                <w:szCs w:val="18"/>
              </w:rPr>
              <w:t>1.86</w:t>
            </w:r>
          </w:p>
        </w:tc>
        <w:tc>
          <w:tcPr>
            <w:tcW w:w="506" w:type="pct"/>
            <w:vAlign w:val="center"/>
          </w:tcPr>
          <w:p w14:paraId="4E33DC80" w14:textId="77777777" w:rsidR="00995E2A" w:rsidRPr="00800D22" w:rsidRDefault="00995E2A" w:rsidP="000A32F1">
            <w:pPr>
              <w:rPr>
                <w:sz w:val="18"/>
                <w:szCs w:val="18"/>
              </w:rPr>
            </w:pPr>
            <w:r w:rsidRPr="00800D22">
              <w:rPr>
                <w:sz w:val="18"/>
                <w:szCs w:val="18"/>
              </w:rPr>
              <w:t>1.86</w:t>
            </w:r>
          </w:p>
        </w:tc>
      </w:tr>
      <w:tr w:rsidR="00995E2A" w:rsidRPr="00800D22" w14:paraId="5CE8B061" w14:textId="77777777" w:rsidTr="000A32F1">
        <w:trPr>
          <w:trHeight w:val="284"/>
        </w:trPr>
        <w:tc>
          <w:tcPr>
            <w:tcW w:w="443" w:type="pct"/>
            <w:vAlign w:val="center"/>
          </w:tcPr>
          <w:p w14:paraId="0D4F656A" w14:textId="77777777" w:rsidR="00995E2A" w:rsidRPr="00800D22" w:rsidRDefault="00995E2A" w:rsidP="000A32F1">
            <w:pPr>
              <w:rPr>
                <w:sz w:val="18"/>
                <w:szCs w:val="18"/>
              </w:rPr>
            </w:pPr>
            <w:r w:rsidRPr="00800D22">
              <w:rPr>
                <w:sz w:val="18"/>
                <w:szCs w:val="18"/>
              </w:rPr>
              <w:t>BB</w:t>
            </w:r>
          </w:p>
        </w:tc>
        <w:tc>
          <w:tcPr>
            <w:tcW w:w="506" w:type="pct"/>
            <w:vAlign w:val="center"/>
          </w:tcPr>
          <w:p w14:paraId="39F25A51" w14:textId="77777777" w:rsidR="00995E2A" w:rsidRPr="00800D22" w:rsidRDefault="00995E2A" w:rsidP="000A32F1">
            <w:pPr>
              <w:rPr>
                <w:sz w:val="18"/>
                <w:szCs w:val="18"/>
              </w:rPr>
            </w:pPr>
            <w:r w:rsidRPr="00800D22">
              <w:rPr>
                <w:sz w:val="18"/>
                <w:szCs w:val="18"/>
              </w:rPr>
              <w:t>3.66</w:t>
            </w:r>
          </w:p>
        </w:tc>
        <w:tc>
          <w:tcPr>
            <w:tcW w:w="506" w:type="pct"/>
            <w:vAlign w:val="center"/>
          </w:tcPr>
          <w:p w14:paraId="217FA1DB" w14:textId="77777777" w:rsidR="00995E2A" w:rsidRPr="00800D22" w:rsidRDefault="00995E2A" w:rsidP="000A32F1">
            <w:pPr>
              <w:rPr>
                <w:sz w:val="18"/>
                <w:szCs w:val="18"/>
              </w:rPr>
            </w:pPr>
            <w:r w:rsidRPr="00800D22">
              <w:rPr>
                <w:sz w:val="18"/>
                <w:szCs w:val="18"/>
              </w:rPr>
              <w:t>6.47</w:t>
            </w:r>
          </w:p>
        </w:tc>
        <w:tc>
          <w:tcPr>
            <w:tcW w:w="506" w:type="pct"/>
            <w:vAlign w:val="center"/>
          </w:tcPr>
          <w:p w14:paraId="38710C86" w14:textId="77777777" w:rsidR="00995E2A" w:rsidRPr="00800D22" w:rsidRDefault="00995E2A" w:rsidP="000A32F1">
            <w:pPr>
              <w:rPr>
                <w:sz w:val="18"/>
                <w:szCs w:val="18"/>
              </w:rPr>
            </w:pPr>
            <w:r w:rsidRPr="00800D22">
              <w:rPr>
                <w:sz w:val="18"/>
                <w:szCs w:val="18"/>
              </w:rPr>
              <w:t>8.32</w:t>
            </w:r>
          </w:p>
        </w:tc>
        <w:tc>
          <w:tcPr>
            <w:tcW w:w="506" w:type="pct"/>
            <w:vAlign w:val="center"/>
          </w:tcPr>
          <w:p w14:paraId="63FA52D5" w14:textId="77777777" w:rsidR="00995E2A" w:rsidRPr="00800D22" w:rsidRDefault="00995E2A" w:rsidP="000A32F1">
            <w:pPr>
              <w:rPr>
                <w:sz w:val="18"/>
                <w:szCs w:val="18"/>
              </w:rPr>
            </w:pPr>
            <w:r w:rsidRPr="00800D22">
              <w:rPr>
                <w:sz w:val="18"/>
                <w:szCs w:val="18"/>
              </w:rPr>
              <w:t>8.96</w:t>
            </w:r>
          </w:p>
        </w:tc>
        <w:tc>
          <w:tcPr>
            <w:tcW w:w="506" w:type="pct"/>
            <w:vAlign w:val="center"/>
          </w:tcPr>
          <w:p w14:paraId="1548B3A3" w14:textId="77777777" w:rsidR="00995E2A" w:rsidRPr="00800D22" w:rsidRDefault="00995E2A" w:rsidP="000A32F1">
            <w:pPr>
              <w:rPr>
                <w:sz w:val="18"/>
                <w:szCs w:val="18"/>
              </w:rPr>
            </w:pPr>
            <w:r w:rsidRPr="00800D22">
              <w:rPr>
                <w:sz w:val="18"/>
                <w:szCs w:val="18"/>
              </w:rPr>
              <w:t>9.40</w:t>
            </w:r>
          </w:p>
        </w:tc>
        <w:tc>
          <w:tcPr>
            <w:tcW w:w="506" w:type="pct"/>
            <w:vAlign w:val="center"/>
          </w:tcPr>
          <w:p w14:paraId="21202A2A" w14:textId="77777777" w:rsidR="00995E2A" w:rsidRPr="00800D22" w:rsidRDefault="00995E2A" w:rsidP="000A32F1">
            <w:pPr>
              <w:rPr>
                <w:sz w:val="18"/>
                <w:szCs w:val="18"/>
              </w:rPr>
            </w:pPr>
            <w:r w:rsidRPr="00800D22">
              <w:rPr>
                <w:sz w:val="18"/>
                <w:szCs w:val="18"/>
              </w:rPr>
              <w:t>9.66</w:t>
            </w:r>
          </w:p>
        </w:tc>
        <w:tc>
          <w:tcPr>
            <w:tcW w:w="506" w:type="pct"/>
            <w:vAlign w:val="center"/>
          </w:tcPr>
          <w:p w14:paraId="69FE5EB4" w14:textId="77777777" w:rsidR="00995E2A" w:rsidRPr="00800D22" w:rsidRDefault="00995E2A" w:rsidP="000A32F1">
            <w:pPr>
              <w:rPr>
                <w:sz w:val="18"/>
                <w:szCs w:val="18"/>
              </w:rPr>
            </w:pPr>
            <w:r w:rsidRPr="00800D22">
              <w:rPr>
                <w:sz w:val="18"/>
                <w:szCs w:val="18"/>
              </w:rPr>
              <w:t>10.01</w:t>
            </w:r>
          </w:p>
        </w:tc>
        <w:tc>
          <w:tcPr>
            <w:tcW w:w="506" w:type="pct"/>
            <w:vAlign w:val="center"/>
          </w:tcPr>
          <w:p w14:paraId="5E840A3D" w14:textId="77777777" w:rsidR="00995E2A" w:rsidRPr="00800D22" w:rsidRDefault="00995E2A" w:rsidP="000A32F1">
            <w:pPr>
              <w:rPr>
                <w:sz w:val="18"/>
                <w:szCs w:val="18"/>
              </w:rPr>
            </w:pPr>
            <w:r w:rsidRPr="00800D22">
              <w:rPr>
                <w:sz w:val="18"/>
                <w:szCs w:val="18"/>
              </w:rPr>
              <w:t>10.01</w:t>
            </w:r>
          </w:p>
        </w:tc>
        <w:tc>
          <w:tcPr>
            <w:tcW w:w="506" w:type="pct"/>
            <w:vAlign w:val="center"/>
          </w:tcPr>
          <w:p w14:paraId="0A89A0C1" w14:textId="77777777" w:rsidR="00995E2A" w:rsidRPr="00800D22" w:rsidRDefault="00995E2A" w:rsidP="000A32F1">
            <w:pPr>
              <w:rPr>
                <w:sz w:val="18"/>
                <w:szCs w:val="18"/>
              </w:rPr>
            </w:pPr>
            <w:r w:rsidRPr="00800D22">
              <w:rPr>
                <w:sz w:val="18"/>
                <w:szCs w:val="18"/>
              </w:rPr>
              <w:t>10.01</w:t>
            </w:r>
          </w:p>
        </w:tc>
      </w:tr>
      <w:tr w:rsidR="00995E2A" w:rsidRPr="00800D22" w14:paraId="71EABC81" w14:textId="77777777" w:rsidTr="000A32F1">
        <w:trPr>
          <w:trHeight w:val="284"/>
        </w:trPr>
        <w:tc>
          <w:tcPr>
            <w:tcW w:w="443" w:type="pct"/>
            <w:vAlign w:val="center"/>
          </w:tcPr>
          <w:p w14:paraId="65C34FC7" w14:textId="77777777" w:rsidR="00995E2A" w:rsidRPr="00800D22" w:rsidRDefault="00995E2A" w:rsidP="000A32F1">
            <w:pPr>
              <w:ind w:leftChars="-7" w:left="-15"/>
              <w:rPr>
                <w:sz w:val="18"/>
                <w:szCs w:val="18"/>
              </w:rPr>
            </w:pPr>
            <w:r w:rsidRPr="00800D22">
              <w:rPr>
                <w:sz w:val="18"/>
                <w:szCs w:val="18"/>
              </w:rPr>
              <w:t>B~C</w:t>
            </w:r>
          </w:p>
        </w:tc>
        <w:tc>
          <w:tcPr>
            <w:tcW w:w="506" w:type="pct"/>
            <w:vAlign w:val="center"/>
          </w:tcPr>
          <w:p w14:paraId="10D87DA2" w14:textId="77777777" w:rsidR="00995E2A" w:rsidRPr="00800D22" w:rsidRDefault="00995E2A" w:rsidP="000A32F1">
            <w:pPr>
              <w:rPr>
                <w:sz w:val="18"/>
                <w:szCs w:val="18"/>
              </w:rPr>
            </w:pPr>
            <w:r w:rsidRPr="00800D22">
              <w:rPr>
                <w:sz w:val="18"/>
                <w:szCs w:val="18"/>
              </w:rPr>
              <w:t>11.74</w:t>
            </w:r>
          </w:p>
        </w:tc>
        <w:tc>
          <w:tcPr>
            <w:tcW w:w="506" w:type="pct"/>
            <w:vAlign w:val="center"/>
          </w:tcPr>
          <w:p w14:paraId="5C585863" w14:textId="77777777" w:rsidR="00995E2A" w:rsidRPr="00800D22" w:rsidRDefault="00995E2A" w:rsidP="000A32F1">
            <w:pPr>
              <w:rPr>
                <w:sz w:val="18"/>
                <w:szCs w:val="18"/>
              </w:rPr>
            </w:pPr>
            <w:r w:rsidRPr="00800D22">
              <w:rPr>
                <w:sz w:val="18"/>
                <w:szCs w:val="18"/>
              </w:rPr>
              <w:t>14.35</w:t>
            </w:r>
          </w:p>
        </w:tc>
        <w:tc>
          <w:tcPr>
            <w:tcW w:w="506" w:type="pct"/>
            <w:vAlign w:val="center"/>
          </w:tcPr>
          <w:p w14:paraId="4443B212" w14:textId="77777777" w:rsidR="00995E2A" w:rsidRPr="00800D22" w:rsidRDefault="00995E2A" w:rsidP="000A32F1">
            <w:pPr>
              <w:rPr>
                <w:sz w:val="18"/>
                <w:szCs w:val="18"/>
              </w:rPr>
            </w:pPr>
            <w:r w:rsidRPr="00800D22">
              <w:rPr>
                <w:sz w:val="18"/>
                <w:szCs w:val="18"/>
              </w:rPr>
              <w:t>16.23</w:t>
            </w:r>
          </w:p>
        </w:tc>
        <w:tc>
          <w:tcPr>
            <w:tcW w:w="506" w:type="pct"/>
            <w:vAlign w:val="center"/>
          </w:tcPr>
          <w:p w14:paraId="741329CA" w14:textId="77777777" w:rsidR="00995E2A" w:rsidRPr="00800D22" w:rsidRDefault="00995E2A" w:rsidP="000A32F1">
            <w:pPr>
              <w:rPr>
                <w:sz w:val="18"/>
                <w:szCs w:val="18"/>
              </w:rPr>
            </w:pPr>
            <w:r w:rsidRPr="00800D22">
              <w:rPr>
                <w:sz w:val="18"/>
                <w:szCs w:val="18"/>
              </w:rPr>
              <w:t>16.23</w:t>
            </w:r>
          </w:p>
        </w:tc>
        <w:tc>
          <w:tcPr>
            <w:tcW w:w="506" w:type="pct"/>
            <w:vAlign w:val="center"/>
          </w:tcPr>
          <w:p w14:paraId="1E370EA4" w14:textId="77777777" w:rsidR="00995E2A" w:rsidRPr="00800D22" w:rsidRDefault="00995E2A" w:rsidP="000A32F1">
            <w:pPr>
              <w:rPr>
                <w:sz w:val="18"/>
                <w:szCs w:val="18"/>
              </w:rPr>
            </w:pPr>
            <w:r w:rsidRPr="00800D22">
              <w:rPr>
                <w:sz w:val="18"/>
                <w:szCs w:val="18"/>
              </w:rPr>
              <w:t>16.23</w:t>
            </w:r>
          </w:p>
        </w:tc>
        <w:tc>
          <w:tcPr>
            <w:tcW w:w="506" w:type="pct"/>
            <w:vAlign w:val="center"/>
          </w:tcPr>
          <w:p w14:paraId="41395E8D" w14:textId="77777777" w:rsidR="00995E2A" w:rsidRPr="00800D22" w:rsidRDefault="00995E2A" w:rsidP="000A32F1">
            <w:pPr>
              <w:rPr>
                <w:sz w:val="18"/>
                <w:szCs w:val="18"/>
              </w:rPr>
            </w:pPr>
            <w:r w:rsidRPr="00800D22">
              <w:rPr>
                <w:sz w:val="18"/>
                <w:szCs w:val="18"/>
              </w:rPr>
              <w:t>16.23</w:t>
            </w:r>
          </w:p>
        </w:tc>
        <w:tc>
          <w:tcPr>
            <w:tcW w:w="506" w:type="pct"/>
            <w:vAlign w:val="center"/>
          </w:tcPr>
          <w:p w14:paraId="50ED312C" w14:textId="77777777" w:rsidR="00995E2A" w:rsidRPr="00800D22" w:rsidRDefault="00995E2A" w:rsidP="000A32F1">
            <w:pPr>
              <w:rPr>
                <w:sz w:val="18"/>
                <w:szCs w:val="18"/>
              </w:rPr>
            </w:pPr>
            <w:r w:rsidRPr="00800D22">
              <w:rPr>
                <w:sz w:val="18"/>
                <w:szCs w:val="18"/>
              </w:rPr>
              <w:t>16.23</w:t>
            </w:r>
          </w:p>
        </w:tc>
        <w:tc>
          <w:tcPr>
            <w:tcW w:w="506" w:type="pct"/>
            <w:vAlign w:val="center"/>
          </w:tcPr>
          <w:p w14:paraId="368438AE" w14:textId="77777777" w:rsidR="00995E2A" w:rsidRPr="00800D22" w:rsidRDefault="00995E2A" w:rsidP="000A32F1">
            <w:pPr>
              <w:rPr>
                <w:sz w:val="18"/>
                <w:szCs w:val="18"/>
              </w:rPr>
            </w:pPr>
            <w:r w:rsidRPr="00800D22">
              <w:rPr>
                <w:sz w:val="18"/>
                <w:szCs w:val="18"/>
              </w:rPr>
              <w:t>16.23</w:t>
            </w:r>
          </w:p>
        </w:tc>
        <w:tc>
          <w:tcPr>
            <w:tcW w:w="506" w:type="pct"/>
            <w:vAlign w:val="center"/>
          </w:tcPr>
          <w:p w14:paraId="097F40EF" w14:textId="77777777" w:rsidR="00995E2A" w:rsidRPr="00800D22" w:rsidRDefault="00995E2A" w:rsidP="000A32F1">
            <w:pPr>
              <w:rPr>
                <w:sz w:val="18"/>
                <w:szCs w:val="18"/>
              </w:rPr>
            </w:pPr>
            <w:r w:rsidRPr="00800D22">
              <w:rPr>
                <w:sz w:val="18"/>
                <w:szCs w:val="18"/>
              </w:rPr>
              <w:t>16.23</w:t>
            </w:r>
          </w:p>
        </w:tc>
      </w:tr>
      <w:tr w:rsidR="00995E2A" w:rsidRPr="00800D22" w14:paraId="768D49D6" w14:textId="77777777" w:rsidTr="000A32F1">
        <w:trPr>
          <w:trHeight w:val="284"/>
        </w:trPr>
        <w:tc>
          <w:tcPr>
            <w:tcW w:w="443" w:type="pct"/>
            <w:vAlign w:val="center"/>
          </w:tcPr>
          <w:p w14:paraId="554E9D18" w14:textId="77777777" w:rsidR="00995E2A" w:rsidRPr="00800D22" w:rsidRDefault="00995E2A" w:rsidP="000A32F1">
            <w:pPr>
              <w:rPr>
                <w:sz w:val="18"/>
                <w:szCs w:val="18"/>
              </w:rPr>
            </w:pPr>
            <w:r w:rsidRPr="00800D22">
              <w:rPr>
                <w:sz w:val="18"/>
                <w:szCs w:val="18"/>
              </w:rPr>
              <w:t>平均</w:t>
            </w:r>
          </w:p>
        </w:tc>
        <w:tc>
          <w:tcPr>
            <w:tcW w:w="506" w:type="pct"/>
            <w:vAlign w:val="center"/>
          </w:tcPr>
          <w:p w14:paraId="43ED81DA" w14:textId="77777777" w:rsidR="00995E2A" w:rsidRPr="00800D22" w:rsidRDefault="00995E2A" w:rsidP="000A32F1">
            <w:pPr>
              <w:rPr>
                <w:sz w:val="18"/>
                <w:szCs w:val="18"/>
              </w:rPr>
            </w:pPr>
            <w:r w:rsidRPr="00800D22">
              <w:rPr>
                <w:sz w:val="18"/>
                <w:szCs w:val="18"/>
              </w:rPr>
              <w:t>1.83</w:t>
            </w:r>
          </w:p>
        </w:tc>
        <w:tc>
          <w:tcPr>
            <w:tcW w:w="506" w:type="pct"/>
            <w:vAlign w:val="center"/>
          </w:tcPr>
          <w:p w14:paraId="099B63C3" w14:textId="77777777" w:rsidR="00995E2A" w:rsidRPr="00800D22" w:rsidRDefault="00995E2A" w:rsidP="000A32F1">
            <w:pPr>
              <w:rPr>
                <w:sz w:val="18"/>
                <w:szCs w:val="18"/>
              </w:rPr>
            </w:pPr>
            <w:r w:rsidRPr="00800D22">
              <w:rPr>
                <w:sz w:val="18"/>
                <w:szCs w:val="18"/>
              </w:rPr>
              <w:t>2.75</w:t>
            </w:r>
          </w:p>
        </w:tc>
        <w:tc>
          <w:tcPr>
            <w:tcW w:w="506" w:type="pct"/>
            <w:vAlign w:val="center"/>
          </w:tcPr>
          <w:p w14:paraId="294EE1F8" w14:textId="77777777" w:rsidR="00995E2A" w:rsidRPr="00800D22" w:rsidRDefault="00995E2A" w:rsidP="000A32F1">
            <w:pPr>
              <w:rPr>
                <w:sz w:val="18"/>
                <w:szCs w:val="18"/>
              </w:rPr>
            </w:pPr>
            <w:r w:rsidRPr="00800D22">
              <w:rPr>
                <w:sz w:val="18"/>
                <w:szCs w:val="18"/>
              </w:rPr>
              <w:t>3.45</w:t>
            </w:r>
          </w:p>
        </w:tc>
        <w:tc>
          <w:tcPr>
            <w:tcW w:w="506" w:type="pct"/>
            <w:vAlign w:val="center"/>
          </w:tcPr>
          <w:p w14:paraId="523FAE6D" w14:textId="77777777" w:rsidR="00995E2A" w:rsidRPr="00800D22" w:rsidRDefault="00995E2A" w:rsidP="000A32F1">
            <w:pPr>
              <w:rPr>
                <w:sz w:val="18"/>
                <w:szCs w:val="18"/>
              </w:rPr>
            </w:pPr>
            <w:r w:rsidRPr="00800D22">
              <w:rPr>
                <w:sz w:val="18"/>
                <w:szCs w:val="18"/>
              </w:rPr>
              <w:t>3.78</w:t>
            </w:r>
          </w:p>
        </w:tc>
        <w:tc>
          <w:tcPr>
            <w:tcW w:w="506" w:type="pct"/>
            <w:vAlign w:val="center"/>
          </w:tcPr>
          <w:p w14:paraId="70136270" w14:textId="77777777" w:rsidR="00995E2A" w:rsidRPr="00800D22" w:rsidRDefault="00995E2A" w:rsidP="000A32F1">
            <w:pPr>
              <w:rPr>
                <w:sz w:val="18"/>
                <w:szCs w:val="18"/>
              </w:rPr>
            </w:pPr>
            <w:r w:rsidRPr="00800D22">
              <w:rPr>
                <w:sz w:val="18"/>
                <w:szCs w:val="18"/>
              </w:rPr>
              <w:t>4.09</w:t>
            </w:r>
          </w:p>
        </w:tc>
        <w:tc>
          <w:tcPr>
            <w:tcW w:w="506" w:type="pct"/>
            <w:vAlign w:val="center"/>
          </w:tcPr>
          <w:p w14:paraId="32B45089" w14:textId="77777777" w:rsidR="00995E2A" w:rsidRPr="00800D22" w:rsidRDefault="00995E2A" w:rsidP="000A32F1">
            <w:pPr>
              <w:rPr>
                <w:sz w:val="18"/>
                <w:szCs w:val="18"/>
              </w:rPr>
            </w:pPr>
            <w:r w:rsidRPr="00800D22">
              <w:rPr>
                <w:sz w:val="18"/>
                <w:szCs w:val="18"/>
              </w:rPr>
              <w:t>4.16</w:t>
            </w:r>
          </w:p>
        </w:tc>
        <w:tc>
          <w:tcPr>
            <w:tcW w:w="506" w:type="pct"/>
            <w:vAlign w:val="center"/>
          </w:tcPr>
          <w:p w14:paraId="4A825656" w14:textId="77777777" w:rsidR="00995E2A" w:rsidRPr="00800D22" w:rsidRDefault="00995E2A" w:rsidP="000A32F1">
            <w:pPr>
              <w:rPr>
                <w:sz w:val="18"/>
                <w:szCs w:val="18"/>
              </w:rPr>
            </w:pPr>
            <w:r w:rsidRPr="00800D22">
              <w:rPr>
                <w:sz w:val="18"/>
                <w:szCs w:val="18"/>
              </w:rPr>
              <w:t>4.26</w:t>
            </w:r>
          </w:p>
        </w:tc>
        <w:tc>
          <w:tcPr>
            <w:tcW w:w="506" w:type="pct"/>
            <w:vAlign w:val="center"/>
          </w:tcPr>
          <w:p w14:paraId="0536EE6C" w14:textId="77777777" w:rsidR="00995E2A" w:rsidRPr="00800D22" w:rsidRDefault="00995E2A" w:rsidP="000A32F1">
            <w:pPr>
              <w:rPr>
                <w:sz w:val="18"/>
                <w:szCs w:val="18"/>
              </w:rPr>
            </w:pPr>
            <w:r w:rsidRPr="00800D22">
              <w:rPr>
                <w:sz w:val="18"/>
                <w:szCs w:val="18"/>
              </w:rPr>
              <w:t>4.26</w:t>
            </w:r>
          </w:p>
        </w:tc>
        <w:tc>
          <w:tcPr>
            <w:tcW w:w="506" w:type="pct"/>
            <w:vAlign w:val="center"/>
          </w:tcPr>
          <w:p w14:paraId="27655C29" w14:textId="77777777" w:rsidR="00995E2A" w:rsidRPr="00800D22" w:rsidRDefault="00995E2A" w:rsidP="000A32F1">
            <w:pPr>
              <w:rPr>
                <w:sz w:val="18"/>
                <w:szCs w:val="18"/>
              </w:rPr>
            </w:pPr>
            <w:r w:rsidRPr="00800D22">
              <w:rPr>
                <w:sz w:val="18"/>
                <w:szCs w:val="18"/>
              </w:rPr>
              <w:t>4.26</w:t>
            </w:r>
          </w:p>
        </w:tc>
      </w:tr>
    </w:tbl>
    <w:p w14:paraId="255698BF" w14:textId="77777777" w:rsidR="00995E2A" w:rsidRPr="00800D22" w:rsidRDefault="00995E2A" w:rsidP="00995E2A">
      <w:pPr>
        <w:spacing w:line="285" w:lineRule="atLeast"/>
        <w:rPr>
          <w:rStyle w:val="apple-style-span"/>
          <w:vanish/>
        </w:rPr>
      </w:pPr>
    </w:p>
    <w:p w14:paraId="062E9090" w14:textId="77777777" w:rsidR="00995E2A" w:rsidRPr="00800D22" w:rsidRDefault="00995E2A" w:rsidP="00995E2A">
      <w:pPr>
        <w:pStyle w:val="Default"/>
        <w:rPr>
          <w:rFonts w:ascii="Times New Roman" w:hAnsi="Times New Roman" w:cs="Times New Roman"/>
          <w:color w:val="auto"/>
          <w:sz w:val="18"/>
          <w:szCs w:val="18"/>
        </w:rPr>
      </w:pPr>
      <w:r w:rsidRPr="00800D22">
        <w:rPr>
          <w:rFonts w:ascii="Times New Roman" w:hAnsi="Times New Roman" w:cs="Times New Roman"/>
          <w:color w:val="auto"/>
          <w:sz w:val="18"/>
          <w:szCs w:val="18"/>
        </w:rPr>
        <w:t>数据来源：</w:t>
      </w:r>
      <w:r w:rsidRPr="00800D22">
        <w:rPr>
          <w:rFonts w:ascii="Times New Roman" w:hAnsi="Times New Roman" w:cs="Times New Roman"/>
          <w:color w:val="auto"/>
          <w:sz w:val="18"/>
          <w:szCs w:val="18"/>
        </w:rPr>
        <w:t xml:space="preserve">Korea Ratings </w:t>
      </w:r>
    </w:p>
    <w:p w14:paraId="436C8821" w14:textId="77777777" w:rsidR="00995E2A" w:rsidRPr="00800D22" w:rsidRDefault="00995E2A" w:rsidP="00995E2A">
      <w:pPr>
        <w:pStyle w:val="Default"/>
        <w:spacing w:afterLines="100" w:after="312"/>
        <w:rPr>
          <w:rFonts w:ascii="Times New Roman" w:hAnsi="Times New Roman" w:cs="Times New Roman" w:hint="eastAsia"/>
          <w:color w:val="auto"/>
          <w:sz w:val="18"/>
          <w:szCs w:val="18"/>
        </w:rPr>
      </w:pPr>
      <w:r w:rsidRPr="00800D22">
        <w:rPr>
          <w:rFonts w:ascii="Times New Roman" w:hAnsi="Times New Roman" w:cs="Times New Roman"/>
          <w:color w:val="auto"/>
          <w:sz w:val="18"/>
          <w:szCs w:val="18"/>
        </w:rPr>
        <w:t>注：数据的时间区间为</w:t>
      </w:r>
      <w:r w:rsidRPr="00800D22">
        <w:rPr>
          <w:rFonts w:ascii="Times New Roman" w:hAnsi="Times New Roman" w:cs="Times New Roman"/>
          <w:color w:val="auto"/>
          <w:sz w:val="18"/>
          <w:szCs w:val="18"/>
        </w:rPr>
        <w:t>1998</w:t>
      </w:r>
      <w:r w:rsidRPr="00800D22">
        <w:rPr>
          <w:rFonts w:ascii="Times New Roman" w:hAnsi="Times New Roman" w:cs="Times New Roman"/>
          <w:color w:val="auto"/>
          <w:sz w:val="18"/>
          <w:szCs w:val="18"/>
        </w:rPr>
        <w:t>年</w:t>
      </w:r>
      <w:r w:rsidRPr="00800D22">
        <w:rPr>
          <w:rFonts w:ascii="Times New Roman" w:hAnsi="Times New Roman" w:cs="Times New Roman"/>
          <w:color w:val="auto"/>
          <w:sz w:val="18"/>
          <w:szCs w:val="18"/>
        </w:rPr>
        <w:t>~2007</w:t>
      </w:r>
      <w:r w:rsidRPr="00800D22">
        <w:rPr>
          <w:rFonts w:ascii="Times New Roman" w:hAnsi="Times New Roman" w:cs="Times New Roman"/>
          <w:color w:val="auto"/>
          <w:sz w:val="18"/>
          <w:szCs w:val="18"/>
        </w:rPr>
        <w:t>年</w:t>
      </w:r>
      <w:r w:rsidRPr="00800D22">
        <w:rPr>
          <w:rFonts w:ascii="Times New Roman" w:hAnsi="Times New Roman" w:cs="Times New Roman" w:hint="eastAsia"/>
          <w:color w:val="auto"/>
          <w:sz w:val="18"/>
          <w:szCs w:val="18"/>
        </w:rPr>
        <w:t>。</w:t>
      </w:r>
    </w:p>
    <w:p w14:paraId="35AF2D16" w14:textId="754569B1" w:rsidR="00995E2A" w:rsidRPr="00800D22" w:rsidRDefault="00995E2A" w:rsidP="00995E2A">
      <w:pPr>
        <w:spacing w:afterLines="100" w:after="312" w:line="440" w:lineRule="exact"/>
        <w:ind w:firstLine="465"/>
        <w:rPr>
          <w:sz w:val="24"/>
        </w:rPr>
      </w:pPr>
      <w:r w:rsidRPr="00800D22">
        <w:rPr>
          <w:sz w:val="24"/>
        </w:rPr>
        <w:t>为了降低优先层债券投资者面临的违约风险，提升</w:t>
      </w:r>
      <w:r w:rsidRPr="00800D22">
        <w:rPr>
          <w:sz w:val="24"/>
        </w:rPr>
        <w:t>P-CBO</w:t>
      </w:r>
      <w:r w:rsidRPr="00800D22">
        <w:rPr>
          <w:sz w:val="24"/>
        </w:rPr>
        <w:t>的吸引力，自第二</w:t>
      </w:r>
      <w:r w:rsidRPr="00800D22">
        <w:rPr>
          <w:rFonts w:hint="eastAsia"/>
          <w:sz w:val="24"/>
        </w:rPr>
        <w:t>期</w:t>
      </w:r>
      <w:r w:rsidRPr="00800D22">
        <w:rPr>
          <w:sz w:val="24"/>
        </w:rPr>
        <w:t>P-CBO</w:t>
      </w:r>
      <w:r w:rsidRPr="00800D22">
        <w:rPr>
          <w:sz w:val="24"/>
        </w:rPr>
        <w:t>开始，</w:t>
      </w:r>
      <w:r w:rsidRPr="00800D22">
        <w:rPr>
          <w:sz w:val="24"/>
        </w:rPr>
        <w:t>SBC</w:t>
      </w:r>
      <w:r w:rsidRPr="00800D22">
        <w:rPr>
          <w:sz w:val="24"/>
        </w:rPr>
        <w:t>就尝试在</w:t>
      </w:r>
      <w:r w:rsidRPr="00800D22">
        <w:rPr>
          <w:sz w:val="24"/>
        </w:rPr>
        <w:t>P-CBO</w:t>
      </w:r>
      <w:r w:rsidRPr="00800D22">
        <w:rPr>
          <w:sz w:val="24"/>
        </w:rPr>
        <w:t>发行中引入第三方担保，对优先层债券予以担保</w:t>
      </w:r>
      <w:r w:rsidRPr="00800D22">
        <w:rPr>
          <w:rFonts w:hint="eastAsia"/>
          <w:sz w:val="24"/>
        </w:rPr>
        <w:t>。</w:t>
      </w:r>
      <w:r w:rsidRPr="00800D22">
        <w:rPr>
          <w:sz w:val="24"/>
        </w:rPr>
        <w:t>P-CBO</w:t>
      </w:r>
      <w:r w:rsidRPr="00800D22">
        <w:rPr>
          <w:sz w:val="24"/>
        </w:rPr>
        <w:t>中的担保一般由韩国政策性担保机构</w:t>
      </w:r>
      <w:r w:rsidRPr="00800D22">
        <w:rPr>
          <w:sz w:val="24"/>
        </w:rPr>
        <w:t>KCGF</w:t>
      </w:r>
      <w:r w:rsidRPr="00800D22">
        <w:rPr>
          <w:rFonts w:hint="eastAsia"/>
          <w:sz w:val="24"/>
        </w:rPr>
        <w:t>（</w:t>
      </w:r>
      <w:r w:rsidRPr="00800D22">
        <w:rPr>
          <w:sz w:val="24"/>
        </w:rPr>
        <w:t>Korea Credit Guarantee Fund</w:t>
      </w:r>
      <w:r w:rsidRPr="00800D22">
        <w:rPr>
          <w:rFonts w:hint="eastAsia"/>
          <w:sz w:val="24"/>
        </w:rPr>
        <w:t>）</w:t>
      </w:r>
      <w:r w:rsidRPr="00800D22">
        <w:rPr>
          <w:sz w:val="24"/>
        </w:rPr>
        <w:t>或</w:t>
      </w:r>
      <w:r w:rsidRPr="00800D22">
        <w:rPr>
          <w:sz w:val="24"/>
        </w:rPr>
        <w:t>KTCGF</w:t>
      </w:r>
      <w:r w:rsidRPr="00800D22">
        <w:rPr>
          <w:rFonts w:hint="eastAsia"/>
          <w:sz w:val="24"/>
        </w:rPr>
        <w:t>（</w:t>
      </w:r>
      <w:r w:rsidRPr="00800D22">
        <w:rPr>
          <w:sz w:val="24"/>
        </w:rPr>
        <w:t>Korea Technology Credit Guarantee Fund</w:t>
      </w:r>
      <w:r w:rsidRPr="00800D22">
        <w:rPr>
          <w:rFonts w:hint="eastAsia"/>
          <w:sz w:val="24"/>
        </w:rPr>
        <w:t>）</w:t>
      </w:r>
      <w:r w:rsidRPr="00800D22">
        <w:rPr>
          <w:sz w:val="24"/>
        </w:rPr>
        <w:t>提供，这两家担保机构均将为</w:t>
      </w:r>
      <w:r w:rsidRPr="00800D22">
        <w:rPr>
          <w:sz w:val="24"/>
        </w:rPr>
        <w:t>P-CBO</w:t>
      </w:r>
      <w:r w:rsidRPr="00800D22">
        <w:rPr>
          <w:sz w:val="24"/>
        </w:rPr>
        <w:t>担保列为其主要业务范围。引入第三方担保后，</w:t>
      </w:r>
      <w:r w:rsidRPr="00800D22">
        <w:rPr>
          <w:sz w:val="24"/>
        </w:rPr>
        <w:t>P-CBO</w:t>
      </w:r>
      <w:r w:rsidRPr="00800D22">
        <w:rPr>
          <w:sz w:val="24"/>
        </w:rPr>
        <w:t>交易结构一般如图</w:t>
      </w:r>
      <w:r w:rsidRPr="00800D22">
        <w:rPr>
          <w:rFonts w:hint="eastAsia"/>
          <w:sz w:val="24"/>
        </w:rPr>
        <w:t>4</w:t>
      </w:r>
      <w:r w:rsidRPr="00800D22">
        <w:rPr>
          <w:sz w:val="24"/>
        </w:rPr>
        <w:t>所示：</w:t>
      </w:r>
    </w:p>
    <w:p w14:paraId="1C616954" w14:textId="77777777" w:rsidR="00995E2A" w:rsidRPr="00800D22" w:rsidRDefault="00995E2A" w:rsidP="00995E2A">
      <w:pPr>
        <w:autoSpaceDE w:val="0"/>
        <w:autoSpaceDN w:val="0"/>
        <w:adjustRightInd w:val="0"/>
        <w:jc w:val="left"/>
        <w:rPr>
          <w:kern w:val="0"/>
          <w:sz w:val="24"/>
        </w:rPr>
      </w:pPr>
      <w:r w:rsidRPr="00800D22">
        <w:rPr>
          <w:noProof/>
          <w:kern w:val="0"/>
          <w:sz w:val="24"/>
        </w:rPr>
      </w:r>
      <w:r w:rsidRPr="00800D22">
        <w:rPr>
          <w:kern w:val="0"/>
          <w:sz w:val="24"/>
        </w:rPr>
        <w:pict w14:anchorId="42820E9A">
          <v:group id="_x0000_s1026" editas="canvas" style="width:396pt;height:257.4pt;mso-position-horizontal-relative:char;mso-position-vertical-relative:line" coordorigin="1828,10140" coordsize="7920,5148">
            <o:lock v:ext="edit" aspectratio="t"/>
            <v:shape id="_x0000_s1027" type="#_x0000_t75" style="position:absolute;left:1828;top:10140;width:7920;height:5148" o:preferrelative="f" stroked="t" strokecolor="white">
              <v:fill o:detectmouseclick="t"/>
              <v:path o:extrusionok="t" o:connecttype="none"/>
              <o:lock v:ext="edit" text="t"/>
            </v:shape>
            <v:group id="_x0000_s1028" style="position:absolute;left:2563;top:10283;width:6345;height:4849" coordorigin="2563,10283" coordsize="6345,4849">
              <v:rect id="_x0000_s1029" style="position:absolute;left:4543;top:10283;width:2160;height:468">
                <v:textbox style="mso-next-textbox:#_x0000_s1029">
                  <w:txbxContent>
                    <w:p w14:paraId="282ECB3E" w14:textId="77777777" w:rsidR="00995E2A" w:rsidRPr="00C93A7A" w:rsidRDefault="00995E2A" w:rsidP="00995E2A">
                      <w:pPr>
                        <w:jc w:val="center"/>
                        <w:rPr>
                          <w:b/>
                        </w:rPr>
                      </w:pPr>
                      <w:r w:rsidRPr="00C93A7A">
                        <w:rPr>
                          <w:rFonts w:hAnsi="宋体"/>
                          <w:b/>
                        </w:rPr>
                        <w:t>中小企业</w:t>
                      </w:r>
                    </w:p>
                  </w:txbxContent>
                </v:textbox>
              </v:rect>
              <v:rect id="_x0000_s1030" style="position:absolute;left:4003;top:11379;width:3240;height:468">
                <v:textbox style="mso-next-textbox:#_x0000_s1030">
                  <w:txbxContent>
                    <w:p w14:paraId="48458207" w14:textId="77777777" w:rsidR="00995E2A" w:rsidRPr="009867DB" w:rsidRDefault="00995E2A" w:rsidP="00995E2A">
                      <w:pPr>
                        <w:jc w:val="center"/>
                        <w:rPr>
                          <w:rFonts w:hint="eastAsia"/>
                          <w:b/>
                        </w:rPr>
                      </w:pPr>
                      <w:r w:rsidRPr="00AE7888">
                        <w:rPr>
                          <w:rFonts w:hint="eastAsia"/>
                          <w:b/>
                        </w:rPr>
                        <w:t>Small Business Corporation</w:t>
                      </w:r>
                    </w:p>
                  </w:txbxContent>
                </v:textbox>
              </v:rect>
              <v:rect id="_x0000_s1031" style="position:absolute;left:3028;top:13881;width:1620;height:469">
                <v:textbox style="mso-next-textbox:#_x0000_s1031">
                  <w:txbxContent>
                    <w:p w14:paraId="0C7D256A" w14:textId="77777777" w:rsidR="00995E2A" w:rsidRPr="009867DB" w:rsidRDefault="00995E2A" w:rsidP="00995E2A">
                      <w:pPr>
                        <w:jc w:val="center"/>
                        <w:rPr>
                          <w:b/>
                          <w:szCs w:val="21"/>
                        </w:rPr>
                      </w:pPr>
                      <w:r w:rsidRPr="009867DB">
                        <w:rPr>
                          <w:b/>
                          <w:szCs w:val="21"/>
                        </w:rPr>
                        <w:t>优先层债券</w:t>
                      </w:r>
                    </w:p>
                    <w:p w14:paraId="38111752" w14:textId="77777777" w:rsidR="00995E2A" w:rsidRDefault="00995E2A" w:rsidP="00995E2A">
                      <w:pPr>
                        <w:rPr>
                          <w:rFonts w:hint="eastAsia"/>
                        </w:rPr>
                      </w:pPr>
                    </w:p>
                  </w:txbxContent>
                </v:textbox>
              </v:rect>
              <v:rect id="_x0000_s1032" style="position:absolute;left:6448;top:13820;width:1800;height:470">
                <v:textbox style="mso-next-textbox:#_x0000_s1032">
                  <w:txbxContent>
                    <w:p w14:paraId="775540E5" w14:textId="77777777" w:rsidR="00995E2A" w:rsidRPr="00C93A7A" w:rsidRDefault="00995E2A" w:rsidP="00995E2A">
                      <w:pPr>
                        <w:jc w:val="center"/>
                        <w:rPr>
                          <w:b/>
                        </w:rPr>
                      </w:pPr>
                      <w:r>
                        <w:rPr>
                          <w:rFonts w:hint="eastAsia"/>
                          <w:b/>
                        </w:rPr>
                        <w:t>次级</w:t>
                      </w:r>
                      <w:r w:rsidRPr="00C93A7A">
                        <w:rPr>
                          <w:b/>
                        </w:rPr>
                        <w:t>层债券</w:t>
                      </w:r>
                    </w:p>
                    <w:p w14:paraId="1CA78ABB" w14:textId="77777777" w:rsidR="00995E2A" w:rsidRPr="00C93A7A" w:rsidRDefault="00995E2A" w:rsidP="00995E2A">
                      <w:pPr>
                        <w:ind w:firstLineChars="50" w:firstLine="90"/>
                        <w:jc w:val="center"/>
                        <w:rPr>
                          <w:sz w:val="18"/>
                          <w:szCs w:val="18"/>
                        </w:rPr>
                      </w:pPr>
                    </w:p>
                  </w:txbxContent>
                </v:textbox>
              </v:rect>
              <v:rect id="_x0000_s1033" style="position:absolute;left:6928;top:12960;width:1980;height:480">
                <v:textbox style="mso-next-textbox:#_x0000_s1033">
                  <w:txbxContent>
                    <w:p w14:paraId="2C12CE13" w14:textId="77777777" w:rsidR="00995E2A" w:rsidRPr="00C433E9" w:rsidRDefault="00995E2A" w:rsidP="00995E2A">
                      <w:pPr>
                        <w:ind w:leftChars="-42" w:left="17" w:hangingChars="50" w:hanging="105"/>
                        <w:jc w:val="center"/>
                        <w:rPr>
                          <w:rFonts w:hint="eastAsia"/>
                          <w:b/>
                          <w:sz w:val="18"/>
                          <w:szCs w:val="18"/>
                        </w:rPr>
                      </w:pPr>
                      <w:r w:rsidRPr="00C433E9">
                        <w:rPr>
                          <w:rFonts w:hAnsi="宋体" w:hint="eastAsia"/>
                          <w:b/>
                          <w:color w:val="000000"/>
                          <w:szCs w:val="21"/>
                        </w:rPr>
                        <w:t>K</w:t>
                      </w:r>
                      <w:r w:rsidRPr="00A5128C">
                        <w:rPr>
                          <w:rFonts w:hAnsi="宋体" w:hint="eastAsia"/>
                          <w:b/>
                          <w:color w:val="000000"/>
                          <w:szCs w:val="21"/>
                        </w:rPr>
                        <w:t>CGF</w:t>
                      </w:r>
                      <w:r w:rsidRPr="00A5128C">
                        <w:rPr>
                          <w:rFonts w:hint="eastAsia"/>
                          <w:b/>
                          <w:color w:val="000000"/>
                          <w:kern w:val="0"/>
                          <w:szCs w:val="21"/>
                        </w:rPr>
                        <w:t>/KOTEC</w:t>
                      </w:r>
                    </w:p>
                  </w:txbxContent>
                </v:textbox>
              </v:rect>
              <v:line id="_x0000_s1034" style="position:absolute;flip:y" from="5983,10752" to="5984,11378">
                <v:stroke endarrow="block"/>
              </v:line>
              <v:line id="_x0000_s1035" style="position:absolute" from="5398,10752" to="5399,11378">
                <v:stroke endarrow="block"/>
              </v:line>
              <v:line id="_x0000_s1036" style="position:absolute" from="5623,11847" to="5624,12316">
                <v:stroke endarrow="block"/>
              </v:line>
              <v:shape id="_x0000_s1037" type="#_x0000_t34" style="position:absolute;left:4183;top:12441;width:1095;height:1785;rotation:90" o:connectortype="elbow" adj="14380,-91083,-128868">
                <v:stroke endarrow="block"/>
              </v:shape>
              <v:shape id="_x0000_s1038" type="#_x0000_t34" style="position:absolute;left:5969;top:12440;width:1034;height:1725;rotation:90;flip:x" o:connectortype="elbow" adj="14902,94251,-136360">
                <v:stroke endarrow="block"/>
              </v:shape>
              <v:line id="_x0000_s1039" style="position:absolute;flip:x" from="5623,13248" to="6883,13249">
                <v:stroke endarrow="block"/>
              </v:line>
              <v:line id="_x0000_s1040" style="position:absolute" from="3823,14350" to="3824,14663">
                <v:stroke endarrow="block"/>
              </v:line>
              <v:line id="_x0000_s1041" style="position:absolute" from="7348,14320" to="7349,14634">
                <v:stroke endarrow="block"/>
              </v:line>
              <v:rect id="_x0000_s1042" style="position:absolute;left:2743;top:14663;width:2160;height:469">
                <v:textbox style="mso-next-textbox:#_x0000_s1042">
                  <w:txbxContent>
                    <w:p w14:paraId="71A743C3" w14:textId="77777777" w:rsidR="00995E2A" w:rsidRPr="009867DB" w:rsidRDefault="00995E2A" w:rsidP="00995E2A">
                      <w:pPr>
                        <w:jc w:val="center"/>
                        <w:rPr>
                          <w:rFonts w:hint="eastAsia"/>
                          <w:b/>
                        </w:rPr>
                      </w:pPr>
                      <w:r>
                        <w:rPr>
                          <w:rFonts w:hint="eastAsia"/>
                          <w:b/>
                        </w:rPr>
                        <w:t>其他</w:t>
                      </w:r>
                      <w:r w:rsidRPr="009867DB">
                        <w:rPr>
                          <w:rFonts w:hint="eastAsia"/>
                          <w:b/>
                        </w:rPr>
                        <w:t>投资者</w:t>
                      </w:r>
                    </w:p>
                  </w:txbxContent>
                </v:textbox>
              </v:rect>
              <v:rect id="_x0000_s1043" style="position:absolute;left:5908;top:14663;width:2880;height:469">
                <v:textbox style="mso-next-textbox:#_x0000_s1043">
                  <w:txbxContent>
                    <w:p w14:paraId="749CFC9E" w14:textId="77777777" w:rsidR="00995E2A" w:rsidRPr="00AE7888" w:rsidRDefault="00995E2A" w:rsidP="00995E2A">
                      <w:pPr>
                        <w:jc w:val="center"/>
                        <w:rPr>
                          <w:rFonts w:hint="eastAsia"/>
                          <w:b/>
                        </w:rPr>
                      </w:pPr>
                      <w:r w:rsidRPr="00AE7888">
                        <w:rPr>
                          <w:rFonts w:hint="eastAsia"/>
                          <w:b/>
                        </w:rPr>
                        <w:t>Small Business Corporation</w:t>
                      </w:r>
                    </w:p>
                    <w:p w14:paraId="459436FA" w14:textId="77777777" w:rsidR="00995E2A" w:rsidRPr="00AE7888" w:rsidRDefault="00995E2A" w:rsidP="00995E2A">
                      <w:pPr>
                        <w:jc w:val="center"/>
                        <w:rPr>
                          <w:rFonts w:hint="eastAsia"/>
                          <w:b/>
                        </w:rPr>
                      </w:pPr>
                      <w:r w:rsidRPr="00AE7888">
                        <w:rPr>
                          <w:rFonts w:hint="eastAsia"/>
                          <w:b/>
                        </w:rPr>
                        <w:t>Business Corporation</w:t>
                      </w:r>
                    </w:p>
                    <w:p w14:paraId="620DFF24" w14:textId="77777777" w:rsidR="00995E2A" w:rsidRPr="009867DB" w:rsidRDefault="00995E2A" w:rsidP="00995E2A">
                      <w:pPr>
                        <w:rPr>
                          <w:b/>
                        </w:rPr>
                      </w:pPr>
                    </w:p>
                  </w:txbxContent>
                </v:textbox>
              </v:rect>
              <v:rect id="_x0000_s1044" style="position:absolute;left:4423;top:10863;width:1305;height:470" filled="f" stroked="f">
                <v:textbox style="mso-next-textbox:#_x0000_s1044">
                  <w:txbxContent>
                    <w:p w14:paraId="3D91B483" w14:textId="77777777" w:rsidR="00995E2A" w:rsidRPr="008254F7" w:rsidRDefault="00995E2A" w:rsidP="00995E2A">
                      <w:pPr>
                        <w:rPr>
                          <w:rFonts w:hint="eastAsia"/>
                          <w:sz w:val="18"/>
                          <w:szCs w:val="18"/>
                        </w:rPr>
                      </w:pPr>
                      <w:r w:rsidRPr="008254F7">
                        <w:rPr>
                          <w:rFonts w:hint="eastAsia"/>
                          <w:sz w:val="18"/>
                          <w:szCs w:val="18"/>
                        </w:rPr>
                        <w:t>公司债</w:t>
                      </w:r>
                      <w:r>
                        <w:rPr>
                          <w:rFonts w:hint="eastAsia"/>
                          <w:sz w:val="18"/>
                          <w:szCs w:val="18"/>
                        </w:rPr>
                        <w:t>券</w:t>
                      </w:r>
                    </w:p>
                  </w:txbxContent>
                </v:textbox>
              </v:rect>
              <v:rect id="_x0000_s1045" style="position:absolute;left:5908;top:10908;width:1155;height:470" filled="f" stroked="f">
                <v:textbox style="mso-next-textbox:#_x0000_s1045">
                  <w:txbxContent>
                    <w:p w14:paraId="7C933AD9" w14:textId="77777777" w:rsidR="00995E2A" w:rsidRPr="008254F7" w:rsidRDefault="00995E2A" w:rsidP="00995E2A">
                      <w:pPr>
                        <w:rPr>
                          <w:rFonts w:hint="eastAsia"/>
                          <w:sz w:val="18"/>
                          <w:szCs w:val="18"/>
                        </w:rPr>
                      </w:pPr>
                      <w:r>
                        <w:rPr>
                          <w:rFonts w:hint="eastAsia"/>
                          <w:sz w:val="18"/>
                          <w:szCs w:val="18"/>
                        </w:rPr>
                        <w:t>募集资金</w:t>
                      </w:r>
                    </w:p>
                  </w:txbxContent>
                </v:textbox>
              </v:rect>
              <v:rect id="_x0000_s1046" style="position:absolute;left:5713;top:12906;width:1365;height:469" filled="f" stroked="f">
                <v:textbox style="mso-next-textbox:#_x0000_s1046">
                  <w:txbxContent>
                    <w:p w14:paraId="00BAC8E2" w14:textId="77777777" w:rsidR="00995E2A" w:rsidRPr="008254F7" w:rsidRDefault="00995E2A" w:rsidP="00995E2A">
                      <w:pPr>
                        <w:rPr>
                          <w:rFonts w:hint="eastAsia"/>
                          <w:sz w:val="18"/>
                          <w:szCs w:val="18"/>
                        </w:rPr>
                      </w:pPr>
                      <w:r>
                        <w:rPr>
                          <w:rFonts w:hint="eastAsia"/>
                          <w:sz w:val="18"/>
                          <w:szCs w:val="18"/>
                        </w:rPr>
                        <w:t>第三方担保</w:t>
                      </w:r>
                    </w:p>
                  </w:txbxContent>
                </v:textbox>
              </v:rect>
              <v:rect id="_x0000_s1047" style="position:absolute;left:4543;top:11846;width:1155;height:470" filled="f" stroked="f">
                <v:textbox style="mso-next-textbox:#_x0000_s1047">
                  <w:txbxContent>
                    <w:p w14:paraId="164FC404" w14:textId="77777777" w:rsidR="00995E2A" w:rsidRPr="008254F7" w:rsidRDefault="00995E2A" w:rsidP="00995E2A">
                      <w:pPr>
                        <w:rPr>
                          <w:rFonts w:hint="eastAsia"/>
                          <w:sz w:val="18"/>
                          <w:szCs w:val="18"/>
                        </w:rPr>
                      </w:pPr>
                      <w:r>
                        <w:rPr>
                          <w:rFonts w:hint="eastAsia"/>
                          <w:sz w:val="18"/>
                          <w:szCs w:val="18"/>
                        </w:rPr>
                        <w:t>破产隔离</w:t>
                      </w:r>
                    </w:p>
                  </w:txbxContent>
                </v:textbox>
              </v:rect>
              <v:oval id="_x0000_s1048" style="position:absolute;left:4828;top:12316;width:1620;height:626">
                <v:textbox style="mso-next-textbox:#_x0000_s1048">
                  <w:txbxContent>
                    <w:p w14:paraId="10580165" w14:textId="77777777" w:rsidR="00995E2A" w:rsidRPr="007125A6" w:rsidRDefault="00995E2A" w:rsidP="00995E2A">
                      <w:pPr>
                        <w:jc w:val="center"/>
                        <w:rPr>
                          <w:rFonts w:hint="eastAsia"/>
                          <w:b/>
                        </w:rPr>
                      </w:pPr>
                      <w:r w:rsidRPr="007125A6">
                        <w:rPr>
                          <w:rFonts w:hint="eastAsia"/>
                          <w:b/>
                        </w:rPr>
                        <w:t>SPC</w:t>
                      </w:r>
                    </w:p>
                  </w:txbxContent>
                </v:textbox>
              </v:oval>
              <v:rect id="_x0000_s1049" style="position:absolute;left:2563;top:12963;width:1800;height:480">
                <v:textbox style="mso-next-textbox:#_x0000_s1049">
                  <w:txbxContent>
                    <w:p w14:paraId="22B43B44" w14:textId="77777777" w:rsidR="00995E2A" w:rsidRPr="00C433E9" w:rsidRDefault="00995E2A" w:rsidP="00995E2A">
                      <w:pPr>
                        <w:ind w:leftChars="-42" w:left="17" w:hangingChars="50" w:hanging="105"/>
                        <w:jc w:val="center"/>
                        <w:rPr>
                          <w:rFonts w:hint="eastAsia"/>
                          <w:b/>
                          <w:sz w:val="18"/>
                          <w:szCs w:val="18"/>
                        </w:rPr>
                      </w:pPr>
                      <w:r>
                        <w:rPr>
                          <w:rFonts w:hAnsi="宋体" w:hint="eastAsia"/>
                          <w:b/>
                          <w:color w:val="000000"/>
                          <w:szCs w:val="21"/>
                        </w:rPr>
                        <w:t>信用评级机构</w:t>
                      </w:r>
                    </w:p>
                  </w:txbxContent>
                </v:textbox>
              </v:rect>
              <v:line id="_x0000_s1050" style="position:absolute" from="4348,13254" to="5608,13255">
                <v:stroke endarrow="block"/>
              </v:line>
              <v:rect id="_x0000_s1051" style="position:absolute;left:4348;top:12897;width:1365;height:469" filled="f" stroked="f">
                <v:textbox style="mso-next-textbox:#_x0000_s1051">
                  <w:txbxContent>
                    <w:p w14:paraId="2DFE79EC" w14:textId="77777777" w:rsidR="00995E2A" w:rsidRPr="008254F7" w:rsidRDefault="00995E2A" w:rsidP="00995E2A">
                      <w:pPr>
                        <w:rPr>
                          <w:rFonts w:hint="eastAsia"/>
                          <w:sz w:val="18"/>
                          <w:szCs w:val="18"/>
                        </w:rPr>
                      </w:pPr>
                      <w:r>
                        <w:rPr>
                          <w:rFonts w:hint="eastAsia"/>
                          <w:sz w:val="18"/>
                          <w:szCs w:val="18"/>
                        </w:rPr>
                        <w:t>信用评级</w:t>
                      </w:r>
                    </w:p>
                  </w:txbxContent>
                </v:textbox>
              </v:rect>
            </v:group>
            <w10:anchorlock/>
          </v:group>
        </w:pict>
      </w:r>
    </w:p>
    <w:p w14:paraId="6012882A" w14:textId="3D28CF9F" w:rsidR="00995E2A" w:rsidRPr="00800D22" w:rsidRDefault="00995E2A" w:rsidP="00995E2A">
      <w:pPr>
        <w:pStyle w:val="aff1"/>
        <w:jc w:val="center"/>
        <w:rPr>
          <w:rFonts w:ascii="Times New Roman" w:eastAsia="新宋体" w:hAnsi="新宋体" w:cs="Times New Roman" w:hint="eastAsia"/>
          <w:sz w:val="21"/>
          <w:szCs w:val="21"/>
        </w:rPr>
      </w:pPr>
      <w:bookmarkStart w:id="23" w:name="_Toc256507187"/>
      <w:r w:rsidRPr="00800D22">
        <w:rPr>
          <w:rFonts w:ascii="Times New Roman" w:eastAsia="新宋体" w:hAnsi="新宋体" w:cs="Times New Roman" w:hint="eastAsia"/>
          <w:sz w:val="21"/>
          <w:szCs w:val="21"/>
        </w:rPr>
        <w:t>图</w:t>
      </w:r>
      <w:r w:rsidRPr="00800D22">
        <w:rPr>
          <w:rFonts w:ascii="Times New Roman" w:eastAsia="新宋体" w:hAnsi="新宋体" w:cs="Times New Roman"/>
          <w:sz w:val="21"/>
          <w:szCs w:val="21"/>
        </w:rPr>
        <w:fldChar w:fldCharType="begin"/>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hint="eastAsia"/>
          <w:sz w:val="21"/>
          <w:szCs w:val="21"/>
        </w:rPr>
        <w:instrText xml:space="preserve">SEQ </w:instrText>
      </w:r>
      <w:r w:rsidRPr="00800D22">
        <w:rPr>
          <w:rFonts w:ascii="Times New Roman" w:eastAsia="新宋体" w:hAnsi="新宋体" w:cs="Times New Roman" w:hint="eastAsia"/>
          <w:sz w:val="21"/>
          <w:szCs w:val="21"/>
        </w:rPr>
        <w:instrText>图</w:instrText>
      </w:r>
      <w:r w:rsidRPr="00800D22">
        <w:rPr>
          <w:rFonts w:ascii="Times New Roman" w:eastAsia="新宋体" w:hAnsi="新宋体" w:cs="Times New Roman" w:hint="eastAsia"/>
          <w:sz w:val="21"/>
          <w:szCs w:val="21"/>
        </w:rPr>
        <w:instrText>10. \* ARABIC</w:instrText>
      </w:r>
      <w:r w:rsidRPr="00800D22">
        <w:rPr>
          <w:rFonts w:ascii="Times New Roman" w:eastAsia="新宋体" w:hAnsi="新宋体" w:cs="Times New Roman"/>
          <w:sz w:val="21"/>
          <w:szCs w:val="21"/>
        </w:rPr>
        <w:instrText xml:space="preserve"> </w:instrText>
      </w:r>
      <w:r w:rsidRPr="00800D22">
        <w:rPr>
          <w:rFonts w:ascii="Times New Roman" w:eastAsia="新宋体" w:hAnsi="新宋体" w:cs="Times New Roman"/>
          <w:sz w:val="21"/>
          <w:szCs w:val="21"/>
        </w:rPr>
        <w:fldChar w:fldCharType="separate"/>
      </w:r>
      <w:r w:rsidRPr="00800D22">
        <w:rPr>
          <w:rFonts w:ascii="Times New Roman" w:eastAsia="新宋体" w:hAnsi="新宋体" w:cs="Times New Roman"/>
          <w:sz w:val="21"/>
          <w:szCs w:val="21"/>
        </w:rPr>
        <w:t>4</w:t>
      </w:r>
      <w:r w:rsidRPr="00800D22">
        <w:rPr>
          <w:rFonts w:ascii="Times New Roman" w:eastAsia="新宋体" w:hAnsi="新宋体" w:cs="Times New Roman"/>
          <w:sz w:val="21"/>
          <w:szCs w:val="21"/>
        </w:rPr>
        <w:fldChar w:fldCharType="end"/>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引入第三方担保后</w:t>
      </w:r>
      <w:r w:rsidRPr="00800D22">
        <w:rPr>
          <w:rFonts w:ascii="Times New Roman" w:eastAsia="新宋体" w:hAnsi="新宋体" w:cs="Times New Roman" w:hint="eastAsia"/>
          <w:sz w:val="21"/>
          <w:szCs w:val="21"/>
        </w:rPr>
        <w:t>P-CBO</w:t>
      </w:r>
      <w:r w:rsidRPr="00800D22">
        <w:rPr>
          <w:rFonts w:ascii="Times New Roman" w:eastAsia="新宋体" w:hAnsi="新宋体" w:cs="Times New Roman" w:hint="eastAsia"/>
          <w:sz w:val="21"/>
          <w:szCs w:val="21"/>
        </w:rPr>
        <w:t>的交易结构</w:t>
      </w:r>
      <w:bookmarkEnd w:id="23"/>
    </w:p>
    <w:p w14:paraId="41FEAC7E" w14:textId="54B551F9" w:rsidR="00995E2A" w:rsidRPr="00800D22" w:rsidRDefault="00995E2A" w:rsidP="00995E2A">
      <w:pPr>
        <w:spacing w:afterLines="100" w:after="312"/>
        <w:jc w:val="center"/>
        <w:rPr>
          <w:rFonts w:hint="eastAsia"/>
        </w:rPr>
      </w:pPr>
      <w:r w:rsidRPr="00800D22">
        <w:rPr>
          <w:rFonts w:hint="eastAsia"/>
          <w:kern w:val="0"/>
          <w:szCs w:val="21"/>
        </w:rPr>
        <w:t>Figure 4  Exchange structure of P-CBO induct t</w:t>
      </w:r>
      <w:r w:rsidRPr="00800D22">
        <w:rPr>
          <w:kern w:val="0"/>
          <w:szCs w:val="21"/>
        </w:rPr>
        <w:t>hird party guarantee</w:t>
      </w:r>
    </w:p>
    <w:p w14:paraId="622C3391" w14:textId="77777777" w:rsidR="00995E2A" w:rsidRPr="00800D22" w:rsidRDefault="00995E2A" w:rsidP="00995E2A">
      <w:pPr>
        <w:autoSpaceDE w:val="0"/>
        <w:autoSpaceDN w:val="0"/>
        <w:adjustRightInd w:val="0"/>
        <w:spacing w:beforeLines="50" w:before="156" w:line="440" w:lineRule="exact"/>
        <w:ind w:firstLineChars="200" w:firstLine="480"/>
        <w:rPr>
          <w:kern w:val="0"/>
          <w:sz w:val="24"/>
        </w:rPr>
      </w:pPr>
      <w:r w:rsidRPr="00800D22">
        <w:rPr>
          <w:kern w:val="0"/>
          <w:sz w:val="24"/>
        </w:rPr>
        <w:t>在上述</w:t>
      </w:r>
      <w:r w:rsidRPr="00800D22">
        <w:rPr>
          <w:kern w:val="0"/>
          <w:sz w:val="24"/>
        </w:rPr>
        <w:t>P-CBO</w:t>
      </w:r>
      <w:r w:rsidRPr="00800D22">
        <w:rPr>
          <w:kern w:val="0"/>
          <w:sz w:val="24"/>
        </w:rPr>
        <w:t>方案中，第三方担保同资产证券化技术紧密结合在一起，使两者的优势均得到了充分发挥。通过资产证券化技术，违约风险首先在优先层债券投资者和</w:t>
      </w:r>
      <w:r w:rsidRPr="00800D22">
        <w:rPr>
          <w:kern w:val="0"/>
          <w:sz w:val="24"/>
        </w:rPr>
        <w:t>SBC</w:t>
      </w:r>
      <w:r w:rsidRPr="00800D22">
        <w:rPr>
          <w:kern w:val="0"/>
          <w:sz w:val="24"/>
        </w:rPr>
        <w:t>之间进行重新配置，债券的违约损失首先由</w:t>
      </w:r>
      <w:r w:rsidRPr="00800D22">
        <w:rPr>
          <w:kern w:val="0"/>
          <w:sz w:val="24"/>
        </w:rPr>
        <w:t>SBC</w:t>
      </w:r>
      <w:r w:rsidRPr="00800D22">
        <w:rPr>
          <w:kern w:val="0"/>
          <w:sz w:val="24"/>
        </w:rPr>
        <w:t>承担；又由于第三方担保，优先层债券投资者面临的违约风险进一步减弱，因此，资产证券化技术同第三方担保的结合使用，给</w:t>
      </w:r>
      <w:r w:rsidRPr="00800D22">
        <w:rPr>
          <w:kern w:val="0"/>
          <w:sz w:val="24"/>
        </w:rPr>
        <w:t>P-CBO</w:t>
      </w:r>
      <w:r w:rsidRPr="00800D22">
        <w:rPr>
          <w:kern w:val="0"/>
          <w:sz w:val="24"/>
        </w:rPr>
        <w:t>优先层债券投资者提供了双重保障，也正因此，引入第三方担保的</w:t>
      </w:r>
      <w:r w:rsidRPr="00800D22">
        <w:rPr>
          <w:kern w:val="0"/>
          <w:sz w:val="24"/>
        </w:rPr>
        <w:t>P-CBO</w:t>
      </w:r>
      <w:r w:rsidRPr="00800D22">
        <w:rPr>
          <w:kern w:val="0"/>
          <w:sz w:val="24"/>
        </w:rPr>
        <w:t>也更容易获得投资者认可。通常在没有担保的情况，优先层债券的发行规模</w:t>
      </w:r>
      <w:r w:rsidRPr="00800D22">
        <w:rPr>
          <w:rFonts w:hint="eastAsia"/>
          <w:kern w:val="0"/>
          <w:sz w:val="24"/>
        </w:rPr>
        <w:t>一般仅</w:t>
      </w:r>
      <w:r w:rsidRPr="00800D22">
        <w:rPr>
          <w:kern w:val="0"/>
          <w:sz w:val="24"/>
        </w:rPr>
        <w:t>占整个</w:t>
      </w:r>
      <w:r w:rsidRPr="00800D22">
        <w:rPr>
          <w:kern w:val="0"/>
          <w:sz w:val="24"/>
        </w:rPr>
        <w:t>P-CBO</w:t>
      </w:r>
      <w:r w:rsidRPr="00800D22">
        <w:rPr>
          <w:kern w:val="0"/>
          <w:sz w:val="24"/>
        </w:rPr>
        <w:t>发行规模的</w:t>
      </w:r>
      <w:r w:rsidRPr="00800D22">
        <w:rPr>
          <w:kern w:val="0"/>
          <w:sz w:val="24"/>
        </w:rPr>
        <w:t>40</w:t>
      </w:r>
      <w:r w:rsidRPr="00800D22">
        <w:rPr>
          <w:rFonts w:hint="eastAsia"/>
          <w:kern w:val="0"/>
          <w:sz w:val="24"/>
        </w:rPr>
        <w:t>%</w:t>
      </w:r>
      <w:r w:rsidRPr="00800D22">
        <w:rPr>
          <w:rFonts w:hint="eastAsia"/>
          <w:kern w:val="0"/>
          <w:sz w:val="24"/>
        </w:rPr>
        <w:t>至</w:t>
      </w:r>
      <w:r w:rsidRPr="00800D22">
        <w:rPr>
          <w:kern w:val="0"/>
          <w:sz w:val="24"/>
        </w:rPr>
        <w:t>70%</w:t>
      </w:r>
      <w:r w:rsidRPr="00800D22">
        <w:rPr>
          <w:kern w:val="0"/>
          <w:sz w:val="24"/>
        </w:rPr>
        <w:t>（取决于资产池中中小企业的平均信用等级），而在引入担保后，由于担保债券较无担保债券更为稳定，因此，吸引了更多机构投资者参与，优先层债券发行规模甚至能够达到整个</w:t>
      </w:r>
      <w:r w:rsidRPr="00800D22">
        <w:rPr>
          <w:kern w:val="0"/>
          <w:sz w:val="24"/>
        </w:rPr>
        <w:t>P-CBO</w:t>
      </w:r>
      <w:r w:rsidRPr="00800D22">
        <w:rPr>
          <w:kern w:val="0"/>
          <w:sz w:val="24"/>
        </w:rPr>
        <w:t>发行规模的</w:t>
      </w:r>
      <w:r w:rsidRPr="00800D22">
        <w:rPr>
          <w:kern w:val="0"/>
          <w:sz w:val="24"/>
        </w:rPr>
        <w:t>93</w:t>
      </w:r>
      <w:r w:rsidRPr="00800D22">
        <w:rPr>
          <w:rFonts w:hint="eastAsia"/>
          <w:kern w:val="0"/>
          <w:sz w:val="24"/>
        </w:rPr>
        <w:t>%</w:t>
      </w:r>
      <w:r w:rsidRPr="00800D22">
        <w:rPr>
          <w:rFonts w:hint="eastAsia"/>
          <w:kern w:val="0"/>
          <w:sz w:val="24"/>
        </w:rPr>
        <w:t>至</w:t>
      </w:r>
      <w:r w:rsidRPr="00800D22">
        <w:rPr>
          <w:kern w:val="0"/>
          <w:sz w:val="24"/>
        </w:rPr>
        <w:t>97%</w:t>
      </w:r>
      <w:r w:rsidRPr="00800D22">
        <w:rPr>
          <w:kern w:val="0"/>
          <w:sz w:val="24"/>
        </w:rPr>
        <w:t>。显然，第三方担保的引入</w:t>
      </w:r>
      <w:r w:rsidRPr="00800D22">
        <w:rPr>
          <w:rFonts w:hint="eastAsia"/>
          <w:kern w:val="0"/>
          <w:sz w:val="24"/>
        </w:rPr>
        <w:t>提高</w:t>
      </w:r>
      <w:r w:rsidRPr="00800D22">
        <w:rPr>
          <w:kern w:val="0"/>
          <w:sz w:val="24"/>
        </w:rPr>
        <w:t>了</w:t>
      </w:r>
      <w:r w:rsidRPr="00800D22">
        <w:rPr>
          <w:kern w:val="0"/>
          <w:sz w:val="24"/>
        </w:rPr>
        <w:t>P-CBO</w:t>
      </w:r>
      <w:r w:rsidRPr="00800D22">
        <w:rPr>
          <w:kern w:val="0"/>
          <w:sz w:val="24"/>
        </w:rPr>
        <w:t>项目的融资效率。</w:t>
      </w:r>
    </w:p>
    <w:p w14:paraId="54C31AB1" w14:textId="77777777" w:rsidR="00995E2A" w:rsidRPr="00800D22" w:rsidRDefault="00995E2A" w:rsidP="00995E2A">
      <w:pPr>
        <w:autoSpaceDE w:val="0"/>
        <w:autoSpaceDN w:val="0"/>
        <w:adjustRightInd w:val="0"/>
        <w:spacing w:line="440" w:lineRule="exact"/>
        <w:ind w:firstLineChars="196" w:firstLine="472"/>
        <w:rPr>
          <w:b/>
          <w:sz w:val="24"/>
        </w:rPr>
      </w:pPr>
      <w:r w:rsidRPr="00800D22">
        <w:rPr>
          <w:b/>
          <w:sz w:val="24"/>
        </w:rPr>
        <w:t>创新</w:t>
      </w:r>
      <w:r w:rsidRPr="00800D22">
        <w:rPr>
          <w:b/>
          <w:sz w:val="24"/>
        </w:rPr>
        <w:t>2</w:t>
      </w:r>
      <w:r w:rsidRPr="00800D22">
        <w:rPr>
          <w:b/>
          <w:sz w:val="24"/>
        </w:rPr>
        <w:t>：设立中间层债券分担风险</w:t>
      </w:r>
    </w:p>
    <w:p w14:paraId="5BE3CA0C" w14:textId="05DCC11A" w:rsidR="00995E2A" w:rsidRPr="00800D22" w:rsidRDefault="00995E2A" w:rsidP="00995E2A">
      <w:pPr>
        <w:autoSpaceDE w:val="0"/>
        <w:autoSpaceDN w:val="0"/>
        <w:adjustRightInd w:val="0"/>
        <w:spacing w:line="440" w:lineRule="exact"/>
        <w:ind w:firstLineChars="200" w:firstLine="480"/>
        <w:rPr>
          <w:kern w:val="0"/>
          <w:sz w:val="24"/>
        </w:rPr>
      </w:pPr>
      <w:r w:rsidRPr="00800D22">
        <w:rPr>
          <w:kern w:val="0"/>
          <w:sz w:val="24"/>
        </w:rPr>
        <w:t>除引入第三方担保外，</w:t>
      </w:r>
      <w:r w:rsidRPr="00800D22">
        <w:rPr>
          <w:kern w:val="0"/>
          <w:sz w:val="24"/>
        </w:rPr>
        <w:t>SBC</w:t>
      </w:r>
      <w:r w:rsidRPr="00800D22">
        <w:rPr>
          <w:kern w:val="0"/>
          <w:sz w:val="24"/>
        </w:rPr>
        <w:t>也在风险分担机制方面不断创新</w:t>
      </w:r>
      <w:r w:rsidRPr="00800D22">
        <w:rPr>
          <w:rFonts w:hint="eastAsia"/>
          <w:kern w:val="0"/>
          <w:sz w:val="24"/>
        </w:rPr>
        <w:t>。</w:t>
      </w:r>
      <w:r w:rsidRPr="00800D22">
        <w:rPr>
          <w:kern w:val="0"/>
          <w:sz w:val="24"/>
        </w:rPr>
        <w:t>自第</w:t>
      </w:r>
      <w:r w:rsidRPr="00800D22">
        <w:rPr>
          <w:kern w:val="0"/>
          <w:sz w:val="24"/>
        </w:rPr>
        <w:t>5</w:t>
      </w:r>
      <w:r w:rsidRPr="00800D22">
        <w:rPr>
          <w:rFonts w:hint="eastAsia"/>
          <w:kern w:val="0"/>
          <w:sz w:val="24"/>
        </w:rPr>
        <w:t>期</w:t>
      </w:r>
      <w:r w:rsidRPr="00800D22">
        <w:rPr>
          <w:kern w:val="0"/>
          <w:sz w:val="24"/>
        </w:rPr>
        <w:t>P-CBO</w:t>
      </w:r>
      <w:r w:rsidRPr="00800D22">
        <w:rPr>
          <w:kern w:val="0"/>
          <w:sz w:val="24"/>
        </w:rPr>
        <w:t>开始，</w:t>
      </w:r>
      <w:r w:rsidRPr="00800D22">
        <w:rPr>
          <w:kern w:val="0"/>
          <w:sz w:val="24"/>
        </w:rPr>
        <w:t>SBC</w:t>
      </w:r>
      <w:r w:rsidRPr="00800D22">
        <w:rPr>
          <w:kern w:val="0"/>
          <w:sz w:val="24"/>
        </w:rPr>
        <w:t>尝试在优先层及次级层债券间设立中间层债券，其偿还顺序介于优先层和次级层之间。根据</w:t>
      </w:r>
      <w:r w:rsidRPr="00800D22">
        <w:rPr>
          <w:kern w:val="0"/>
          <w:sz w:val="24"/>
        </w:rPr>
        <w:t>P-CBO</w:t>
      </w:r>
      <w:r w:rsidRPr="00800D22">
        <w:rPr>
          <w:kern w:val="0"/>
          <w:sz w:val="24"/>
        </w:rPr>
        <w:t>的安排，中间层债券所占比重一般较低（在第</w:t>
      </w:r>
      <w:r w:rsidRPr="00800D22">
        <w:rPr>
          <w:kern w:val="0"/>
          <w:sz w:val="24"/>
        </w:rPr>
        <w:t>5</w:t>
      </w:r>
      <w:r w:rsidRPr="00800D22">
        <w:rPr>
          <w:rFonts w:hint="eastAsia"/>
          <w:kern w:val="0"/>
          <w:sz w:val="24"/>
        </w:rPr>
        <w:t>期</w:t>
      </w:r>
      <w:r w:rsidRPr="00800D22">
        <w:rPr>
          <w:kern w:val="0"/>
          <w:sz w:val="24"/>
        </w:rPr>
        <w:t>P-CBO</w:t>
      </w:r>
      <w:r w:rsidRPr="00800D22">
        <w:rPr>
          <w:kern w:val="0"/>
          <w:sz w:val="24"/>
        </w:rPr>
        <w:t>中，中间层债券仅占发行总额的</w:t>
      </w:r>
      <w:r w:rsidRPr="00800D22">
        <w:rPr>
          <w:kern w:val="0"/>
          <w:sz w:val="24"/>
        </w:rPr>
        <w:t>7.1%</w:t>
      </w:r>
      <w:r w:rsidRPr="00800D22">
        <w:rPr>
          <w:kern w:val="0"/>
          <w:sz w:val="24"/>
        </w:rPr>
        <w:t>），中间层债券由中介机构（承销商、托管银行）或参与企业自己持有</w:t>
      </w:r>
      <w:r w:rsidRPr="00800D22">
        <w:rPr>
          <w:rFonts w:hint="eastAsia"/>
          <w:kern w:val="0"/>
          <w:sz w:val="24"/>
        </w:rPr>
        <w:t>。</w:t>
      </w:r>
      <w:proofErr w:type="gramStart"/>
      <w:r w:rsidRPr="00800D22">
        <w:rPr>
          <w:kern w:val="0"/>
          <w:sz w:val="24"/>
        </w:rPr>
        <w:t>历</w:t>
      </w:r>
      <w:r w:rsidRPr="00800D22">
        <w:rPr>
          <w:rFonts w:hint="eastAsia"/>
          <w:kern w:val="0"/>
          <w:sz w:val="24"/>
        </w:rPr>
        <w:t>期</w:t>
      </w:r>
      <w:proofErr w:type="gramEnd"/>
      <w:r w:rsidRPr="00800D22">
        <w:rPr>
          <w:kern w:val="0"/>
          <w:sz w:val="24"/>
        </w:rPr>
        <w:t>P-CBO</w:t>
      </w:r>
      <w:r w:rsidRPr="00800D22">
        <w:rPr>
          <w:kern w:val="0"/>
          <w:sz w:val="24"/>
        </w:rPr>
        <w:t>的风险分担情况如表</w:t>
      </w:r>
      <w:r>
        <w:rPr>
          <w:rFonts w:hint="eastAsia"/>
          <w:kern w:val="0"/>
          <w:sz w:val="24"/>
        </w:rPr>
        <w:t>6</w:t>
      </w:r>
      <w:r w:rsidRPr="00800D22">
        <w:rPr>
          <w:kern w:val="0"/>
          <w:sz w:val="24"/>
        </w:rPr>
        <w:t>所示：</w:t>
      </w:r>
    </w:p>
    <w:p w14:paraId="4CCB0EB7" w14:textId="623E7518" w:rsidR="00995E2A" w:rsidRPr="00800D22" w:rsidRDefault="00995E2A" w:rsidP="00995E2A">
      <w:pPr>
        <w:pStyle w:val="aff1"/>
        <w:spacing w:beforeLines="100" w:before="312"/>
        <w:jc w:val="center"/>
        <w:rPr>
          <w:rFonts w:ascii="Times New Roman" w:eastAsia="新宋体" w:hAnsi="新宋体" w:cs="Times New Roman" w:hint="eastAsia"/>
          <w:sz w:val="21"/>
          <w:szCs w:val="21"/>
        </w:rPr>
      </w:pPr>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6</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历次</w:t>
      </w:r>
      <w:r w:rsidRPr="00800D22">
        <w:rPr>
          <w:rFonts w:ascii="Times New Roman" w:eastAsia="新宋体" w:hAnsi="新宋体" w:cs="Times New Roman" w:hint="eastAsia"/>
          <w:sz w:val="21"/>
          <w:szCs w:val="21"/>
        </w:rPr>
        <w:t>P-CBO</w:t>
      </w:r>
      <w:r w:rsidRPr="00800D22">
        <w:rPr>
          <w:rFonts w:ascii="Times New Roman" w:eastAsia="新宋体" w:hAnsi="新宋体" w:cs="Times New Roman" w:hint="eastAsia"/>
          <w:sz w:val="21"/>
          <w:szCs w:val="21"/>
        </w:rPr>
        <w:t>的风险分担情况</w:t>
      </w:r>
    </w:p>
    <w:p w14:paraId="250072F3" w14:textId="5B8FED54" w:rsidR="00995E2A" w:rsidRPr="00800D22" w:rsidRDefault="00995E2A" w:rsidP="00995E2A">
      <w:pPr>
        <w:autoSpaceDE w:val="0"/>
        <w:autoSpaceDN w:val="0"/>
        <w:adjustRightInd w:val="0"/>
        <w:jc w:val="center"/>
        <w:rPr>
          <w:rFonts w:hint="eastAsia"/>
          <w:szCs w:val="21"/>
        </w:rPr>
      </w:pPr>
      <w:r w:rsidRPr="00800D22">
        <w:rPr>
          <w:rFonts w:hint="eastAsia"/>
          <w:szCs w:val="21"/>
        </w:rPr>
        <w:t xml:space="preserve">Table </w:t>
      </w:r>
      <w:r>
        <w:rPr>
          <w:rFonts w:hint="eastAsia"/>
          <w:szCs w:val="21"/>
        </w:rPr>
        <w:t>6</w:t>
      </w:r>
      <w:r w:rsidRPr="00800D22">
        <w:rPr>
          <w:rFonts w:hint="eastAsia"/>
          <w:szCs w:val="21"/>
        </w:rPr>
        <w:t xml:space="preserve">  A</w:t>
      </w:r>
      <w:r w:rsidRPr="00800D22">
        <w:rPr>
          <w:szCs w:val="21"/>
        </w:rPr>
        <w:t>llocation of risks</w:t>
      </w:r>
      <w:r w:rsidRPr="00800D22">
        <w:rPr>
          <w:rFonts w:hint="eastAsia"/>
          <w:szCs w:val="21"/>
        </w:rPr>
        <w:t xml:space="preserve"> of </w:t>
      </w:r>
      <w:r w:rsidRPr="00800D22">
        <w:rPr>
          <w:szCs w:val="21"/>
        </w:rPr>
        <w:t>all previous</w:t>
      </w:r>
      <w:r w:rsidRPr="00800D22">
        <w:rPr>
          <w:rFonts w:hint="eastAsia"/>
          <w:szCs w:val="21"/>
        </w:rPr>
        <w:t xml:space="preserve"> P-CBO</w:t>
      </w:r>
    </w:p>
    <w:tbl>
      <w:tblPr>
        <w:tblW w:w="4876" w:type="pct"/>
        <w:tblBorders>
          <w:top w:val="single" w:sz="4" w:space="0" w:color="auto"/>
          <w:bottom w:val="single" w:sz="4" w:space="0" w:color="auto"/>
        </w:tblBorders>
        <w:tblLook w:val="0000" w:firstRow="0" w:lastRow="0" w:firstColumn="0" w:lastColumn="0" w:noHBand="0" w:noVBand="0"/>
      </w:tblPr>
      <w:tblGrid>
        <w:gridCol w:w="537"/>
        <w:gridCol w:w="2328"/>
        <w:gridCol w:w="1300"/>
        <w:gridCol w:w="1273"/>
        <w:gridCol w:w="971"/>
        <w:gridCol w:w="1902"/>
      </w:tblGrid>
      <w:tr w:rsidR="00995E2A" w:rsidRPr="00800D22" w14:paraId="45431AF0" w14:textId="77777777" w:rsidTr="000A32F1">
        <w:trPr>
          <w:trHeight w:val="360"/>
        </w:trPr>
        <w:tc>
          <w:tcPr>
            <w:tcW w:w="323" w:type="pct"/>
            <w:tcBorders>
              <w:top w:val="single" w:sz="4" w:space="0" w:color="auto"/>
              <w:bottom w:val="single" w:sz="4" w:space="0" w:color="auto"/>
            </w:tcBorders>
            <w:vAlign w:val="center"/>
          </w:tcPr>
          <w:p w14:paraId="1D46A068" w14:textId="77777777" w:rsidR="00995E2A" w:rsidRPr="00800D22" w:rsidRDefault="00995E2A" w:rsidP="000A32F1">
            <w:pPr>
              <w:pStyle w:val="ae"/>
              <w:jc w:val="both"/>
              <w:rPr>
                <w:rFonts w:ascii="Times New Roman" w:hAnsi="Times New Roman" w:cs="Times New Roman" w:hint="eastAsia"/>
                <w:sz w:val="21"/>
                <w:szCs w:val="21"/>
              </w:rPr>
            </w:pPr>
            <w:proofErr w:type="gramStart"/>
            <w:r w:rsidRPr="00800D22">
              <w:rPr>
                <w:rFonts w:ascii="Times New Roman" w:hAnsi="Times New Roman" w:cs="Times New Roman" w:hint="eastAsia"/>
                <w:sz w:val="21"/>
                <w:szCs w:val="21"/>
              </w:rPr>
              <w:t>期别</w:t>
            </w:r>
            <w:proofErr w:type="gramEnd"/>
          </w:p>
        </w:tc>
        <w:tc>
          <w:tcPr>
            <w:tcW w:w="1401" w:type="pct"/>
            <w:tcBorders>
              <w:top w:val="single" w:sz="4" w:space="0" w:color="auto"/>
              <w:bottom w:val="single" w:sz="4" w:space="0" w:color="auto"/>
            </w:tcBorders>
            <w:vAlign w:val="center"/>
          </w:tcPr>
          <w:p w14:paraId="39847E3D" w14:textId="77777777" w:rsidR="00995E2A" w:rsidRPr="00800D22" w:rsidRDefault="00995E2A" w:rsidP="000A32F1">
            <w:pPr>
              <w:rPr>
                <w:szCs w:val="21"/>
              </w:rPr>
            </w:pPr>
            <w:r w:rsidRPr="00800D22">
              <w:rPr>
                <w:bCs/>
                <w:szCs w:val="21"/>
              </w:rPr>
              <w:t>SPC</w:t>
            </w:r>
            <w:r w:rsidRPr="00800D22">
              <w:rPr>
                <w:bCs/>
                <w:szCs w:val="21"/>
              </w:rPr>
              <w:t>名称</w:t>
            </w:r>
          </w:p>
        </w:tc>
        <w:tc>
          <w:tcPr>
            <w:tcW w:w="782" w:type="pct"/>
            <w:tcBorders>
              <w:top w:val="single" w:sz="4" w:space="0" w:color="auto"/>
              <w:bottom w:val="single" w:sz="4" w:space="0" w:color="auto"/>
            </w:tcBorders>
            <w:vAlign w:val="center"/>
          </w:tcPr>
          <w:p w14:paraId="2AEBB670" w14:textId="77777777" w:rsidR="00995E2A" w:rsidRPr="00800D22" w:rsidRDefault="00995E2A" w:rsidP="000A32F1">
            <w:pPr>
              <w:rPr>
                <w:szCs w:val="21"/>
              </w:rPr>
            </w:pPr>
            <w:r w:rsidRPr="00800D22">
              <w:rPr>
                <w:bCs/>
                <w:szCs w:val="21"/>
              </w:rPr>
              <w:t>优先层债券</w:t>
            </w:r>
          </w:p>
        </w:tc>
        <w:tc>
          <w:tcPr>
            <w:tcW w:w="766" w:type="pct"/>
            <w:tcBorders>
              <w:top w:val="single" w:sz="4" w:space="0" w:color="auto"/>
              <w:bottom w:val="single" w:sz="4" w:space="0" w:color="auto"/>
            </w:tcBorders>
            <w:vAlign w:val="center"/>
          </w:tcPr>
          <w:p w14:paraId="2FC2BD15" w14:textId="77777777" w:rsidR="00995E2A" w:rsidRPr="00800D22" w:rsidRDefault="00995E2A" w:rsidP="000A32F1">
            <w:pPr>
              <w:rPr>
                <w:szCs w:val="21"/>
              </w:rPr>
            </w:pPr>
            <w:r w:rsidRPr="00800D22">
              <w:rPr>
                <w:bCs/>
                <w:szCs w:val="21"/>
              </w:rPr>
              <w:t>次级层债券</w:t>
            </w:r>
          </w:p>
        </w:tc>
        <w:tc>
          <w:tcPr>
            <w:tcW w:w="584" w:type="pct"/>
            <w:tcBorders>
              <w:top w:val="single" w:sz="4" w:space="0" w:color="auto"/>
              <w:bottom w:val="single" w:sz="4" w:space="0" w:color="auto"/>
            </w:tcBorders>
            <w:vAlign w:val="center"/>
          </w:tcPr>
          <w:p w14:paraId="5CDC92AA" w14:textId="77777777" w:rsidR="00995E2A" w:rsidRPr="00800D22" w:rsidRDefault="00995E2A" w:rsidP="000A32F1">
            <w:pPr>
              <w:rPr>
                <w:rFonts w:hint="eastAsia"/>
                <w:bCs/>
                <w:szCs w:val="21"/>
              </w:rPr>
            </w:pPr>
            <w:r w:rsidRPr="00800D22">
              <w:rPr>
                <w:bCs/>
                <w:szCs w:val="21"/>
              </w:rPr>
              <w:t>中间层</w:t>
            </w:r>
          </w:p>
          <w:p w14:paraId="14F35AE7" w14:textId="77777777" w:rsidR="00995E2A" w:rsidRPr="00800D22" w:rsidRDefault="00995E2A" w:rsidP="000A32F1">
            <w:pPr>
              <w:rPr>
                <w:szCs w:val="21"/>
              </w:rPr>
            </w:pPr>
            <w:r w:rsidRPr="00800D22">
              <w:rPr>
                <w:bCs/>
                <w:szCs w:val="21"/>
              </w:rPr>
              <w:t>债券</w:t>
            </w:r>
          </w:p>
        </w:tc>
        <w:tc>
          <w:tcPr>
            <w:tcW w:w="1145" w:type="pct"/>
            <w:tcBorders>
              <w:top w:val="single" w:sz="4" w:space="0" w:color="auto"/>
              <w:bottom w:val="single" w:sz="4" w:space="0" w:color="auto"/>
            </w:tcBorders>
            <w:vAlign w:val="center"/>
          </w:tcPr>
          <w:p w14:paraId="56F30CE9" w14:textId="77777777" w:rsidR="00995E2A" w:rsidRPr="00800D22" w:rsidRDefault="00995E2A" w:rsidP="000A32F1">
            <w:pPr>
              <w:rPr>
                <w:bCs/>
                <w:szCs w:val="21"/>
              </w:rPr>
            </w:pPr>
            <w:r w:rsidRPr="00800D22">
              <w:rPr>
                <w:bCs/>
                <w:szCs w:val="21"/>
              </w:rPr>
              <w:t>中间层债券投资者</w:t>
            </w:r>
          </w:p>
        </w:tc>
      </w:tr>
      <w:tr w:rsidR="00995E2A" w:rsidRPr="00800D22" w14:paraId="26F01F58" w14:textId="77777777" w:rsidTr="000A32F1">
        <w:trPr>
          <w:trHeight w:hRule="exact" w:val="369"/>
        </w:trPr>
        <w:tc>
          <w:tcPr>
            <w:tcW w:w="323" w:type="pct"/>
            <w:tcBorders>
              <w:top w:val="single" w:sz="4" w:space="0" w:color="auto"/>
            </w:tcBorders>
            <w:vAlign w:val="center"/>
          </w:tcPr>
          <w:p w14:paraId="3A6D504A" w14:textId="77777777" w:rsidR="00995E2A" w:rsidRPr="00800D22" w:rsidRDefault="00995E2A" w:rsidP="000A32F1">
            <w:pPr>
              <w:rPr>
                <w:sz w:val="18"/>
                <w:szCs w:val="18"/>
              </w:rPr>
            </w:pPr>
            <w:r w:rsidRPr="00800D22">
              <w:rPr>
                <w:bCs/>
                <w:sz w:val="18"/>
                <w:szCs w:val="18"/>
                <w:lang w:eastAsia="ko-KR"/>
              </w:rPr>
              <w:t>1</w:t>
            </w:r>
            <w:proofErr w:type="spellStart"/>
            <w:r w:rsidRPr="00800D22">
              <w:rPr>
                <w:bCs/>
                <w:position w:val="5"/>
                <w:sz w:val="18"/>
                <w:szCs w:val="18"/>
                <w:lang w:eastAsia="ko-KR"/>
              </w:rPr>
              <w:t>st</w:t>
            </w:r>
            <w:proofErr w:type="spellEnd"/>
          </w:p>
        </w:tc>
        <w:tc>
          <w:tcPr>
            <w:tcW w:w="1401" w:type="pct"/>
            <w:tcBorders>
              <w:top w:val="single" w:sz="4" w:space="0" w:color="auto"/>
            </w:tcBorders>
            <w:vAlign w:val="center"/>
          </w:tcPr>
          <w:p w14:paraId="0EADFE54" w14:textId="77777777" w:rsidR="00995E2A" w:rsidRPr="00800D22" w:rsidRDefault="00995E2A" w:rsidP="000A32F1">
            <w:pPr>
              <w:rPr>
                <w:sz w:val="18"/>
                <w:szCs w:val="18"/>
              </w:rPr>
            </w:pPr>
            <w:r w:rsidRPr="00800D22">
              <w:rPr>
                <w:bCs/>
                <w:sz w:val="18"/>
                <w:szCs w:val="18"/>
                <w:lang w:eastAsia="ko-KR"/>
              </w:rPr>
              <w:t>1</w:t>
            </w:r>
            <w:proofErr w:type="spellStart"/>
            <w:r w:rsidRPr="00800D22">
              <w:rPr>
                <w:bCs/>
                <w:position w:val="5"/>
                <w:sz w:val="18"/>
                <w:szCs w:val="18"/>
                <w:vertAlign w:val="superscript"/>
                <w:lang w:eastAsia="ko-KR"/>
              </w:rPr>
              <w:t>st</w:t>
            </w:r>
            <w:proofErr w:type="spellEnd"/>
            <w:r w:rsidRPr="00800D22">
              <w:rPr>
                <w:bCs/>
                <w:sz w:val="18"/>
                <w:szCs w:val="18"/>
              </w:rPr>
              <w:t xml:space="preserve"> </w:t>
            </w:r>
            <w:r w:rsidRPr="00800D22">
              <w:rPr>
                <w:bCs/>
                <w:sz w:val="18"/>
                <w:szCs w:val="18"/>
                <w:lang w:eastAsia="ko-KR"/>
              </w:rPr>
              <w:t>SME Securitization</w:t>
            </w:r>
          </w:p>
        </w:tc>
        <w:tc>
          <w:tcPr>
            <w:tcW w:w="782" w:type="pct"/>
            <w:tcBorders>
              <w:top w:val="single" w:sz="4" w:space="0" w:color="auto"/>
            </w:tcBorders>
            <w:vAlign w:val="center"/>
          </w:tcPr>
          <w:p w14:paraId="44028F04" w14:textId="77777777" w:rsidR="00995E2A" w:rsidRPr="00800D22" w:rsidRDefault="00995E2A" w:rsidP="000A32F1">
            <w:pPr>
              <w:rPr>
                <w:sz w:val="18"/>
                <w:szCs w:val="18"/>
              </w:rPr>
            </w:pPr>
            <w:r w:rsidRPr="00800D22">
              <w:rPr>
                <w:bCs/>
                <w:sz w:val="18"/>
                <w:szCs w:val="18"/>
                <w:lang w:eastAsia="ko-KR"/>
              </w:rPr>
              <w:t>61.81%</w:t>
            </w:r>
          </w:p>
        </w:tc>
        <w:tc>
          <w:tcPr>
            <w:tcW w:w="766" w:type="pct"/>
            <w:tcBorders>
              <w:top w:val="single" w:sz="4" w:space="0" w:color="auto"/>
            </w:tcBorders>
            <w:vAlign w:val="center"/>
          </w:tcPr>
          <w:p w14:paraId="313576A1" w14:textId="77777777" w:rsidR="00995E2A" w:rsidRPr="00800D22" w:rsidRDefault="00995E2A" w:rsidP="000A32F1">
            <w:pPr>
              <w:rPr>
                <w:sz w:val="18"/>
                <w:szCs w:val="18"/>
              </w:rPr>
            </w:pPr>
            <w:r w:rsidRPr="00800D22">
              <w:rPr>
                <w:bCs/>
                <w:sz w:val="18"/>
                <w:szCs w:val="18"/>
                <w:lang w:eastAsia="ko-KR"/>
              </w:rPr>
              <w:t>38.19%</w:t>
            </w:r>
          </w:p>
        </w:tc>
        <w:tc>
          <w:tcPr>
            <w:tcW w:w="584" w:type="pct"/>
            <w:tcBorders>
              <w:top w:val="single" w:sz="4" w:space="0" w:color="auto"/>
            </w:tcBorders>
            <w:vAlign w:val="center"/>
          </w:tcPr>
          <w:p w14:paraId="6B14C0B9" w14:textId="77777777" w:rsidR="00995E2A" w:rsidRPr="00800D22" w:rsidRDefault="00995E2A" w:rsidP="000A32F1">
            <w:pPr>
              <w:rPr>
                <w:sz w:val="18"/>
                <w:szCs w:val="18"/>
              </w:rPr>
            </w:pPr>
            <w:r w:rsidRPr="00800D22">
              <w:rPr>
                <w:bCs/>
                <w:sz w:val="18"/>
                <w:szCs w:val="18"/>
                <w:lang w:eastAsia="ko-KR"/>
              </w:rPr>
              <w:t>-</w:t>
            </w:r>
          </w:p>
        </w:tc>
        <w:tc>
          <w:tcPr>
            <w:tcW w:w="1145" w:type="pct"/>
            <w:tcBorders>
              <w:top w:val="single" w:sz="4" w:space="0" w:color="auto"/>
            </w:tcBorders>
            <w:vAlign w:val="center"/>
          </w:tcPr>
          <w:p w14:paraId="163268EE" w14:textId="77777777" w:rsidR="00995E2A" w:rsidRPr="00800D22" w:rsidRDefault="00995E2A" w:rsidP="000A32F1">
            <w:pPr>
              <w:rPr>
                <w:sz w:val="18"/>
                <w:szCs w:val="18"/>
              </w:rPr>
            </w:pPr>
            <w:r w:rsidRPr="00800D22">
              <w:rPr>
                <w:bCs/>
                <w:sz w:val="18"/>
                <w:szCs w:val="18"/>
                <w:lang w:eastAsia="ko-KR"/>
              </w:rPr>
              <w:t>-</w:t>
            </w:r>
          </w:p>
        </w:tc>
      </w:tr>
      <w:tr w:rsidR="00995E2A" w:rsidRPr="00800D22" w14:paraId="41FAA89A" w14:textId="77777777" w:rsidTr="000A32F1">
        <w:trPr>
          <w:trHeight w:hRule="exact" w:val="369"/>
        </w:trPr>
        <w:tc>
          <w:tcPr>
            <w:tcW w:w="323" w:type="pct"/>
            <w:vAlign w:val="center"/>
          </w:tcPr>
          <w:p w14:paraId="64EF453D" w14:textId="77777777" w:rsidR="00995E2A" w:rsidRPr="00800D22" w:rsidRDefault="00995E2A" w:rsidP="000A32F1">
            <w:pPr>
              <w:rPr>
                <w:sz w:val="18"/>
                <w:szCs w:val="18"/>
              </w:rPr>
            </w:pPr>
            <w:r w:rsidRPr="00800D22">
              <w:rPr>
                <w:bCs/>
                <w:sz w:val="18"/>
                <w:szCs w:val="18"/>
                <w:lang w:eastAsia="ko-KR"/>
              </w:rPr>
              <w:t>2</w:t>
            </w:r>
            <w:proofErr w:type="spellStart"/>
            <w:r w:rsidRPr="00800D22">
              <w:rPr>
                <w:bCs/>
                <w:position w:val="5"/>
                <w:sz w:val="18"/>
                <w:szCs w:val="18"/>
                <w:lang w:eastAsia="ko-KR"/>
              </w:rPr>
              <w:t>nd</w:t>
            </w:r>
            <w:proofErr w:type="spellEnd"/>
          </w:p>
        </w:tc>
        <w:tc>
          <w:tcPr>
            <w:tcW w:w="1401" w:type="pct"/>
            <w:vAlign w:val="center"/>
          </w:tcPr>
          <w:p w14:paraId="4A401FEF" w14:textId="77777777" w:rsidR="00995E2A" w:rsidRPr="00800D22" w:rsidRDefault="00995E2A" w:rsidP="000A32F1">
            <w:pPr>
              <w:rPr>
                <w:sz w:val="18"/>
                <w:szCs w:val="18"/>
              </w:rPr>
            </w:pPr>
            <w:r w:rsidRPr="00800D22">
              <w:rPr>
                <w:bCs/>
                <w:sz w:val="18"/>
                <w:szCs w:val="18"/>
                <w:lang w:eastAsia="ko-KR"/>
              </w:rPr>
              <w:t>2</w:t>
            </w:r>
            <w:r w:rsidRPr="00800D22">
              <w:rPr>
                <w:bCs/>
                <w:sz w:val="18"/>
                <w:szCs w:val="18"/>
                <w:vertAlign w:val="superscript"/>
                <w:lang w:eastAsia="ko-KR"/>
              </w:rPr>
              <w:t>nd</w:t>
            </w:r>
            <w:r w:rsidRPr="00800D22">
              <w:rPr>
                <w:bCs/>
                <w:sz w:val="18"/>
                <w:szCs w:val="18"/>
              </w:rPr>
              <w:t xml:space="preserve"> </w:t>
            </w:r>
            <w:r w:rsidRPr="00800D22">
              <w:rPr>
                <w:bCs/>
                <w:sz w:val="18"/>
                <w:szCs w:val="18"/>
                <w:lang w:eastAsia="ko-KR"/>
              </w:rPr>
              <w:t>SME Securitization</w:t>
            </w:r>
          </w:p>
        </w:tc>
        <w:tc>
          <w:tcPr>
            <w:tcW w:w="782" w:type="pct"/>
            <w:vAlign w:val="center"/>
          </w:tcPr>
          <w:p w14:paraId="1915E772" w14:textId="77777777" w:rsidR="00995E2A" w:rsidRPr="00800D22" w:rsidRDefault="00995E2A" w:rsidP="000A32F1">
            <w:pPr>
              <w:rPr>
                <w:sz w:val="18"/>
                <w:szCs w:val="18"/>
              </w:rPr>
            </w:pPr>
            <w:r w:rsidRPr="00800D22">
              <w:rPr>
                <w:bCs/>
                <w:sz w:val="18"/>
                <w:szCs w:val="18"/>
                <w:lang w:eastAsia="ko-KR"/>
              </w:rPr>
              <w:t>81%</w:t>
            </w:r>
          </w:p>
        </w:tc>
        <w:tc>
          <w:tcPr>
            <w:tcW w:w="766" w:type="pct"/>
            <w:vAlign w:val="center"/>
          </w:tcPr>
          <w:p w14:paraId="785CCF29" w14:textId="77777777" w:rsidR="00995E2A" w:rsidRPr="00800D22" w:rsidRDefault="00995E2A" w:rsidP="000A32F1">
            <w:pPr>
              <w:rPr>
                <w:sz w:val="18"/>
                <w:szCs w:val="18"/>
              </w:rPr>
            </w:pPr>
            <w:r w:rsidRPr="00800D22">
              <w:rPr>
                <w:bCs/>
                <w:sz w:val="18"/>
                <w:szCs w:val="18"/>
                <w:lang w:eastAsia="ko-KR"/>
              </w:rPr>
              <w:t>19%</w:t>
            </w:r>
          </w:p>
        </w:tc>
        <w:tc>
          <w:tcPr>
            <w:tcW w:w="584" w:type="pct"/>
            <w:vAlign w:val="center"/>
          </w:tcPr>
          <w:p w14:paraId="1B84546E" w14:textId="77777777" w:rsidR="00995E2A" w:rsidRPr="00800D22" w:rsidRDefault="00995E2A" w:rsidP="000A32F1">
            <w:pPr>
              <w:rPr>
                <w:sz w:val="18"/>
                <w:szCs w:val="18"/>
              </w:rPr>
            </w:pPr>
            <w:r w:rsidRPr="00800D22">
              <w:rPr>
                <w:bCs/>
                <w:sz w:val="18"/>
                <w:szCs w:val="18"/>
                <w:lang w:eastAsia="ko-KR"/>
              </w:rPr>
              <w:t>-</w:t>
            </w:r>
          </w:p>
        </w:tc>
        <w:tc>
          <w:tcPr>
            <w:tcW w:w="1145" w:type="pct"/>
            <w:vAlign w:val="center"/>
          </w:tcPr>
          <w:p w14:paraId="3EA7AF3E" w14:textId="77777777" w:rsidR="00995E2A" w:rsidRPr="00800D22" w:rsidRDefault="00995E2A" w:rsidP="000A32F1">
            <w:pPr>
              <w:rPr>
                <w:sz w:val="18"/>
                <w:szCs w:val="18"/>
              </w:rPr>
            </w:pPr>
            <w:r w:rsidRPr="00800D22">
              <w:rPr>
                <w:bCs/>
                <w:sz w:val="18"/>
                <w:szCs w:val="18"/>
                <w:lang w:eastAsia="ko-KR"/>
              </w:rPr>
              <w:t>-</w:t>
            </w:r>
          </w:p>
        </w:tc>
      </w:tr>
      <w:tr w:rsidR="00995E2A" w:rsidRPr="00800D22" w14:paraId="27564431" w14:textId="77777777" w:rsidTr="000A32F1">
        <w:trPr>
          <w:trHeight w:hRule="exact" w:val="369"/>
        </w:trPr>
        <w:tc>
          <w:tcPr>
            <w:tcW w:w="323" w:type="pct"/>
            <w:vAlign w:val="center"/>
          </w:tcPr>
          <w:p w14:paraId="4822F5EF" w14:textId="77777777" w:rsidR="00995E2A" w:rsidRPr="00800D22" w:rsidRDefault="00995E2A" w:rsidP="000A32F1">
            <w:pPr>
              <w:rPr>
                <w:sz w:val="18"/>
                <w:szCs w:val="18"/>
              </w:rPr>
            </w:pPr>
            <w:r w:rsidRPr="00800D22">
              <w:rPr>
                <w:bCs/>
                <w:sz w:val="18"/>
                <w:szCs w:val="18"/>
                <w:lang w:eastAsia="ko-KR"/>
              </w:rPr>
              <w:t>3</w:t>
            </w:r>
            <w:proofErr w:type="spellStart"/>
            <w:r w:rsidRPr="00800D22">
              <w:rPr>
                <w:bCs/>
                <w:position w:val="5"/>
                <w:sz w:val="18"/>
                <w:szCs w:val="18"/>
                <w:lang w:eastAsia="ko-KR"/>
              </w:rPr>
              <w:t>rd</w:t>
            </w:r>
            <w:proofErr w:type="spellEnd"/>
          </w:p>
        </w:tc>
        <w:tc>
          <w:tcPr>
            <w:tcW w:w="1401" w:type="pct"/>
            <w:vAlign w:val="center"/>
          </w:tcPr>
          <w:p w14:paraId="0041B170" w14:textId="77777777" w:rsidR="00995E2A" w:rsidRPr="00800D22" w:rsidRDefault="00995E2A" w:rsidP="000A32F1">
            <w:pPr>
              <w:rPr>
                <w:sz w:val="18"/>
                <w:szCs w:val="18"/>
              </w:rPr>
            </w:pPr>
            <w:proofErr w:type="spellStart"/>
            <w:r w:rsidRPr="00800D22">
              <w:rPr>
                <w:bCs/>
                <w:sz w:val="18"/>
                <w:szCs w:val="18"/>
                <w:lang w:eastAsia="ko-KR"/>
              </w:rPr>
              <w:t>KOROmas</w:t>
            </w:r>
            <w:proofErr w:type="spellEnd"/>
            <w:r w:rsidRPr="00800D22">
              <w:rPr>
                <w:bCs/>
                <w:sz w:val="18"/>
                <w:szCs w:val="18"/>
                <w:lang w:eastAsia="ko-KR"/>
              </w:rPr>
              <w:t xml:space="preserve"> Fund</w:t>
            </w:r>
          </w:p>
        </w:tc>
        <w:tc>
          <w:tcPr>
            <w:tcW w:w="782" w:type="pct"/>
            <w:vAlign w:val="center"/>
          </w:tcPr>
          <w:p w14:paraId="7340C078" w14:textId="77777777" w:rsidR="00995E2A" w:rsidRPr="00800D22" w:rsidRDefault="00995E2A" w:rsidP="000A32F1">
            <w:pPr>
              <w:rPr>
                <w:sz w:val="18"/>
                <w:szCs w:val="18"/>
              </w:rPr>
            </w:pPr>
            <w:r w:rsidRPr="00800D22">
              <w:rPr>
                <w:bCs/>
                <w:sz w:val="18"/>
                <w:szCs w:val="18"/>
                <w:lang w:eastAsia="ko-KR"/>
              </w:rPr>
              <w:t>82.8%</w:t>
            </w:r>
          </w:p>
        </w:tc>
        <w:tc>
          <w:tcPr>
            <w:tcW w:w="766" w:type="pct"/>
            <w:vAlign w:val="center"/>
          </w:tcPr>
          <w:p w14:paraId="1624B0F0" w14:textId="77777777" w:rsidR="00995E2A" w:rsidRPr="00800D22" w:rsidRDefault="00995E2A" w:rsidP="000A32F1">
            <w:pPr>
              <w:rPr>
                <w:sz w:val="18"/>
                <w:szCs w:val="18"/>
              </w:rPr>
            </w:pPr>
            <w:r w:rsidRPr="00800D22">
              <w:rPr>
                <w:bCs/>
                <w:sz w:val="18"/>
                <w:szCs w:val="18"/>
                <w:lang w:eastAsia="ko-KR"/>
              </w:rPr>
              <w:t>17.2%</w:t>
            </w:r>
          </w:p>
        </w:tc>
        <w:tc>
          <w:tcPr>
            <w:tcW w:w="584" w:type="pct"/>
            <w:vAlign w:val="center"/>
          </w:tcPr>
          <w:p w14:paraId="18A493EC" w14:textId="77777777" w:rsidR="00995E2A" w:rsidRPr="00800D22" w:rsidRDefault="00995E2A" w:rsidP="000A32F1">
            <w:pPr>
              <w:rPr>
                <w:sz w:val="18"/>
                <w:szCs w:val="18"/>
              </w:rPr>
            </w:pPr>
            <w:r w:rsidRPr="00800D22">
              <w:rPr>
                <w:bCs/>
                <w:sz w:val="18"/>
                <w:szCs w:val="18"/>
                <w:lang w:eastAsia="ko-KR"/>
              </w:rPr>
              <w:t>-</w:t>
            </w:r>
          </w:p>
        </w:tc>
        <w:tc>
          <w:tcPr>
            <w:tcW w:w="1145" w:type="pct"/>
            <w:vAlign w:val="center"/>
          </w:tcPr>
          <w:p w14:paraId="7CCB8911" w14:textId="77777777" w:rsidR="00995E2A" w:rsidRPr="00800D22" w:rsidRDefault="00995E2A" w:rsidP="000A32F1">
            <w:pPr>
              <w:rPr>
                <w:sz w:val="18"/>
                <w:szCs w:val="18"/>
              </w:rPr>
            </w:pPr>
            <w:r w:rsidRPr="00800D22">
              <w:rPr>
                <w:bCs/>
                <w:sz w:val="18"/>
                <w:szCs w:val="18"/>
                <w:lang w:eastAsia="ko-KR"/>
              </w:rPr>
              <w:t>-</w:t>
            </w:r>
          </w:p>
        </w:tc>
      </w:tr>
      <w:tr w:rsidR="00995E2A" w:rsidRPr="00800D22" w14:paraId="50EFA70D" w14:textId="77777777" w:rsidTr="000A32F1">
        <w:trPr>
          <w:trHeight w:hRule="exact" w:val="369"/>
        </w:trPr>
        <w:tc>
          <w:tcPr>
            <w:tcW w:w="323" w:type="pct"/>
            <w:vAlign w:val="center"/>
          </w:tcPr>
          <w:p w14:paraId="3382DEBF" w14:textId="77777777" w:rsidR="00995E2A" w:rsidRPr="00800D22" w:rsidRDefault="00995E2A" w:rsidP="000A32F1">
            <w:pPr>
              <w:rPr>
                <w:sz w:val="18"/>
                <w:szCs w:val="18"/>
              </w:rPr>
            </w:pPr>
            <w:r w:rsidRPr="00800D22">
              <w:rPr>
                <w:bCs/>
                <w:sz w:val="18"/>
                <w:szCs w:val="18"/>
                <w:lang w:eastAsia="ko-KR"/>
              </w:rPr>
              <w:t>4</w:t>
            </w:r>
            <w:proofErr w:type="spellStart"/>
            <w:r w:rsidRPr="00800D22">
              <w:rPr>
                <w:bCs/>
                <w:position w:val="5"/>
                <w:sz w:val="18"/>
                <w:szCs w:val="18"/>
                <w:lang w:eastAsia="ko-KR"/>
              </w:rPr>
              <w:t>th</w:t>
            </w:r>
            <w:proofErr w:type="spellEnd"/>
          </w:p>
        </w:tc>
        <w:tc>
          <w:tcPr>
            <w:tcW w:w="1401" w:type="pct"/>
            <w:vAlign w:val="center"/>
          </w:tcPr>
          <w:p w14:paraId="3EA82226" w14:textId="77777777" w:rsidR="00995E2A" w:rsidRPr="00800D22" w:rsidRDefault="00995E2A" w:rsidP="000A32F1">
            <w:pPr>
              <w:rPr>
                <w:sz w:val="18"/>
                <w:szCs w:val="18"/>
              </w:rPr>
            </w:pPr>
            <w:r w:rsidRPr="00800D22">
              <w:rPr>
                <w:bCs/>
                <w:sz w:val="18"/>
                <w:szCs w:val="18"/>
                <w:lang w:eastAsia="ko-KR"/>
              </w:rPr>
              <w:t>3</w:t>
            </w:r>
            <w:r w:rsidRPr="00800D22">
              <w:rPr>
                <w:bCs/>
                <w:sz w:val="18"/>
                <w:szCs w:val="18"/>
                <w:vertAlign w:val="superscript"/>
                <w:lang w:eastAsia="ko-KR"/>
              </w:rPr>
              <w:t>rd</w:t>
            </w:r>
            <w:r w:rsidRPr="00800D22">
              <w:rPr>
                <w:bCs/>
                <w:sz w:val="18"/>
                <w:szCs w:val="18"/>
              </w:rPr>
              <w:t xml:space="preserve"> </w:t>
            </w:r>
            <w:r w:rsidRPr="00800D22">
              <w:rPr>
                <w:bCs/>
                <w:sz w:val="18"/>
                <w:szCs w:val="18"/>
                <w:lang w:eastAsia="ko-KR"/>
              </w:rPr>
              <w:t>SME Securitization</w:t>
            </w:r>
          </w:p>
        </w:tc>
        <w:tc>
          <w:tcPr>
            <w:tcW w:w="782" w:type="pct"/>
            <w:vAlign w:val="center"/>
          </w:tcPr>
          <w:p w14:paraId="5332E0B3" w14:textId="77777777" w:rsidR="00995E2A" w:rsidRPr="00800D22" w:rsidRDefault="00995E2A" w:rsidP="000A32F1">
            <w:pPr>
              <w:rPr>
                <w:sz w:val="18"/>
                <w:szCs w:val="18"/>
              </w:rPr>
            </w:pPr>
            <w:r w:rsidRPr="00800D22">
              <w:rPr>
                <w:bCs/>
                <w:sz w:val="18"/>
                <w:szCs w:val="18"/>
                <w:lang w:eastAsia="ko-KR"/>
              </w:rPr>
              <w:t>84.6%</w:t>
            </w:r>
          </w:p>
        </w:tc>
        <w:tc>
          <w:tcPr>
            <w:tcW w:w="766" w:type="pct"/>
            <w:vAlign w:val="center"/>
          </w:tcPr>
          <w:p w14:paraId="61E30526" w14:textId="77777777" w:rsidR="00995E2A" w:rsidRPr="00800D22" w:rsidRDefault="00995E2A" w:rsidP="000A32F1">
            <w:pPr>
              <w:rPr>
                <w:sz w:val="18"/>
                <w:szCs w:val="18"/>
              </w:rPr>
            </w:pPr>
            <w:r w:rsidRPr="00800D22">
              <w:rPr>
                <w:bCs/>
                <w:sz w:val="18"/>
                <w:szCs w:val="18"/>
                <w:lang w:eastAsia="ko-KR"/>
              </w:rPr>
              <w:t>15.4%</w:t>
            </w:r>
          </w:p>
        </w:tc>
        <w:tc>
          <w:tcPr>
            <w:tcW w:w="584" w:type="pct"/>
            <w:vAlign w:val="center"/>
          </w:tcPr>
          <w:p w14:paraId="5D495FA4" w14:textId="77777777" w:rsidR="00995E2A" w:rsidRPr="00800D22" w:rsidRDefault="00995E2A" w:rsidP="000A32F1">
            <w:pPr>
              <w:rPr>
                <w:sz w:val="18"/>
                <w:szCs w:val="18"/>
              </w:rPr>
            </w:pPr>
            <w:r w:rsidRPr="00800D22">
              <w:rPr>
                <w:bCs/>
                <w:sz w:val="18"/>
                <w:szCs w:val="18"/>
                <w:lang w:eastAsia="ko-KR"/>
              </w:rPr>
              <w:t>-</w:t>
            </w:r>
          </w:p>
        </w:tc>
        <w:tc>
          <w:tcPr>
            <w:tcW w:w="1145" w:type="pct"/>
            <w:vAlign w:val="center"/>
          </w:tcPr>
          <w:p w14:paraId="62E6F270" w14:textId="77777777" w:rsidR="00995E2A" w:rsidRPr="00800D22" w:rsidRDefault="00995E2A" w:rsidP="000A32F1">
            <w:pPr>
              <w:rPr>
                <w:sz w:val="18"/>
                <w:szCs w:val="18"/>
              </w:rPr>
            </w:pPr>
            <w:r w:rsidRPr="00800D22">
              <w:rPr>
                <w:bCs/>
                <w:sz w:val="18"/>
                <w:szCs w:val="18"/>
                <w:lang w:eastAsia="ko-KR"/>
              </w:rPr>
              <w:t>-</w:t>
            </w:r>
          </w:p>
        </w:tc>
      </w:tr>
      <w:tr w:rsidR="00995E2A" w:rsidRPr="00800D22" w14:paraId="18217C43" w14:textId="77777777" w:rsidTr="000A32F1">
        <w:trPr>
          <w:trHeight w:hRule="exact" w:val="369"/>
        </w:trPr>
        <w:tc>
          <w:tcPr>
            <w:tcW w:w="323" w:type="pct"/>
            <w:vAlign w:val="center"/>
          </w:tcPr>
          <w:p w14:paraId="14E87AF0" w14:textId="77777777" w:rsidR="00995E2A" w:rsidRPr="00800D22" w:rsidRDefault="00995E2A" w:rsidP="000A32F1">
            <w:pPr>
              <w:rPr>
                <w:sz w:val="18"/>
                <w:szCs w:val="18"/>
              </w:rPr>
            </w:pPr>
            <w:r w:rsidRPr="00800D22">
              <w:rPr>
                <w:bCs/>
                <w:sz w:val="18"/>
                <w:szCs w:val="18"/>
                <w:lang w:eastAsia="ko-KR"/>
              </w:rPr>
              <w:t>5</w:t>
            </w:r>
            <w:proofErr w:type="spellStart"/>
            <w:r w:rsidRPr="00800D22">
              <w:rPr>
                <w:bCs/>
                <w:position w:val="5"/>
                <w:sz w:val="18"/>
                <w:szCs w:val="18"/>
                <w:lang w:eastAsia="ko-KR"/>
              </w:rPr>
              <w:t>th</w:t>
            </w:r>
            <w:proofErr w:type="spellEnd"/>
          </w:p>
        </w:tc>
        <w:tc>
          <w:tcPr>
            <w:tcW w:w="1401" w:type="pct"/>
            <w:vAlign w:val="center"/>
          </w:tcPr>
          <w:p w14:paraId="35C0FB2A" w14:textId="77777777" w:rsidR="00995E2A" w:rsidRPr="00800D22" w:rsidRDefault="00995E2A" w:rsidP="000A32F1">
            <w:pPr>
              <w:rPr>
                <w:sz w:val="18"/>
                <w:szCs w:val="18"/>
              </w:rPr>
            </w:pPr>
            <w:proofErr w:type="spellStart"/>
            <w:r w:rsidRPr="00800D22">
              <w:rPr>
                <w:bCs/>
                <w:sz w:val="18"/>
                <w:szCs w:val="18"/>
                <w:lang w:eastAsia="ko-KR"/>
              </w:rPr>
              <w:t>COROvoltin</w:t>
            </w:r>
            <w:proofErr w:type="spellEnd"/>
            <w:r w:rsidRPr="00800D22">
              <w:rPr>
                <w:bCs/>
                <w:sz w:val="18"/>
                <w:szCs w:val="18"/>
                <w:lang w:eastAsia="ko-KR"/>
              </w:rPr>
              <w:t xml:space="preserve"> Fund</w:t>
            </w:r>
          </w:p>
        </w:tc>
        <w:tc>
          <w:tcPr>
            <w:tcW w:w="782" w:type="pct"/>
            <w:vAlign w:val="center"/>
          </w:tcPr>
          <w:p w14:paraId="47705A04" w14:textId="77777777" w:rsidR="00995E2A" w:rsidRPr="00800D22" w:rsidRDefault="00995E2A" w:rsidP="000A32F1">
            <w:pPr>
              <w:rPr>
                <w:sz w:val="18"/>
                <w:szCs w:val="18"/>
              </w:rPr>
            </w:pPr>
            <w:r w:rsidRPr="00800D22">
              <w:rPr>
                <w:bCs/>
                <w:sz w:val="18"/>
                <w:szCs w:val="18"/>
                <w:lang w:eastAsia="ko-KR"/>
              </w:rPr>
              <w:t>76%</w:t>
            </w:r>
          </w:p>
        </w:tc>
        <w:tc>
          <w:tcPr>
            <w:tcW w:w="766" w:type="pct"/>
            <w:vAlign w:val="center"/>
          </w:tcPr>
          <w:p w14:paraId="3C3A2A8A" w14:textId="77777777" w:rsidR="00995E2A" w:rsidRPr="00800D22" w:rsidRDefault="00995E2A" w:rsidP="000A32F1">
            <w:pPr>
              <w:rPr>
                <w:sz w:val="18"/>
                <w:szCs w:val="18"/>
              </w:rPr>
            </w:pPr>
            <w:r w:rsidRPr="00800D22">
              <w:rPr>
                <w:bCs/>
                <w:sz w:val="18"/>
                <w:szCs w:val="18"/>
                <w:lang w:eastAsia="ko-KR"/>
              </w:rPr>
              <w:t>16.9%</w:t>
            </w:r>
          </w:p>
        </w:tc>
        <w:tc>
          <w:tcPr>
            <w:tcW w:w="584" w:type="pct"/>
            <w:vAlign w:val="center"/>
          </w:tcPr>
          <w:p w14:paraId="1E7EB6DE" w14:textId="77777777" w:rsidR="00995E2A" w:rsidRPr="00800D22" w:rsidRDefault="00995E2A" w:rsidP="000A32F1">
            <w:pPr>
              <w:rPr>
                <w:sz w:val="18"/>
                <w:szCs w:val="18"/>
              </w:rPr>
            </w:pPr>
            <w:r w:rsidRPr="00800D22">
              <w:rPr>
                <w:bCs/>
                <w:sz w:val="18"/>
                <w:szCs w:val="18"/>
                <w:lang w:eastAsia="ko-KR"/>
              </w:rPr>
              <w:t>7.1%</w:t>
            </w:r>
          </w:p>
        </w:tc>
        <w:tc>
          <w:tcPr>
            <w:tcW w:w="1145" w:type="pct"/>
            <w:vAlign w:val="center"/>
          </w:tcPr>
          <w:p w14:paraId="7E3A281A" w14:textId="77777777" w:rsidR="00995E2A" w:rsidRPr="00800D22" w:rsidRDefault="00995E2A" w:rsidP="000A32F1">
            <w:pPr>
              <w:rPr>
                <w:sz w:val="18"/>
                <w:szCs w:val="18"/>
              </w:rPr>
            </w:pPr>
            <w:r w:rsidRPr="00800D22">
              <w:rPr>
                <w:bCs/>
                <w:sz w:val="18"/>
                <w:szCs w:val="18"/>
              </w:rPr>
              <w:t>中介机构</w:t>
            </w:r>
          </w:p>
        </w:tc>
      </w:tr>
      <w:tr w:rsidR="00995E2A" w:rsidRPr="00800D22" w14:paraId="5E58E488" w14:textId="77777777" w:rsidTr="000A32F1">
        <w:trPr>
          <w:trHeight w:hRule="exact" w:val="369"/>
        </w:trPr>
        <w:tc>
          <w:tcPr>
            <w:tcW w:w="323" w:type="pct"/>
            <w:vAlign w:val="center"/>
          </w:tcPr>
          <w:p w14:paraId="57A8D1E8" w14:textId="77777777" w:rsidR="00995E2A" w:rsidRPr="00800D22" w:rsidRDefault="00995E2A" w:rsidP="000A32F1">
            <w:pPr>
              <w:rPr>
                <w:bCs/>
                <w:position w:val="5"/>
                <w:sz w:val="18"/>
                <w:szCs w:val="18"/>
                <w:lang w:eastAsia="ko-KR"/>
              </w:rPr>
            </w:pPr>
            <w:r w:rsidRPr="00800D22">
              <w:rPr>
                <w:bCs/>
                <w:sz w:val="18"/>
                <w:szCs w:val="18"/>
                <w:lang w:eastAsia="ko-KR"/>
              </w:rPr>
              <w:t>6</w:t>
            </w:r>
            <w:proofErr w:type="spellStart"/>
            <w:r w:rsidRPr="00800D22">
              <w:rPr>
                <w:bCs/>
                <w:position w:val="5"/>
                <w:sz w:val="18"/>
                <w:szCs w:val="18"/>
                <w:lang w:eastAsia="ko-KR"/>
              </w:rPr>
              <w:t>th</w:t>
            </w:r>
            <w:proofErr w:type="spellEnd"/>
          </w:p>
        </w:tc>
        <w:tc>
          <w:tcPr>
            <w:tcW w:w="1401" w:type="pct"/>
            <w:vAlign w:val="center"/>
          </w:tcPr>
          <w:p w14:paraId="02899AA2" w14:textId="77777777" w:rsidR="00995E2A" w:rsidRPr="00800D22" w:rsidRDefault="00995E2A" w:rsidP="000A32F1">
            <w:pPr>
              <w:rPr>
                <w:sz w:val="18"/>
                <w:szCs w:val="18"/>
              </w:rPr>
            </w:pPr>
            <w:r w:rsidRPr="00800D22">
              <w:rPr>
                <w:bCs/>
                <w:sz w:val="18"/>
                <w:szCs w:val="18"/>
                <w:lang w:eastAsia="ko-KR"/>
              </w:rPr>
              <w:t>4</w:t>
            </w:r>
            <w:r w:rsidRPr="00800D22">
              <w:rPr>
                <w:bCs/>
                <w:sz w:val="18"/>
                <w:szCs w:val="18"/>
                <w:vertAlign w:val="superscript"/>
                <w:lang w:eastAsia="ko-KR"/>
              </w:rPr>
              <w:t>th</w:t>
            </w:r>
            <w:r w:rsidRPr="00800D22">
              <w:rPr>
                <w:bCs/>
                <w:sz w:val="18"/>
                <w:szCs w:val="18"/>
              </w:rPr>
              <w:t xml:space="preserve"> </w:t>
            </w:r>
            <w:r w:rsidRPr="00800D22">
              <w:rPr>
                <w:bCs/>
                <w:sz w:val="18"/>
                <w:szCs w:val="18"/>
                <w:lang w:eastAsia="ko-KR"/>
              </w:rPr>
              <w:t>SME Securitization</w:t>
            </w:r>
          </w:p>
        </w:tc>
        <w:tc>
          <w:tcPr>
            <w:tcW w:w="782" w:type="pct"/>
            <w:vAlign w:val="center"/>
          </w:tcPr>
          <w:p w14:paraId="73FDFB29" w14:textId="77777777" w:rsidR="00995E2A" w:rsidRPr="00800D22" w:rsidRDefault="00995E2A" w:rsidP="000A32F1">
            <w:pPr>
              <w:rPr>
                <w:sz w:val="18"/>
                <w:szCs w:val="18"/>
              </w:rPr>
            </w:pPr>
            <w:r w:rsidRPr="00800D22">
              <w:rPr>
                <w:bCs/>
                <w:sz w:val="18"/>
                <w:szCs w:val="18"/>
                <w:lang w:eastAsia="ko-KR"/>
              </w:rPr>
              <w:t>81.63%</w:t>
            </w:r>
          </w:p>
        </w:tc>
        <w:tc>
          <w:tcPr>
            <w:tcW w:w="766" w:type="pct"/>
            <w:vAlign w:val="center"/>
          </w:tcPr>
          <w:p w14:paraId="71994A95" w14:textId="77777777" w:rsidR="00995E2A" w:rsidRPr="00800D22" w:rsidRDefault="00995E2A" w:rsidP="000A32F1">
            <w:pPr>
              <w:rPr>
                <w:sz w:val="18"/>
                <w:szCs w:val="18"/>
              </w:rPr>
            </w:pPr>
            <w:r w:rsidRPr="00800D22">
              <w:rPr>
                <w:bCs/>
                <w:sz w:val="18"/>
                <w:szCs w:val="18"/>
                <w:lang w:eastAsia="ko-KR"/>
              </w:rPr>
              <w:t>18.37%</w:t>
            </w:r>
          </w:p>
        </w:tc>
        <w:tc>
          <w:tcPr>
            <w:tcW w:w="584" w:type="pct"/>
            <w:vAlign w:val="center"/>
          </w:tcPr>
          <w:p w14:paraId="20CF1C42" w14:textId="77777777" w:rsidR="00995E2A" w:rsidRPr="00800D22" w:rsidRDefault="00995E2A" w:rsidP="000A32F1">
            <w:pPr>
              <w:rPr>
                <w:sz w:val="18"/>
                <w:szCs w:val="18"/>
              </w:rPr>
            </w:pPr>
            <w:r w:rsidRPr="00800D22">
              <w:rPr>
                <w:bCs/>
                <w:sz w:val="18"/>
                <w:szCs w:val="18"/>
                <w:lang w:eastAsia="ko-KR"/>
              </w:rPr>
              <w:t>-</w:t>
            </w:r>
          </w:p>
        </w:tc>
        <w:tc>
          <w:tcPr>
            <w:tcW w:w="1145" w:type="pct"/>
            <w:vAlign w:val="center"/>
          </w:tcPr>
          <w:p w14:paraId="447BD9A2" w14:textId="77777777" w:rsidR="00995E2A" w:rsidRPr="00800D22" w:rsidRDefault="00995E2A" w:rsidP="000A32F1">
            <w:pPr>
              <w:rPr>
                <w:sz w:val="18"/>
                <w:szCs w:val="18"/>
              </w:rPr>
            </w:pPr>
            <w:r w:rsidRPr="00800D22">
              <w:rPr>
                <w:bCs/>
                <w:sz w:val="18"/>
                <w:szCs w:val="18"/>
                <w:lang w:eastAsia="ko-KR"/>
              </w:rPr>
              <w:t>-</w:t>
            </w:r>
          </w:p>
        </w:tc>
      </w:tr>
      <w:tr w:rsidR="00995E2A" w:rsidRPr="00800D22" w14:paraId="1788448A" w14:textId="77777777" w:rsidTr="000A32F1">
        <w:trPr>
          <w:trHeight w:hRule="exact" w:val="369"/>
        </w:trPr>
        <w:tc>
          <w:tcPr>
            <w:tcW w:w="323" w:type="pct"/>
            <w:vAlign w:val="center"/>
          </w:tcPr>
          <w:p w14:paraId="13441697" w14:textId="77777777" w:rsidR="00995E2A" w:rsidRPr="00800D22" w:rsidRDefault="00995E2A" w:rsidP="000A32F1">
            <w:pPr>
              <w:rPr>
                <w:bCs/>
                <w:position w:val="5"/>
                <w:sz w:val="18"/>
                <w:szCs w:val="18"/>
                <w:lang w:eastAsia="ko-KR"/>
              </w:rPr>
            </w:pPr>
            <w:r w:rsidRPr="00800D22">
              <w:rPr>
                <w:bCs/>
                <w:sz w:val="18"/>
                <w:szCs w:val="18"/>
                <w:lang w:eastAsia="ko-KR"/>
              </w:rPr>
              <w:t>7</w:t>
            </w:r>
            <w:proofErr w:type="spellStart"/>
            <w:r w:rsidRPr="00800D22">
              <w:rPr>
                <w:bCs/>
                <w:position w:val="5"/>
                <w:sz w:val="18"/>
                <w:szCs w:val="18"/>
                <w:lang w:eastAsia="ko-KR"/>
              </w:rPr>
              <w:t>th</w:t>
            </w:r>
            <w:proofErr w:type="spellEnd"/>
          </w:p>
        </w:tc>
        <w:tc>
          <w:tcPr>
            <w:tcW w:w="1401" w:type="pct"/>
            <w:vAlign w:val="center"/>
          </w:tcPr>
          <w:p w14:paraId="362368E3" w14:textId="77777777" w:rsidR="00995E2A" w:rsidRPr="00800D22" w:rsidRDefault="00995E2A" w:rsidP="000A32F1">
            <w:pPr>
              <w:rPr>
                <w:sz w:val="18"/>
                <w:szCs w:val="18"/>
              </w:rPr>
            </w:pPr>
            <w:r w:rsidRPr="00800D22">
              <w:rPr>
                <w:bCs/>
                <w:sz w:val="18"/>
                <w:szCs w:val="18"/>
                <w:lang w:eastAsia="ko-KR"/>
              </w:rPr>
              <w:t>5</w:t>
            </w:r>
            <w:r w:rsidRPr="00800D22">
              <w:rPr>
                <w:bCs/>
                <w:sz w:val="18"/>
                <w:szCs w:val="18"/>
                <w:vertAlign w:val="superscript"/>
                <w:lang w:eastAsia="ko-KR"/>
              </w:rPr>
              <w:t>th</w:t>
            </w:r>
            <w:r w:rsidRPr="00800D22">
              <w:rPr>
                <w:bCs/>
                <w:sz w:val="18"/>
                <w:szCs w:val="18"/>
              </w:rPr>
              <w:t xml:space="preserve"> </w:t>
            </w:r>
            <w:r w:rsidRPr="00800D22">
              <w:rPr>
                <w:bCs/>
                <w:sz w:val="18"/>
                <w:szCs w:val="18"/>
                <w:lang w:eastAsia="ko-KR"/>
              </w:rPr>
              <w:t>SME Securitization</w:t>
            </w:r>
          </w:p>
        </w:tc>
        <w:tc>
          <w:tcPr>
            <w:tcW w:w="782" w:type="pct"/>
            <w:vAlign w:val="center"/>
          </w:tcPr>
          <w:p w14:paraId="077B91A1" w14:textId="77777777" w:rsidR="00995E2A" w:rsidRPr="00800D22" w:rsidRDefault="00995E2A" w:rsidP="000A32F1">
            <w:pPr>
              <w:rPr>
                <w:sz w:val="18"/>
                <w:szCs w:val="18"/>
              </w:rPr>
            </w:pPr>
            <w:r w:rsidRPr="00800D22">
              <w:rPr>
                <w:bCs/>
                <w:sz w:val="18"/>
                <w:szCs w:val="18"/>
                <w:lang w:eastAsia="ko-KR"/>
              </w:rPr>
              <w:t>85%</w:t>
            </w:r>
          </w:p>
        </w:tc>
        <w:tc>
          <w:tcPr>
            <w:tcW w:w="766" w:type="pct"/>
            <w:vAlign w:val="center"/>
          </w:tcPr>
          <w:p w14:paraId="2A8E73B4" w14:textId="77777777" w:rsidR="00995E2A" w:rsidRPr="00800D22" w:rsidRDefault="00995E2A" w:rsidP="000A32F1">
            <w:pPr>
              <w:rPr>
                <w:sz w:val="18"/>
                <w:szCs w:val="18"/>
              </w:rPr>
            </w:pPr>
            <w:r w:rsidRPr="00800D22">
              <w:rPr>
                <w:bCs/>
                <w:sz w:val="18"/>
                <w:szCs w:val="18"/>
                <w:lang w:eastAsia="ko-KR"/>
              </w:rPr>
              <w:t>15%</w:t>
            </w:r>
          </w:p>
        </w:tc>
        <w:tc>
          <w:tcPr>
            <w:tcW w:w="584" w:type="pct"/>
            <w:vAlign w:val="center"/>
          </w:tcPr>
          <w:p w14:paraId="35F98C4B" w14:textId="77777777" w:rsidR="00995E2A" w:rsidRPr="00800D22" w:rsidRDefault="00995E2A" w:rsidP="000A32F1">
            <w:pPr>
              <w:rPr>
                <w:sz w:val="18"/>
                <w:szCs w:val="18"/>
              </w:rPr>
            </w:pPr>
            <w:r w:rsidRPr="00800D22">
              <w:rPr>
                <w:bCs/>
                <w:sz w:val="18"/>
                <w:szCs w:val="18"/>
                <w:lang w:eastAsia="ko-KR"/>
              </w:rPr>
              <w:t>-</w:t>
            </w:r>
          </w:p>
        </w:tc>
        <w:tc>
          <w:tcPr>
            <w:tcW w:w="1145" w:type="pct"/>
            <w:vAlign w:val="center"/>
          </w:tcPr>
          <w:p w14:paraId="4187F329" w14:textId="77777777" w:rsidR="00995E2A" w:rsidRPr="00800D22" w:rsidRDefault="00995E2A" w:rsidP="000A32F1">
            <w:pPr>
              <w:rPr>
                <w:sz w:val="18"/>
                <w:szCs w:val="18"/>
              </w:rPr>
            </w:pPr>
            <w:r w:rsidRPr="00800D22">
              <w:rPr>
                <w:bCs/>
                <w:sz w:val="18"/>
                <w:szCs w:val="18"/>
                <w:lang w:eastAsia="ko-KR"/>
              </w:rPr>
              <w:t>-</w:t>
            </w:r>
          </w:p>
        </w:tc>
      </w:tr>
      <w:tr w:rsidR="00995E2A" w:rsidRPr="00800D22" w14:paraId="0EAFB6AE" w14:textId="77777777" w:rsidTr="000A32F1">
        <w:trPr>
          <w:trHeight w:hRule="exact" w:val="369"/>
        </w:trPr>
        <w:tc>
          <w:tcPr>
            <w:tcW w:w="323" w:type="pct"/>
            <w:vAlign w:val="center"/>
          </w:tcPr>
          <w:p w14:paraId="61BA1109" w14:textId="77777777" w:rsidR="00995E2A" w:rsidRPr="00800D22" w:rsidRDefault="00995E2A" w:rsidP="000A32F1">
            <w:pPr>
              <w:rPr>
                <w:sz w:val="18"/>
                <w:szCs w:val="18"/>
              </w:rPr>
            </w:pPr>
            <w:r w:rsidRPr="00800D22">
              <w:rPr>
                <w:bCs/>
                <w:sz w:val="18"/>
                <w:szCs w:val="18"/>
                <w:lang w:eastAsia="ko-KR"/>
              </w:rPr>
              <w:t>8</w:t>
            </w:r>
            <w:proofErr w:type="spellStart"/>
            <w:r w:rsidRPr="00800D22">
              <w:rPr>
                <w:bCs/>
                <w:position w:val="5"/>
                <w:sz w:val="18"/>
                <w:szCs w:val="18"/>
                <w:lang w:eastAsia="ko-KR"/>
              </w:rPr>
              <w:t>th</w:t>
            </w:r>
            <w:proofErr w:type="spellEnd"/>
          </w:p>
        </w:tc>
        <w:tc>
          <w:tcPr>
            <w:tcW w:w="1401" w:type="pct"/>
            <w:vAlign w:val="center"/>
          </w:tcPr>
          <w:p w14:paraId="3A2C7B3C" w14:textId="77777777" w:rsidR="00995E2A" w:rsidRPr="00800D22" w:rsidRDefault="00995E2A" w:rsidP="000A32F1">
            <w:pPr>
              <w:rPr>
                <w:bCs/>
                <w:sz w:val="18"/>
                <w:szCs w:val="18"/>
                <w:lang w:eastAsia="ko-KR"/>
              </w:rPr>
            </w:pPr>
            <w:r w:rsidRPr="00800D22">
              <w:rPr>
                <w:bCs/>
                <w:sz w:val="18"/>
                <w:szCs w:val="18"/>
                <w:lang w:eastAsia="ko-KR"/>
              </w:rPr>
              <w:t>Yen CBO securitization</w:t>
            </w:r>
          </w:p>
          <w:p w14:paraId="57807507" w14:textId="77777777" w:rsidR="00995E2A" w:rsidRPr="00800D22" w:rsidRDefault="00995E2A" w:rsidP="000A32F1">
            <w:pPr>
              <w:rPr>
                <w:sz w:val="18"/>
                <w:szCs w:val="18"/>
              </w:rPr>
            </w:pPr>
            <w:r w:rsidRPr="00800D22">
              <w:rPr>
                <w:bCs/>
                <w:sz w:val="18"/>
                <w:szCs w:val="18"/>
                <w:lang w:eastAsia="ko-KR"/>
              </w:rPr>
              <w:t>(6</w:t>
            </w:r>
            <w:r w:rsidRPr="00800D22">
              <w:rPr>
                <w:bCs/>
                <w:sz w:val="18"/>
                <w:szCs w:val="18"/>
                <w:vertAlign w:val="superscript"/>
                <w:lang w:eastAsia="ko-KR"/>
              </w:rPr>
              <w:t>th</w:t>
            </w:r>
            <w:r w:rsidRPr="00800D22">
              <w:rPr>
                <w:bCs/>
                <w:sz w:val="18"/>
                <w:szCs w:val="18"/>
                <w:lang w:eastAsia="ko-KR"/>
              </w:rPr>
              <w:t>SME Securitization)</w:t>
            </w:r>
          </w:p>
        </w:tc>
        <w:tc>
          <w:tcPr>
            <w:tcW w:w="782" w:type="pct"/>
            <w:vAlign w:val="center"/>
          </w:tcPr>
          <w:p w14:paraId="76166B46" w14:textId="77777777" w:rsidR="00995E2A" w:rsidRPr="00800D22" w:rsidRDefault="00995E2A" w:rsidP="000A32F1">
            <w:pPr>
              <w:rPr>
                <w:sz w:val="18"/>
                <w:szCs w:val="18"/>
              </w:rPr>
            </w:pPr>
            <w:r w:rsidRPr="00800D22">
              <w:rPr>
                <w:bCs/>
                <w:sz w:val="18"/>
                <w:szCs w:val="18"/>
                <w:lang w:eastAsia="ko-KR"/>
              </w:rPr>
              <w:t>77%</w:t>
            </w:r>
          </w:p>
        </w:tc>
        <w:tc>
          <w:tcPr>
            <w:tcW w:w="766" w:type="pct"/>
            <w:vAlign w:val="center"/>
          </w:tcPr>
          <w:p w14:paraId="551E658C" w14:textId="77777777" w:rsidR="00995E2A" w:rsidRPr="00800D22" w:rsidRDefault="00995E2A" w:rsidP="000A32F1">
            <w:pPr>
              <w:rPr>
                <w:sz w:val="18"/>
                <w:szCs w:val="18"/>
              </w:rPr>
            </w:pPr>
            <w:r w:rsidRPr="00800D22">
              <w:rPr>
                <w:bCs/>
                <w:sz w:val="18"/>
                <w:szCs w:val="18"/>
                <w:lang w:eastAsia="ko-KR"/>
              </w:rPr>
              <w:t>20%</w:t>
            </w:r>
          </w:p>
        </w:tc>
        <w:tc>
          <w:tcPr>
            <w:tcW w:w="584" w:type="pct"/>
            <w:vAlign w:val="center"/>
          </w:tcPr>
          <w:p w14:paraId="0A2A9549" w14:textId="77777777" w:rsidR="00995E2A" w:rsidRPr="00800D22" w:rsidRDefault="00995E2A" w:rsidP="000A32F1">
            <w:pPr>
              <w:rPr>
                <w:sz w:val="18"/>
                <w:szCs w:val="18"/>
              </w:rPr>
            </w:pPr>
            <w:r w:rsidRPr="00800D22">
              <w:rPr>
                <w:bCs/>
                <w:sz w:val="18"/>
                <w:szCs w:val="18"/>
                <w:lang w:eastAsia="ko-KR"/>
              </w:rPr>
              <w:t>3%</w:t>
            </w:r>
          </w:p>
        </w:tc>
        <w:tc>
          <w:tcPr>
            <w:tcW w:w="1145" w:type="pct"/>
            <w:vAlign w:val="center"/>
          </w:tcPr>
          <w:p w14:paraId="1EADDACD" w14:textId="77777777" w:rsidR="00995E2A" w:rsidRPr="00800D22" w:rsidRDefault="00995E2A" w:rsidP="000A32F1">
            <w:pPr>
              <w:rPr>
                <w:sz w:val="18"/>
                <w:szCs w:val="18"/>
              </w:rPr>
            </w:pPr>
            <w:r w:rsidRPr="00800D22">
              <w:rPr>
                <w:bCs/>
                <w:sz w:val="18"/>
                <w:szCs w:val="18"/>
              </w:rPr>
              <w:t>中介机构</w:t>
            </w:r>
          </w:p>
        </w:tc>
      </w:tr>
      <w:tr w:rsidR="00995E2A" w:rsidRPr="00800D22" w14:paraId="66CB07F6" w14:textId="77777777" w:rsidTr="000A32F1">
        <w:trPr>
          <w:trHeight w:hRule="exact" w:val="369"/>
        </w:trPr>
        <w:tc>
          <w:tcPr>
            <w:tcW w:w="323" w:type="pct"/>
            <w:vAlign w:val="center"/>
          </w:tcPr>
          <w:p w14:paraId="05FFDA47" w14:textId="77777777" w:rsidR="00995E2A" w:rsidRPr="00800D22" w:rsidRDefault="00995E2A" w:rsidP="000A32F1">
            <w:pPr>
              <w:rPr>
                <w:sz w:val="18"/>
                <w:szCs w:val="18"/>
              </w:rPr>
            </w:pPr>
            <w:r w:rsidRPr="00800D22">
              <w:rPr>
                <w:bCs/>
                <w:sz w:val="18"/>
                <w:szCs w:val="18"/>
                <w:lang w:eastAsia="ko-KR"/>
              </w:rPr>
              <w:t>9</w:t>
            </w:r>
            <w:proofErr w:type="spellStart"/>
            <w:r w:rsidRPr="00800D22">
              <w:rPr>
                <w:bCs/>
                <w:position w:val="5"/>
                <w:sz w:val="18"/>
                <w:szCs w:val="18"/>
                <w:lang w:eastAsia="ko-KR"/>
              </w:rPr>
              <w:t>th</w:t>
            </w:r>
            <w:proofErr w:type="spellEnd"/>
          </w:p>
        </w:tc>
        <w:tc>
          <w:tcPr>
            <w:tcW w:w="1401" w:type="pct"/>
            <w:vAlign w:val="center"/>
          </w:tcPr>
          <w:p w14:paraId="43657796" w14:textId="77777777" w:rsidR="00995E2A" w:rsidRPr="00800D22" w:rsidRDefault="00995E2A" w:rsidP="000A32F1">
            <w:pPr>
              <w:rPr>
                <w:sz w:val="18"/>
                <w:szCs w:val="18"/>
              </w:rPr>
            </w:pPr>
            <w:r w:rsidRPr="00800D22">
              <w:rPr>
                <w:bCs/>
                <w:sz w:val="18"/>
                <w:szCs w:val="18"/>
                <w:lang w:eastAsia="ko-KR"/>
              </w:rPr>
              <w:t>7</w:t>
            </w:r>
            <w:r w:rsidRPr="00800D22">
              <w:rPr>
                <w:bCs/>
                <w:sz w:val="18"/>
                <w:szCs w:val="18"/>
                <w:vertAlign w:val="superscript"/>
                <w:lang w:eastAsia="ko-KR"/>
              </w:rPr>
              <w:t>th</w:t>
            </w:r>
            <w:r w:rsidRPr="00800D22">
              <w:rPr>
                <w:bCs/>
                <w:sz w:val="18"/>
                <w:szCs w:val="18"/>
              </w:rPr>
              <w:t xml:space="preserve"> </w:t>
            </w:r>
            <w:r w:rsidRPr="00800D22">
              <w:rPr>
                <w:bCs/>
                <w:sz w:val="18"/>
                <w:szCs w:val="18"/>
                <w:lang w:eastAsia="ko-KR"/>
              </w:rPr>
              <w:t>SME Securitization</w:t>
            </w:r>
          </w:p>
        </w:tc>
        <w:tc>
          <w:tcPr>
            <w:tcW w:w="782" w:type="pct"/>
            <w:vAlign w:val="center"/>
          </w:tcPr>
          <w:p w14:paraId="26A98C43" w14:textId="77777777" w:rsidR="00995E2A" w:rsidRPr="00800D22" w:rsidRDefault="00995E2A" w:rsidP="000A32F1">
            <w:pPr>
              <w:rPr>
                <w:sz w:val="18"/>
                <w:szCs w:val="18"/>
              </w:rPr>
            </w:pPr>
            <w:r w:rsidRPr="00800D22">
              <w:rPr>
                <w:bCs/>
                <w:sz w:val="18"/>
                <w:szCs w:val="18"/>
                <w:lang w:eastAsia="ko-KR"/>
              </w:rPr>
              <w:t>80.21%</w:t>
            </w:r>
          </w:p>
        </w:tc>
        <w:tc>
          <w:tcPr>
            <w:tcW w:w="766" w:type="pct"/>
            <w:vAlign w:val="center"/>
          </w:tcPr>
          <w:p w14:paraId="5176A6DA" w14:textId="77777777" w:rsidR="00995E2A" w:rsidRPr="00800D22" w:rsidRDefault="00995E2A" w:rsidP="000A32F1">
            <w:pPr>
              <w:rPr>
                <w:sz w:val="18"/>
                <w:szCs w:val="18"/>
              </w:rPr>
            </w:pPr>
            <w:r w:rsidRPr="00800D22">
              <w:rPr>
                <w:bCs/>
                <w:sz w:val="18"/>
                <w:szCs w:val="18"/>
                <w:lang w:eastAsia="ko-KR"/>
              </w:rPr>
              <w:t>17.65%</w:t>
            </w:r>
          </w:p>
        </w:tc>
        <w:tc>
          <w:tcPr>
            <w:tcW w:w="584" w:type="pct"/>
            <w:vAlign w:val="center"/>
          </w:tcPr>
          <w:p w14:paraId="4FEBE218" w14:textId="77777777" w:rsidR="00995E2A" w:rsidRPr="00800D22" w:rsidRDefault="00995E2A" w:rsidP="000A32F1">
            <w:pPr>
              <w:rPr>
                <w:sz w:val="18"/>
                <w:szCs w:val="18"/>
              </w:rPr>
            </w:pPr>
            <w:r w:rsidRPr="00800D22">
              <w:rPr>
                <w:bCs/>
                <w:sz w:val="18"/>
                <w:szCs w:val="18"/>
                <w:lang w:eastAsia="ko-KR"/>
              </w:rPr>
              <w:t>2.14%</w:t>
            </w:r>
          </w:p>
        </w:tc>
        <w:tc>
          <w:tcPr>
            <w:tcW w:w="1145" w:type="pct"/>
            <w:vAlign w:val="center"/>
          </w:tcPr>
          <w:p w14:paraId="274D97F3" w14:textId="77777777" w:rsidR="00995E2A" w:rsidRPr="00800D22" w:rsidRDefault="00995E2A" w:rsidP="000A32F1">
            <w:pPr>
              <w:rPr>
                <w:sz w:val="18"/>
                <w:szCs w:val="18"/>
              </w:rPr>
            </w:pPr>
            <w:r w:rsidRPr="00800D22">
              <w:rPr>
                <w:bCs/>
                <w:sz w:val="18"/>
                <w:szCs w:val="18"/>
              </w:rPr>
              <w:t>参与企业</w:t>
            </w:r>
          </w:p>
        </w:tc>
      </w:tr>
      <w:tr w:rsidR="00995E2A" w:rsidRPr="00800D22" w14:paraId="3A4843A1" w14:textId="77777777" w:rsidTr="000A32F1">
        <w:trPr>
          <w:trHeight w:hRule="exact" w:val="369"/>
        </w:trPr>
        <w:tc>
          <w:tcPr>
            <w:tcW w:w="323" w:type="pct"/>
            <w:vAlign w:val="center"/>
          </w:tcPr>
          <w:p w14:paraId="15FD5B89" w14:textId="77777777" w:rsidR="00995E2A" w:rsidRPr="00800D22" w:rsidRDefault="00995E2A" w:rsidP="000A32F1">
            <w:pPr>
              <w:rPr>
                <w:sz w:val="18"/>
                <w:szCs w:val="18"/>
              </w:rPr>
            </w:pPr>
            <w:r w:rsidRPr="00800D22">
              <w:rPr>
                <w:bCs/>
                <w:sz w:val="18"/>
                <w:szCs w:val="18"/>
                <w:lang w:eastAsia="ko-KR"/>
              </w:rPr>
              <w:t>10</w:t>
            </w:r>
            <w:proofErr w:type="spellStart"/>
            <w:r w:rsidRPr="00800D22">
              <w:rPr>
                <w:bCs/>
                <w:position w:val="5"/>
                <w:sz w:val="18"/>
                <w:szCs w:val="18"/>
                <w:lang w:eastAsia="ko-KR"/>
              </w:rPr>
              <w:t>th</w:t>
            </w:r>
            <w:proofErr w:type="spellEnd"/>
          </w:p>
        </w:tc>
        <w:tc>
          <w:tcPr>
            <w:tcW w:w="1401" w:type="pct"/>
            <w:vAlign w:val="center"/>
          </w:tcPr>
          <w:p w14:paraId="33AD5137" w14:textId="77777777" w:rsidR="00995E2A" w:rsidRPr="00800D22" w:rsidRDefault="00995E2A" w:rsidP="000A32F1">
            <w:pPr>
              <w:rPr>
                <w:sz w:val="18"/>
                <w:szCs w:val="18"/>
              </w:rPr>
            </w:pPr>
            <w:proofErr w:type="spellStart"/>
            <w:r w:rsidRPr="00800D22">
              <w:rPr>
                <w:bCs/>
                <w:sz w:val="18"/>
                <w:szCs w:val="18"/>
                <w:lang w:eastAsia="ko-KR"/>
              </w:rPr>
              <w:t>Piraruku</w:t>
            </w:r>
            <w:proofErr w:type="spellEnd"/>
            <w:r w:rsidRPr="00800D22">
              <w:rPr>
                <w:bCs/>
                <w:sz w:val="18"/>
                <w:szCs w:val="18"/>
                <w:lang w:eastAsia="ko-KR"/>
              </w:rPr>
              <w:t xml:space="preserve"> Fund</w:t>
            </w:r>
          </w:p>
        </w:tc>
        <w:tc>
          <w:tcPr>
            <w:tcW w:w="782" w:type="pct"/>
            <w:vAlign w:val="center"/>
          </w:tcPr>
          <w:p w14:paraId="1B117889" w14:textId="77777777" w:rsidR="00995E2A" w:rsidRPr="00800D22" w:rsidRDefault="00995E2A" w:rsidP="000A32F1">
            <w:pPr>
              <w:rPr>
                <w:sz w:val="18"/>
                <w:szCs w:val="18"/>
              </w:rPr>
            </w:pPr>
            <w:r w:rsidRPr="00800D22">
              <w:rPr>
                <w:bCs/>
                <w:sz w:val="18"/>
                <w:szCs w:val="18"/>
                <w:lang w:eastAsia="ko-KR"/>
              </w:rPr>
              <w:t>72.89%</w:t>
            </w:r>
          </w:p>
        </w:tc>
        <w:tc>
          <w:tcPr>
            <w:tcW w:w="766" w:type="pct"/>
            <w:vAlign w:val="center"/>
          </w:tcPr>
          <w:p w14:paraId="0849D32D" w14:textId="77777777" w:rsidR="00995E2A" w:rsidRPr="00800D22" w:rsidRDefault="00995E2A" w:rsidP="000A32F1">
            <w:pPr>
              <w:rPr>
                <w:sz w:val="18"/>
                <w:szCs w:val="18"/>
              </w:rPr>
            </w:pPr>
            <w:r w:rsidRPr="00800D22">
              <w:rPr>
                <w:bCs/>
                <w:sz w:val="18"/>
                <w:szCs w:val="18"/>
                <w:lang w:eastAsia="ko-KR"/>
              </w:rPr>
              <w:t>17.11%</w:t>
            </w:r>
          </w:p>
        </w:tc>
        <w:tc>
          <w:tcPr>
            <w:tcW w:w="584" w:type="pct"/>
            <w:vAlign w:val="center"/>
          </w:tcPr>
          <w:p w14:paraId="133709B1" w14:textId="77777777" w:rsidR="00995E2A" w:rsidRPr="00800D22" w:rsidRDefault="00995E2A" w:rsidP="000A32F1">
            <w:pPr>
              <w:rPr>
                <w:sz w:val="18"/>
                <w:szCs w:val="18"/>
              </w:rPr>
            </w:pPr>
            <w:r w:rsidRPr="00800D22">
              <w:rPr>
                <w:bCs/>
                <w:sz w:val="18"/>
                <w:szCs w:val="18"/>
                <w:lang w:eastAsia="ko-KR"/>
              </w:rPr>
              <w:t>10%</w:t>
            </w:r>
          </w:p>
        </w:tc>
        <w:tc>
          <w:tcPr>
            <w:tcW w:w="1145" w:type="pct"/>
            <w:vAlign w:val="center"/>
          </w:tcPr>
          <w:p w14:paraId="417B8273" w14:textId="77777777" w:rsidR="00995E2A" w:rsidRPr="00800D22" w:rsidRDefault="00995E2A" w:rsidP="000A32F1">
            <w:pPr>
              <w:rPr>
                <w:sz w:val="18"/>
                <w:szCs w:val="18"/>
              </w:rPr>
            </w:pPr>
            <w:r w:rsidRPr="00800D22">
              <w:rPr>
                <w:bCs/>
                <w:sz w:val="18"/>
                <w:szCs w:val="18"/>
              </w:rPr>
              <w:t>参与企业</w:t>
            </w:r>
          </w:p>
        </w:tc>
      </w:tr>
      <w:tr w:rsidR="00995E2A" w:rsidRPr="00800D22" w14:paraId="055019A3" w14:textId="77777777" w:rsidTr="000A32F1">
        <w:trPr>
          <w:trHeight w:hRule="exact" w:val="369"/>
        </w:trPr>
        <w:tc>
          <w:tcPr>
            <w:tcW w:w="323" w:type="pct"/>
            <w:vAlign w:val="center"/>
          </w:tcPr>
          <w:p w14:paraId="015746C4" w14:textId="77777777" w:rsidR="00995E2A" w:rsidRPr="00800D22" w:rsidRDefault="00995E2A" w:rsidP="000A32F1">
            <w:pPr>
              <w:rPr>
                <w:sz w:val="18"/>
                <w:szCs w:val="18"/>
              </w:rPr>
            </w:pPr>
            <w:r w:rsidRPr="00800D22">
              <w:rPr>
                <w:bCs/>
                <w:sz w:val="18"/>
                <w:szCs w:val="18"/>
                <w:lang w:eastAsia="ko-KR"/>
              </w:rPr>
              <w:t>11</w:t>
            </w:r>
            <w:proofErr w:type="spellStart"/>
            <w:r w:rsidRPr="00800D22">
              <w:rPr>
                <w:bCs/>
                <w:position w:val="5"/>
                <w:sz w:val="18"/>
                <w:szCs w:val="18"/>
                <w:lang w:eastAsia="ko-KR"/>
              </w:rPr>
              <w:t>th</w:t>
            </w:r>
            <w:proofErr w:type="spellEnd"/>
          </w:p>
        </w:tc>
        <w:tc>
          <w:tcPr>
            <w:tcW w:w="1401" w:type="pct"/>
            <w:vAlign w:val="center"/>
          </w:tcPr>
          <w:p w14:paraId="0C42876D" w14:textId="77777777" w:rsidR="00995E2A" w:rsidRPr="00800D22" w:rsidRDefault="00995E2A" w:rsidP="000A32F1">
            <w:pPr>
              <w:rPr>
                <w:sz w:val="18"/>
                <w:szCs w:val="18"/>
              </w:rPr>
            </w:pPr>
            <w:r w:rsidRPr="00800D22">
              <w:rPr>
                <w:bCs/>
                <w:sz w:val="18"/>
                <w:szCs w:val="18"/>
                <w:lang w:eastAsia="ko-KR"/>
              </w:rPr>
              <w:t>8</w:t>
            </w:r>
            <w:r w:rsidRPr="00800D22">
              <w:rPr>
                <w:bCs/>
                <w:sz w:val="18"/>
                <w:szCs w:val="18"/>
                <w:vertAlign w:val="superscript"/>
                <w:lang w:eastAsia="ko-KR"/>
              </w:rPr>
              <w:t>th</w:t>
            </w:r>
            <w:r w:rsidRPr="00800D22">
              <w:rPr>
                <w:bCs/>
                <w:sz w:val="18"/>
                <w:szCs w:val="18"/>
              </w:rPr>
              <w:t xml:space="preserve"> </w:t>
            </w:r>
            <w:r w:rsidRPr="00800D22">
              <w:rPr>
                <w:bCs/>
                <w:sz w:val="18"/>
                <w:szCs w:val="18"/>
                <w:lang w:eastAsia="ko-KR"/>
              </w:rPr>
              <w:t>SME Securitization</w:t>
            </w:r>
          </w:p>
        </w:tc>
        <w:tc>
          <w:tcPr>
            <w:tcW w:w="782" w:type="pct"/>
            <w:vAlign w:val="center"/>
          </w:tcPr>
          <w:p w14:paraId="6F52193E" w14:textId="77777777" w:rsidR="00995E2A" w:rsidRPr="00800D22" w:rsidRDefault="00995E2A" w:rsidP="000A32F1">
            <w:pPr>
              <w:rPr>
                <w:sz w:val="18"/>
                <w:szCs w:val="18"/>
              </w:rPr>
            </w:pPr>
            <w:r w:rsidRPr="00800D22">
              <w:rPr>
                <w:bCs/>
                <w:sz w:val="18"/>
                <w:szCs w:val="18"/>
                <w:lang w:eastAsia="ko-KR"/>
              </w:rPr>
              <w:t>70.01%</w:t>
            </w:r>
          </w:p>
        </w:tc>
        <w:tc>
          <w:tcPr>
            <w:tcW w:w="766" w:type="pct"/>
            <w:vAlign w:val="center"/>
          </w:tcPr>
          <w:p w14:paraId="3B9F5127" w14:textId="77777777" w:rsidR="00995E2A" w:rsidRPr="00800D22" w:rsidRDefault="00995E2A" w:rsidP="000A32F1">
            <w:pPr>
              <w:rPr>
                <w:sz w:val="18"/>
                <w:szCs w:val="18"/>
              </w:rPr>
            </w:pPr>
            <w:r w:rsidRPr="00800D22">
              <w:rPr>
                <w:bCs/>
                <w:sz w:val="18"/>
                <w:szCs w:val="18"/>
                <w:lang w:eastAsia="ko-KR"/>
              </w:rPr>
              <w:t>18%</w:t>
            </w:r>
          </w:p>
        </w:tc>
        <w:tc>
          <w:tcPr>
            <w:tcW w:w="584" w:type="pct"/>
            <w:vAlign w:val="center"/>
          </w:tcPr>
          <w:p w14:paraId="69F91D82" w14:textId="77777777" w:rsidR="00995E2A" w:rsidRPr="00800D22" w:rsidRDefault="00995E2A" w:rsidP="000A32F1">
            <w:pPr>
              <w:rPr>
                <w:sz w:val="18"/>
                <w:szCs w:val="18"/>
              </w:rPr>
            </w:pPr>
            <w:r w:rsidRPr="00800D22">
              <w:rPr>
                <w:bCs/>
                <w:sz w:val="18"/>
                <w:szCs w:val="18"/>
                <w:lang w:eastAsia="ko-KR"/>
              </w:rPr>
              <w:t>9.9%/2%</w:t>
            </w:r>
          </w:p>
        </w:tc>
        <w:tc>
          <w:tcPr>
            <w:tcW w:w="1145" w:type="pct"/>
            <w:vAlign w:val="center"/>
          </w:tcPr>
          <w:p w14:paraId="14EDE3FD" w14:textId="77777777" w:rsidR="00995E2A" w:rsidRPr="00800D22" w:rsidRDefault="00995E2A" w:rsidP="000A32F1">
            <w:pPr>
              <w:rPr>
                <w:sz w:val="18"/>
                <w:szCs w:val="18"/>
              </w:rPr>
            </w:pPr>
            <w:r w:rsidRPr="00800D22">
              <w:rPr>
                <w:bCs/>
                <w:sz w:val="18"/>
                <w:szCs w:val="18"/>
              </w:rPr>
              <w:t>中介机构</w:t>
            </w:r>
            <w:r w:rsidRPr="00800D22">
              <w:rPr>
                <w:bCs/>
                <w:sz w:val="18"/>
                <w:szCs w:val="18"/>
                <w:lang w:eastAsia="ko-KR"/>
              </w:rPr>
              <w:t>/</w:t>
            </w:r>
            <w:r w:rsidRPr="00800D22">
              <w:rPr>
                <w:bCs/>
                <w:sz w:val="18"/>
                <w:szCs w:val="18"/>
              </w:rPr>
              <w:t>参与企业</w:t>
            </w:r>
          </w:p>
        </w:tc>
      </w:tr>
    </w:tbl>
    <w:p w14:paraId="6CF42295" w14:textId="77777777" w:rsidR="00995E2A" w:rsidRPr="00800D22" w:rsidRDefault="00995E2A" w:rsidP="00995E2A">
      <w:pPr>
        <w:pStyle w:val="Default"/>
        <w:spacing w:afterLines="100" w:after="312"/>
        <w:rPr>
          <w:rFonts w:ascii="Times New Roman" w:hAnsi="Times New Roman" w:cs="Times New Roman"/>
          <w:color w:val="auto"/>
          <w:sz w:val="18"/>
          <w:szCs w:val="18"/>
        </w:rPr>
      </w:pPr>
      <w:r w:rsidRPr="00800D22">
        <w:rPr>
          <w:rFonts w:ascii="Times New Roman" w:hAnsi="Times New Roman" w:cs="Times New Roman"/>
          <w:color w:val="auto"/>
          <w:sz w:val="18"/>
          <w:szCs w:val="18"/>
        </w:rPr>
        <w:t>数据来源：</w:t>
      </w:r>
      <w:proofErr w:type="spellStart"/>
      <w:r w:rsidRPr="00800D22">
        <w:rPr>
          <w:rFonts w:ascii="Times New Roman" w:eastAsia="新宋体" w:hAnsi="Times New Roman" w:cs="Times New Roman"/>
          <w:color w:val="auto"/>
          <w:sz w:val="18"/>
          <w:szCs w:val="18"/>
        </w:rPr>
        <w:t>Gyutaeg</w:t>
      </w:r>
      <w:proofErr w:type="spellEnd"/>
      <w:r w:rsidRPr="00800D22">
        <w:rPr>
          <w:rFonts w:ascii="Times New Roman" w:eastAsia="新宋体" w:hAnsi="Times New Roman" w:cs="Times New Roman"/>
          <w:color w:val="auto"/>
          <w:sz w:val="18"/>
          <w:szCs w:val="18"/>
        </w:rPr>
        <w:t xml:space="preserve"> Oh. Risk Management in ABS Markets Case Study: Korea[J],Korea Fixed Income Research Institute,2005:1-48.</w:t>
      </w:r>
    </w:p>
    <w:p w14:paraId="6CDF99F3" w14:textId="77777777" w:rsidR="00995E2A" w:rsidRPr="00800D22" w:rsidRDefault="00995E2A" w:rsidP="00995E2A">
      <w:pPr>
        <w:autoSpaceDE w:val="0"/>
        <w:autoSpaceDN w:val="0"/>
        <w:adjustRightInd w:val="0"/>
        <w:spacing w:beforeLines="50" w:before="156" w:line="420" w:lineRule="exact"/>
        <w:ind w:firstLineChars="200" w:firstLine="480"/>
        <w:jc w:val="left"/>
        <w:rPr>
          <w:kern w:val="0"/>
          <w:sz w:val="24"/>
        </w:rPr>
      </w:pPr>
      <w:r w:rsidRPr="00800D22">
        <w:rPr>
          <w:kern w:val="0"/>
          <w:sz w:val="24"/>
        </w:rPr>
        <w:t>由于中介机构和参与企业比一般投资者更了解整个</w:t>
      </w:r>
      <w:r w:rsidRPr="00800D22">
        <w:rPr>
          <w:kern w:val="0"/>
          <w:sz w:val="24"/>
        </w:rPr>
        <w:t>P-CBO</w:t>
      </w:r>
      <w:r w:rsidRPr="00800D22">
        <w:rPr>
          <w:kern w:val="0"/>
          <w:sz w:val="24"/>
        </w:rPr>
        <w:t>的风险状况，因此，由其持有中间层债券能明显增强投资者的信心，而且，中介机构和参与企业持有一定的债券也</w:t>
      </w:r>
      <w:r w:rsidRPr="00800D22">
        <w:rPr>
          <w:rFonts w:hint="eastAsia"/>
          <w:kern w:val="0"/>
          <w:sz w:val="24"/>
        </w:rPr>
        <w:t>在</w:t>
      </w:r>
      <w:r w:rsidRPr="00800D22">
        <w:rPr>
          <w:kern w:val="0"/>
          <w:sz w:val="24"/>
        </w:rPr>
        <w:t>一定程度</w:t>
      </w:r>
      <w:r w:rsidRPr="00800D22">
        <w:rPr>
          <w:rFonts w:hint="eastAsia"/>
          <w:kern w:val="0"/>
          <w:sz w:val="24"/>
        </w:rPr>
        <w:t>上</w:t>
      </w:r>
      <w:r w:rsidRPr="00800D22">
        <w:rPr>
          <w:kern w:val="0"/>
          <w:sz w:val="24"/>
        </w:rPr>
        <w:t>减</w:t>
      </w:r>
      <w:r w:rsidRPr="00800D22">
        <w:rPr>
          <w:rFonts w:hint="eastAsia"/>
          <w:kern w:val="0"/>
          <w:sz w:val="24"/>
        </w:rPr>
        <w:t>少</w:t>
      </w:r>
      <w:r w:rsidRPr="00800D22">
        <w:rPr>
          <w:kern w:val="0"/>
          <w:sz w:val="24"/>
        </w:rPr>
        <w:t>了其道德风险的发生。由于上述优势，设立中间层债券的风险共担</w:t>
      </w:r>
      <w:r w:rsidRPr="00800D22">
        <w:rPr>
          <w:rFonts w:hint="eastAsia"/>
          <w:kern w:val="0"/>
          <w:sz w:val="24"/>
        </w:rPr>
        <w:t>机制</w:t>
      </w:r>
      <w:r w:rsidRPr="00800D22">
        <w:rPr>
          <w:kern w:val="0"/>
          <w:sz w:val="24"/>
        </w:rPr>
        <w:t>在随后发行的</w:t>
      </w:r>
      <w:r w:rsidRPr="00800D22">
        <w:rPr>
          <w:kern w:val="0"/>
          <w:sz w:val="24"/>
        </w:rPr>
        <w:t>P-CBO</w:t>
      </w:r>
      <w:r w:rsidRPr="00800D22">
        <w:rPr>
          <w:kern w:val="0"/>
          <w:sz w:val="24"/>
        </w:rPr>
        <w:t>中得到了大力采用。</w:t>
      </w:r>
    </w:p>
    <w:p w14:paraId="5921E7CD" w14:textId="77777777" w:rsidR="00995E2A" w:rsidRPr="00800D22" w:rsidRDefault="00995E2A" w:rsidP="00995E2A">
      <w:pPr>
        <w:autoSpaceDE w:val="0"/>
        <w:autoSpaceDN w:val="0"/>
        <w:adjustRightInd w:val="0"/>
        <w:spacing w:line="420" w:lineRule="exact"/>
        <w:ind w:firstLineChars="196" w:firstLine="472"/>
        <w:rPr>
          <w:b/>
          <w:sz w:val="24"/>
        </w:rPr>
      </w:pPr>
      <w:r w:rsidRPr="00800D22">
        <w:rPr>
          <w:b/>
          <w:sz w:val="24"/>
        </w:rPr>
        <w:t>创新</w:t>
      </w:r>
      <w:r w:rsidRPr="00800D22">
        <w:rPr>
          <w:b/>
          <w:sz w:val="24"/>
        </w:rPr>
        <w:t>3</w:t>
      </w:r>
      <w:r w:rsidRPr="00800D22">
        <w:rPr>
          <w:b/>
          <w:sz w:val="24"/>
        </w:rPr>
        <w:t>：标的资产类型多样化</w:t>
      </w:r>
    </w:p>
    <w:p w14:paraId="04C68C4D" w14:textId="04FA0C64" w:rsidR="00995E2A" w:rsidRPr="00800D22" w:rsidRDefault="00995E2A" w:rsidP="00995E2A">
      <w:pPr>
        <w:autoSpaceDE w:val="0"/>
        <w:autoSpaceDN w:val="0"/>
        <w:adjustRightInd w:val="0"/>
        <w:spacing w:line="420" w:lineRule="exact"/>
        <w:ind w:firstLineChars="200" w:firstLine="480"/>
        <w:jc w:val="left"/>
        <w:rPr>
          <w:rFonts w:hint="eastAsia"/>
          <w:kern w:val="0"/>
          <w:sz w:val="24"/>
        </w:rPr>
      </w:pPr>
      <w:r w:rsidRPr="00800D22">
        <w:rPr>
          <w:kern w:val="0"/>
          <w:sz w:val="24"/>
        </w:rPr>
        <w:t>在标准的</w:t>
      </w:r>
      <w:r w:rsidRPr="00800D22">
        <w:rPr>
          <w:kern w:val="0"/>
          <w:sz w:val="24"/>
        </w:rPr>
        <w:t>P-CBO</w:t>
      </w:r>
      <w:r w:rsidRPr="00800D22">
        <w:rPr>
          <w:kern w:val="0"/>
          <w:sz w:val="24"/>
        </w:rPr>
        <w:t>中，标的资产一般为中小企业发行的普通债券（一级市场），但随着</w:t>
      </w:r>
      <w:r w:rsidRPr="00800D22">
        <w:rPr>
          <w:kern w:val="0"/>
          <w:sz w:val="24"/>
        </w:rPr>
        <w:t>P-CBO</w:t>
      </w:r>
      <w:r w:rsidRPr="00800D22">
        <w:rPr>
          <w:kern w:val="0"/>
          <w:sz w:val="24"/>
        </w:rPr>
        <w:t>的不断成熟，标的资产的类型也不断多样化，标的资产不仅为以未来应收</w:t>
      </w:r>
      <w:r w:rsidRPr="00800D22">
        <w:rPr>
          <w:rFonts w:hint="eastAsia"/>
          <w:kern w:val="0"/>
          <w:sz w:val="24"/>
        </w:rPr>
        <w:t>账款</w:t>
      </w:r>
      <w:r w:rsidRPr="00800D22">
        <w:rPr>
          <w:kern w:val="0"/>
          <w:sz w:val="24"/>
        </w:rPr>
        <w:t>作</w:t>
      </w:r>
      <w:r w:rsidRPr="00800D22">
        <w:rPr>
          <w:rFonts w:hint="eastAsia"/>
          <w:kern w:val="0"/>
          <w:sz w:val="24"/>
        </w:rPr>
        <w:t>质押</w:t>
      </w:r>
      <w:r w:rsidRPr="00800D22">
        <w:rPr>
          <w:kern w:val="0"/>
          <w:sz w:val="24"/>
        </w:rPr>
        <w:t>向企业发放的贷款，而且还可为参与企业发行的分离交易</w:t>
      </w:r>
      <w:r w:rsidRPr="00800D22">
        <w:rPr>
          <w:rFonts w:hint="eastAsia"/>
          <w:kern w:val="0"/>
          <w:sz w:val="24"/>
        </w:rPr>
        <w:t>的</w:t>
      </w:r>
      <w:r w:rsidRPr="00800D22">
        <w:rPr>
          <w:kern w:val="0"/>
          <w:sz w:val="24"/>
        </w:rPr>
        <w:t>可转换</w:t>
      </w:r>
      <w:r w:rsidRPr="00800D22">
        <w:rPr>
          <w:rFonts w:hint="eastAsia"/>
          <w:kern w:val="0"/>
          <w:sz w:val="24"/>
        </w:rPr>
        <w:t>公司</w:t>
      </w:r>
      <w:r w:rsidRPr="00800D22">
        <w:rPr>
          <w:kern w:val="0"/>
          <w:sz w:val="24"/>
        </w:rPr>
        <w:t>债</w:t>
      </w:r>
      <w:proofErr w:type="gramStart"/>
      <w:r w:rsidRPr="00800D22">
        <w:rPr>
          <w:kern w:val="0"/>
          <w:sz w:val="24"/>
        </w:rPr>
        <w:t>券</w:t>
      </w:r>
      <w:proofErr w:type="gramEnd"/>
      <w:r w:rsidRPr="00800D22">
        <w:rPr>
          <w:rFonts w:hint="eastAsia"/>
          <w:kern w:val="0"/>
          <w:sz w:val="24"/>
        </w:rPr>
        <w:t>，</w:t>
      </w:r>
      <w:r w:rsidRPr="00800D22">
        <w:rPr>
          <w:kern w:val="0"/>
          <w:sz w:val="24"/>
        </w:rPr>
        <w:t>如表</w:t>
      </w:r>
      <w:r>
        <w:rPr>
          <w:rFonts w:hint="eastAsia"/>
          <w:kern w:val="0"/>
          <w:sz w:val="24"/>
        </w:rPr>
        <w:t>7</w:t>
      </w:r>
      <w:r w:rsidRPr="00800D22">
        <w:rPr>
          <w:kern w:val="0"/>
          <w:sz w:val="24"/>
        </w:rPr>
        <w:t>所示：</w:t>
      </w:r>
      <w:r w:rsidRPr="00800D22">
        <w:rPr>
          <w:kern w:val="0"/>
          <w:sz w:val="24"/>
        </w:rPr>
        <w:t xml:space="preserve"> </w:t>
      </w:r>
    </w:p>
    <w:p w14:paraId="0F98C3D3" w14:textId="59AB5885" w:rsidR="00995E2A" w:rsidRPr="00800D22" w:rsidRDefault="00995E2A" w:rsidP="00995E2A">
      <w:pPr>
        <w:pStyle w:val="aff1"/>
        <w:spacing w:beforeLines="100" w:before="312"/>
        <w:jc w:val="center"/>
        <w:rPr>
          <w:rFonts w:ascii="Times New Roman" w:eastAsia="新宋体" w:hAnsi="新宋体" w:cs="Times New Roman" w:hint="eastAsia"/>
          <w:sz w:val="21"/>
          <w:szCs w:val="21"/>
        </w:rPr>
      </w:pPr>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7</w:t>
      </w:r>
      <w:r w:rsidRPr="00800D22">
        <w:rPr>
          <w:rFonts w:ascii="Times New Roman" w:eastAsia="新宋体" w:hAnsi="新宋体" w:cs="Times New Roman" w:hint="eastAsia"/>
          <w:sz w:val="21"/>
          <w:szCs w:val="21"/>
        </w:rPr>
        <w:t xml:space="preserve">  P-CBO</w:t>
      </w:r>
      <w:r w:rsidRPr="00800D22">
        <w:rPr>
          <w:rFonts w:ascii="Times New Roman" w:eastAsia="新宋体" w:hAnsi="新宋体" w:cs="Times New Roman" w:hint="eastAsia"/>
          <w:sz w:val="21"/>
          <w:szCs w:val="21"/>
        </w:rPr>
        <w:t>标的资产组合情况</w:t>
      </w:r>
    </w:p>
    <w:p w14:paraId="729D29E0" w14:textId="2168812D" w:rsidR="00995E2A" w:rsidRPr="00800D22" w:rsidRDefault="00995E2A" w:rsidP="00995E2A">
      <w:pPr>
        <w:autoSpaceDE w:val="0"/>
        <w:autoSpaceDN w:val="0"/>
        <w:adjustRightInd w:val="0"/>
        <w:jc w:val="center"/>
        <w:rPr>
          <w:rFonts w:hint="eastAsia"/>
          <w:szCs w:val="21"/>
        </w:rPr>
      </w:pPr>
      <w:r w:rsidRPr="00800D22">
        <w:rPr>
          <w:rFonts w:hint="eastAsia"/>
          <w:szCs w:val="21"/>
        </w:rPr>
        <w:t xml:space="preserve">Table </w:t>
      </w:r>
      <w:r>
        <w:rPr>
          <w:rFonts w:hint="eastAsia"/>
          <w:szCs w:val="21"/>
        </w:rPr>
        <w:t>7</w:t>
      </w:r>
      <w:r w:rsidRPr="00800D22">
        <w:rPr>
          <w:szCs w:val="21"/>
        </w:rPr>
        <w:t xml:space="preserve"> </w:t>
      </w:r>
      <w:r w:rsidRPr="00800D22">
        <w:rPr>
          <w:rFonts w:hint="eastAsia"/>
          <w:szCs w:val="21"/>
        </w:rPr>
        <w:t xml:space="preserve"> T</w:t>
      </w:r>
      <w:r w:rsidRPr="00800D22">
        <w:rPr>
          <w:szCs w:val="21"/>
        </w:rPr>
        <w:t>arget</w:t>
      </w:r>
      <w:r w:rsidRPr="00800D22">
        <w:rPr>
          <w:rFonts w:hint="eastAsia"/>
          <w:szCs w:val="21"/>
        </w:rPr>
        <w:t xml:space="preserve"> </w:t>
      </w:r>
      <w:r w:rsidRPr="00800D22">
        <w:rPr>
          <w:szCs w:val="21"/>
        </w:rPr>
        <w:t>asset portfolio</w:t>
      </w:r>
      <w:r w:rsidRPr="00800D22">
        <w:rPr>
          <w:rFonts w:hint="eastAsia"/>
          <w:szCs w:val="21"/>
        </w:rPr>
        <w:t>s of P-CBO</w:t>
      </w:r>
    </w:p>
    <w:tbl>
      <w:tblPr>
        <w:tblW w:w="5000" w:type="pct"/>
        <w:tblBorders>
          <w:top w:val="single" w:sz="4" w:space="0" w:color="auto"/>
          <w:bottom w:val="single" w:sz="4" w:space="0" w:color="auto"/>
        </w:tblBorders>
        <w:tblLook w:val="01E0" w:firstRow="1" w:lastRow="1" w:firstColumn="1" w:lastColumn="1" w:noHBand="0" w:noVBand="0"/>
      </w:tblPr>
      <w:tblGrid>
        <w:gridCol w:w="784"/>
        <w:gridCol w:w="2923"/>
        <w:gridCol w:w="2642"/>
        <w:gridCol w:w="2173"/>
      </w:tblGrid>
      <w:tr w:rsidR="00995E2A" w:rsidRPr="00800D22" w14:paraId="0C81A171" w14:textId="77777777" w:rsidTr="000A32F1">
        <w:tc>
          <w:tcPr>
            <w:tcW w:w="460" w:type="pct"/>
            <w:tcBorders>
              <w:top w:val="single" w:sz="4" w:space="0" w:color="auto"/>
              <w:bottom w:val="single" w:sz="4" w:space="0" w:color="auto"/>
            </w:tcBorders>
            <w:vAlign w:val="center"/>
          </w:tcPr>
          <w:p w14:paraId="125C675F" w14:textId="77777777" w:rsidR="00995E2A" w:rsidRPr="00800D22" w:rsidRDefault="00995E2A" w:rsidP="000A32F1">
            <w:pPr>
              <w:pStyle w:val="ae"/>
              <w:jc w:val="both"/>
              <w:rPr>
                <w:rFonts w:ascii="Times New Roman" w:hAnsi="Times New Roman" w:cs="Times New Roman" w:hint="eastAsia"/>
                <w:bCs/>
              </w:rPr>
            </w:pPr>
            <w:proofErr w:type="gramStart"/>
            <w:r w:rsidRPr="00800D22">
              <w:rPr>
                <w:rFonts w:ascii="Times New Roman" w:hAnsi="Times New Roman" w:cs="Times New Roman" w:hint="eastAsia"/>
                <w:bCs/>
              </w:rPr>
              <w:t>期别</w:t>
            </w:r>
            <w:proofErr w:type="gramEnd"/>
          </w:p>
        </w:tc>
        <w:tc>
          <w:tcPr>
            <w:tcW w:w="1715" w:type="pct"/>
            <w:tcBorders>
              <w:top w:val="single" w:sz="4" w:space="0" w:color="auto"/>
              <w:bottom w:val="single" w:sz="4" w:space="0" w:color="auto"/>
            </w:tcBorders>
            <w:vAlign w:val="center"/>
          </w:tcPr>
          <w:p w14:paraId="7DF657B0" w14:textId="77777777" w:rsidR="00995E2A" w:rsidRPr="00800D22" w:rsidRDefault="00995E2A" w:rsidP="000A32F1">
            <w:pPr>
              <w:rPr>
                <w:bCs/>
                <w:sz w:val="24"/>
              </w:rPr>
            </w:pPr>
            <w:r w:rsidRPr="00800D22">
              <w:rPr>
                <w:bCs/>
              </w:rPr>
              <w:t>SPC</w:t>
            </w:r>
            <w:r w:rsidRPr="00800D22">
              <w:rPr>
                <w:bCs/>
              </w:rPr>
              <w:t>名称</w:t>
            </w:r>
          </w:p>
        </w:tc>
        <w:tc>
          <w:tcPr>
            <w:tcW w:w="1550" w:type="pct"/>
            <w:tcBorders>
              <w:top w:val="single" w:sz="4" w:space="0" w:color="auto"/>
              <w:bottom w:val="single" w:sz="4" w:space="0" w:color="auto"/>
            </w:tcBorders>
            <w:vAlign w:val="center"/>
          </w:tcPr>
          <w:p w14:paraId="6E8EF345" w14:textId="77777777" w:rsidR="00995E2A" w:rsidRPr="00800D22" w:rsidRDefault="00995E2A" w:rsidP="000A32F1">
            <w:pPr>
              <w:rPr>
                <w:bCs/>
                <w:sz w:val="24"/>
              </w:rPr>
            </w:pPr>
            <w:r w:rsidRPr="00800D22">
              <w:rPr>
                <w:bCs/>
              </w:rPr>
              <w:t>标的资产组合</w:t>
            </w:r>
          </w:p>
        </w:tc>
        <w:tc>
          <w:tcPr>
            <w:tcW w:w="1275" w:type="pct"/>
            <w:tcBorders>
              <w:top w:val="single" w:sz="4" w:space="0" w:color="auto"/>
              <w:bottom w:val="single" w:sz="4" w:space="0" w:color="auto"/>
            </w:tcBorders>
            <w:vAlign w:val="center"/>
          </w:tcPr>
          <w:p w14:paraId="7D17937A" w14:textId="77777777" w:rsidR="00995E2A" w:rsidRPr="00800D22" w:rsidRDefault="00995E2A" w:rsidP="000A32F1">
            <w:pPr>
              <w:rPr>
                <w:bCs/>
                <w:sz w:val="24"/>
              </w:rPr>
            </w:pPr>
            <w:r w:rsidRPr="00800D22">
              <w:rPr>
                <w:bCs/>
              </w:rPr>
              <w:t>是否有应收</w:t>
            </w:r>
            <w:r w:rsidRPr="00800D22">
              <w:rPr>
                <w:rFonts w:hint="eastAsia"/>
                <w:bCs/>
              </w:rPr>
              <w:t>账款质</w:t>
            </w:r>
            <w:r w:rsidRPr="00800D22">
              <w:rPr>
                <w:bCs/>
              </w:rPr>
              <w:t>押</w:t>
            </w:r>
          </w:p>
        </w:tc>
      </w:tr>
      <w:tr w:rsidR="00995E2A" w:rsidRPr="00800D22" w14:paraId="5CF070E3" w14:textId="77777777" w:rsidTr="000A32F1">
        <w:tc>
          <w:tcPr>
            <w:tcW w:w="460" w:type="pct"/>
            <w:tcBorders>
              <w:top w:val="single" w:sz="4" w:space="0" w:color="auto"/>
            </w:tcBorders>
            <w:vAlign w:val="center"/>
          </w:tcPr>
          <w:p w14:paraId="641B11BD" w14:textId="77777777" w:rsidR="00995E2A" w:rsidRPr="00800D22" w:rsidRDefault="00995E2A" w:rsidP="000A32F1">
            <w:pPr>
              <w:rPr>
                <w:sz w:val="18"/>
                <w:szCs w:val="18"/>
              </w:rPr>
            </w:pPr>
            <w:r w:rsidRPr="00800D22">
              <w:rPr>
                <w:bCs/>
                <w:sz w:val="18"/>
                <w:szCs w:val="18"/>
                <w:lang w:eastAsia="ko-KR"/>
              </w:rPr>
              <w:t>1</w:t>
            </w:r>
            <w:proofErr w:type="spellStart"/>
            <w:r w:rsidRPr="00800D22">
              <w:rPr>
                <w:bCs/>
                <w:position w:val="5"/>
                <w:sz w:val="18"/>
                <w:szCs w:val="18"/>
                <w:lang w:eastAsia="ko-KR"/>
              </w:rPr>
              <w:t>st</w:t>
            </w:r>
            <w:proofErr w:type="spellEnd"/>
          </w:p>
        </w:tc>
        <w:tc>
          <w:tcPr>
            <w:tcW w:w="1715" w:type="pct"/>
            <w:tcBorders>
              <w:top w:val="single" w:sz="4" w:space="0" w:color="auto"/>
            </w:tcBorders>
            <w:vAlign w:val="center"/>
          </w:tcPr>
          <w:p w14:paraId="7D846782" w14:textId="77777777" w:rsidR="00995E2A" w:rsidRPr="00800D22" w:rsidRDefault="00995E2A" w:rsidP="000A32F1">
            <w:pPr>
              <w:rPr>
                <w:sz w:val="18"/>
                <w:szCs w:val="18"/>
              </w:rPr>
            </w:pPr>
            <w:r w:rsidRPr="00800D22">
              <w:rPr>
                <w:bCs/>
                <w:sz w:val="18"/>
                <w:szCs w:val="18"/>
                <w:lang w:eastAsia="ko-KR"/>
              </w:rPr>
              <w:t>1</w:t>
            </w:r>
            <w:proofErr w:type="spellStart"/>
            <w:r w:rsidRPr="00800D22">
              <w:rPr>
                <w:bCs/>
                <w:position w:val="5"/>
                <w:sz w:val="18"/>
                <w:szCs w:val="18"/>
                <w:vertAlign w:val="superscript"/>
                <w:lang w:eastAsia="ko-KR"/>
              </w:rPr>
              <w:t>st</w:t>
            </w:r>
            <w:proofErr w:type="spellEnd"/>
            <w:r w:rsidRPr="00800D22">
              <w:rPr>
                <w:bCs/>
                <w:sz w:val="18"/>
                <w:szCs w:val="18"/>
              </w:rPr>
              <w:t xml:space="preserve"> </w:t>
            </w:r>
            <w:r w:rsidRPr="00800D22">
              <w:rPr>
                <w:bCs/>
                <w:sz w:val="18"/>
                <w:szCs w:val="18"/>
                <w:lang w:eastAsia="ko-KR"/>
              </w:rPr>
              <w:t>SME Securitization</w:t>
            </w:r>
          </w:p>
        </w:tc>
        <w:tc>
          <w:tcPr>
            <w:tcW w:w="1550" w:type="pct"/>
            <w:tcBorders>
              <w:top w:val="single" w:sz="4" w:space="0" w:color="auto"/>
            </w:tcBorders>
            <w:vAlign w:val="center"/>
          </w:tcPr>
          <w:p w14:paraId="5B83DCFD" w14:textId="77777777" w:rsidR="00995E2A" w:rsidRPr="00800D22" w:rsidRDefault="00995E2A" w:rsidP="000A32F1">
            <w:pPr>
              <w:rPr>
                <w:sz w:val="18"/>
                <w:szCs w:val="18"/>
              </w:rPr>
            </w:pPr>
            <w:r w:rsidRPr="00800D22">
              <w:rPr>
                <w:bCs/>
                <w:sz w:val="18"/>
                <w:szCs w:val="18"/>
              </w:rPr>
              <w:t>普通债券</w:t>
            </w:r>
          </w:p>
        </w:tc>
        <w:tc>
          <w:tcPr>
            <w:tcW w:w="1275" w:type="pct"/>
            <w:tcBorders>
              <w:top w:val="single" w:sz="4" w:space="0" w:color="auto"/>
            </w:tcBorders>
            <w:vAlign w:val="center"/>
          </w:tcPr>
          <w:p w14:paraId="6CC1AC00" w14:textId="77777777" w:rsidR="00995E2A" w:rsidRPr="00800D22" w:rsidRDefault="00995E2A" w:rsidP="000A32F1">
            <w:pPr>
              <w:rPr>
                <w:sz w:val="18"/>
                <w:szCs w:val="18"/>
              </w:rPr>
            </w:pPr>
            <w:r w:rsidRPr="00800D22">
              <w:rPr>
                <w:bCs/>
                <w:sz w:val="18"/>
                <w:szCs w:val="18"/>
              </w:rPr>
              <w:t>否</w:t>
            </w:r>
          </w:p>
        </w:tc>
      </w:tr>
      <w:tr w:rsidR="00995E2A" w:rsidRPr="00800D22" w14:paraId="6E3E8A24" w14:textId="77777777" w:rsidTr="000A32F1">
        <w:tc>
          <w:tcPr>
            <w:tcW w:w="460" w:type="pct"/>
            <w:vAlign w:val="center"/>
          </w:tcPr>
          <w:p w14:paraId="0F279C18" w14:textId="77777777" w:rsidR="00995E2A" w:rsidRPr="00800D22" w:rsidRDefault="00995E2A" w:rsidP="000A32F1">
            <w:pPr>
              <w:rPr>
                <w:sz w:val="18"/>
                <w:szCs w:val="18"/>
              </w:rPr>
            </w:pPr>
            <w:r w:rsidRPr="00800D22">
              <w:rPr>
                <w:bCs/>
                <w:sz w:val="18"/>
                <w:szCs w:val="18"/>
                <w:lang w:eastAsia="ko-KR"/>
              </w:rPr>
              <w:t>2</w:t>
            </w:r>
            <w:proofErr w:type="spellStart"/>
            <w:r w:rsidRPr="00800D22">
              <w:rPr>
                <w:bCs/>
                <w:position w:val="5"/>
                <w:sz w:val="18"/>
                <w:szCs w:val="18"/>
                <w:lang w:eastAsia="ko-KR"/>
              </w:rPr>
              <w:t>nd</w:t>
            </w:r>
            <w:proofErr w:type="spellEnd"/>
          </w:p>
        </w:tc>
        <w:tc>
          <w:tcPr>
            <w:tcW w:w="1715" w:type="pct"/>
            <w:vAlign w:val="center"/>
          </w:tcPr>
          <w:p w14:paraId="7D9C0035" w14:textId="77777777" w:rsidR="00995E2A" w:rsidRPr="00800D22" w:rsidRDefault="00995E2A" w:rsidP="000A32F1">
            <w:pPr>
              <w:rPr>
                <w:sz w:val="18"/>
                <w:szCs w:val="18"/>
              </w:rPr>
            </w:pPr>
            <w:r w:rsidRPr="00800D22">
              <w:rPr>
                <w:bCs/>
                <w:sz w:val="18"/>
                <w:szCs w:val="18"/>
                <w:lang w:eastAsia="ko-KR"/>
              </w:rPr>
              <w:t>2</w:t>
            </w:r>
            <w:r w:rsidRPr="00800D22">
              <w:rPr>
                <w:bCs/>
                <w:sz w:val="18"/>
                <w:szCs w:val="18"/>
                <w:vertAlign w:val="superscript"/>
                <w:lang w:eastAsia="ko-KR"/>
              </w:rPr>
              <w:t>nd</w:t>
            </w:r>
            <w:r w:rsidRPr="00800D22">
              <w:rPr>
                <w:bCs/>
                <w:sz w:val="18"/>
                <w:szCs w:val="18"/>
              </w:rPr>
              <w:t xml:space="preserve"> </w:t>
            </w:r>
            <w:r w:rsidRPr="00800D22">
              <w:rPr>
                <w:bCs/>
                <w:sz w:val="18"/>
                <w:szCs w:val="18"/>
                <w:lang w:eastAsia="ko-KR"/>
              </w:rPr>
              <w:t>SME Securitization</w:t>
            </w:r>
          </w:p>
        </w:tc>
        <w:tc>
          <w:tcPr>
            <w:tcW w:w="1550" w:type="pct"/>
            <w:vAlign w:val="center"/>
          </w:tcPr>
          <w:p w14:paraId="64C0F9FF" w14:textId="77777777" w:rsidR="00995E2A" w:rsidRPr="00800D22" w:rsidRDefault="00995E2A" w:rsidP="000A32F1">
            <w:pPr>
              <w:rPr>
                <w:sz w:val="18"/>
                <w:szCs w:val="18"/>
              </w:rPr>
            </w:pPr>
            <w:r w:rsidRPr="00800D22">
              <w:rPr>
                <w:bCs/>
                <w:sz w:val="18"/>
                <w:szCs w:val="18"/>
              </w:rPr>
              <w:t>普通债券</w:t>
            </w:r>
          </w:p>
        </w:tc>
        <w:tc>
          <w:tcPr>
            <w:tcW w:w="1275" w:type="pct"/>
            <w:vAlign w:val="center"/>
          </w:tcPr>
          <w:p w14:paraId="5A439882" w14:textId="77777777" w:rsidR="00995E2A" w:rsidRPr="00800D22" w:rsidRDefault="00995E2A" w:rsidP="000A32F1">
            <w:pPr>
              <w:rPr>
                <w:sz w:val="18"/>
                <w:szCs w:val="18"/>
              </w:rPr>
            </w:pPr>
            <w:r w:rsidRPr="00800D22">
              <w:rPr>
                <w:bCs/>
                <w:sz w:val="18"/>
                <w:szCs w:val="18"/>
              </w:rPr>
              <w:t>否</w:t>
            </w:r>
          </w:p>
        </w:tc>
      </w:tr>
      <w:tr w:rsidR="00995E2A" w:rsidRPr="00800D22" w14:paraId="796992A2" w14:textId="77777777" w:rsidTr="000A32F1">
        <w:tc>
          <w:tcPr>
            <w:tcW w:w="460" w:type="pct"/>
            <w:vAlign w:val="center"/>
          </w:tcPr>
          <w:p w14:paraId="70467BE4" w14:textId="77777777" w:rsidR="00995E2A" w:rsidRPr="00800D22" w:rsidRDefault="00995E2A" w:rsidP="000A32F1">
            <w:pPr>
              <w:rPr>
                <w:sz w:val="18"/>
                <w:szCs w:val="18"/>
              </w:rPr>
            </w:pPr>
            <w:r w:rsidRPr="00800D22">
              <w:rPr>
                <w:bCs/>
                <w:sz w:val="18"/>
                <w:szCs w:val="18"/>
                <w:lang w:eastAsia="ko-KR"/>
              </w:rPr>
              <w:t>3</w:t>
            </w:r>
            <w:proofErr w:type="spellStart"/>
            <w:r w:rsidRPr="00800D22">
              <w:rPr>
                <w:bCs/>
                <w:position w:val="5"/>
                <w:sz w:val="18"/>
                <w:szCs w:val="18"/>
                <w:lang w:eastAsia="ko-KR"/>
              </w:rPr>
              <w:t>rd</w:t>
            </w:r>
            <w:proofErr w:type="spellEnd"/>
          </w:p>
        </w:tc>
        <w:tc>
          <w:tcPr>
            <w:tcW w:w="1715" w:type="pct"/>
            <w:vAlign w:val="center"/>
          </w:tcPr>
          <w:p w14:paraId="5B0BBA8F" w14:textId="77777777" w:rsidR="00995E2A" w:rsidRPr="00800D22" w:rsidRDefault="00995E2A" w:rsidP="000A32F1">
            <w:pPr>
              <w:rPr>
                <w:sz w:val="18"/>
                <w:szCs w:val="18"/>
              </w:rPr>
            </w:pPr>
            <w:proofErr w:type="spellStart"/>
            <w:r w:rsidRPr="00800D22">
              <w:rPr>
                <w:bCs/>
                <w:sz w:val="18"/>
                <w:szCs w:val="18"/>
                <w:lang w:eastAsia="ko-KR"/>
              </w:rPr>
              <w:t>KOROmas</w:t>
            </w:r>
            <w:proofErr w:type="spellEnd"/>
            <w:r w:rsidRPr="00800D22">
              <w:rPr>
                <w:bCs/>
                <w:sz w:val="18"/>
                <w:szCs w:val="18"/>
                <w:lang w:eastAsia="ko-KR"/>
              </w:rPr>
              <w:t xml:space="preserve"> Fund</w:t>
            </w:r>
          </w:p>
        </w:tc>
        <w:tc>
          <w:tcPr>
            <w:tcW w:w="1550" w:type="pct"/>
            <w:vAlign w:val="center"/>
          </w:tcPr>
          <w:p w14:paraId="6C00ECF8" w14:textId="77777777" w:rsidR="00995E2A" w:rsidRPr="00800D22" w:rsidRDefault="00995E2A" w:rsidP="000A32F1">
            <w:pPr>
              <w:rPr>
                <w:sz w:val="18"/>
                <w:szCs w:val="18"/>
              </w:rPr>
            </w:pPr>
            <w:r w:rsidRPr="00800D22">
              <w:rPr>
                <w:bCs/>
                <w:sz w:val="18"/>
                <w:szCs w:val="18"/>
              </w:rPr>
              <w:t>分离交易</w:t>
            </w:r>
            <w:r w:rsidRPr="00800D22">
              <w:rPr>
                <w:rFonts w:hint="eastAsia"/>
                <w:bCs/>
                <w:sz w:val="18"/>
                <w:szCs w:val="18"/>
              </w:rPr>
              <w:t>的</w:t>
            </w:r>
            <w:r w:rsidRPr="00800D22">
              <w:rPr>
                <w:bCs/>
                <w:sz w:val="18"/>
                <w:szCs w:val="18"/>
              </w:rPr>
              <w:t>可转换</w:t>
            </w:r>
            <w:r w:rsidRPr="00800D22">
              <w:rPr>
                <w:rFonts w:hint="eastAsia"/>
                <w:bCs/>
                <w:sz w:val="18"/>
                <w:szCs w:val="18"/>
              </w:rPr>
              <w:t>公司</w:t>
            </w:r>
            <w:r w:rsidRPr="00800D22">
              <w:rPr>
                <w:bCs/>
                <w:sz w:val="18"/>
                <w:szCs w:val="18"/>
              </w:rPr>
              <w:t>债</w:t>
            </w:r>
            <w:proofErr w:type="gramStart"/>
            <w:r w:rsidRPr="00800D22">
              <w:rPr>
                <w:bCs/>
                <w:sz w:val="18"/>
                <w:szCs w:val="18"/>
              </w:rPr>
              <w:t>券</w:t>
            </w:r>
            <w:proofErr w:type="gramEnd"/>
          </w:p>
        </w:tc>
        <w:tc>
          <w:tcPr>
            <w:tcW w:w="1275" w:type="pct"/>
            <w:vAlign w:val="center"/>
          </w:tcPr>
          <w:p w14:paraId="7A8FCAF2" w14:textId="77777777" w:rsidR="00995E2A" w:rsidRPr="00800D22" w:rsidRDefault="00995E2A" w:rsidP="000A32F1">
            <w:pPr>
              <w:rPr>
                <w:sz w:val="18"/>
                <w:szCs w:val="18"/>
              </w:rPr>
            </w:pPr>
            <w:r w:rsidRPr="00800D22">
              <w:rPr>
                <w:bCs/>
                <w:sz w:val="18"/>
                <w:szCs w:val="18"/>
              </w:rPr>
              <w:t>否</w:t>
            </w:r>
          </w:p>
        </w:tc>
      </w:tr>
      <w:tr w:rsidR="00995E2A" w:rsidRPr="00800D22" w14:paraId="629DFAAC" w14:textId="77777777" w:rsidTr="000A32F1">
        <w:tc>
          <w:tcPr>
            <w:tcW w:w="460" w:type="pct"/>
            <w:vAlign w:val="center"/>
          </w:tcPr>
          <w:p w14:paraId="622B4045" w14:textId="77777777" w:rsidR="00995E2A" w:rsidRPr="00800D22" w:rsidRDefault="00995E2A" w:rsidP="000A32F1">
            <w:pPr>
              <w:rPr>
                <w:sz w:val="18"/>
                <w:szCs w:val="18"/>
              </w:rPr>
            </w:pPr>
            <w:r w:rsidRPr="00800D22">
              <w:rPr>
                <w:bCs/>
                <w:sz w:val="18"/>
                <w:szCs w:val="18"/>
                <w:lang w:eastAsia="ko-KR"/>
              </w:rPr>
              <w:t>4</w:t>
            </w:r>
            <w:proofErr w:type="spellStart"/>
            <w:r w:rsidRPr="00800D22">
              <w:rPr>
                <w:bCs/>
                <w:position w:val="5"/>
                <w:sz w:val="18"/>
                <w:szCs w:val="18"/>
                <w:lang w:eastAsia="ko-KR"/>
              </w:rPr>
              <w:t>th</w:t>
            </w:r>
            <w:proofErr w:type="spellEnd"/>
          </w:p>
        </w:tc>
        <w:tc>
          <w:tcPr>
            <w:tcW w:w="1715" w:type="pct"/>
            <w:vAlign w:val="center"/>
          </w:tcPr>
          <w:p w14:paraId="304D74CE" w14:textId="77777777" w:rsidR="00995E2A" w:rsidRPr="00800D22" w:rsidRDefault="00995E2A" w:rsidP="000A32F1">
            <w:pPr>
              <w:rPr>
                <w:sz w:val="18"/>
                <w:szCs w:val="18"/>
              </w:rPr>
            </w:pPr>
            <w:r w:rsidRPr="00800D22">
              <w:rPr>
                <w:bCs/>
                <w:sz w:val="18"/>
                <w:szCs w:val="18"/>
                <w:lang w:eastAsia="ko-KR"/>
              </w:rPr>
              <w:t>3</w:t>
            </w:r>
            <w:r w:rsidRPr="00800D22">
              <w:rPr>
                <w:bCs/>
                <w:sz w:val="18"/>
                <w:szCs w:val="18"/>
                <w:vertAlign w:val="superscript"/>
                <w:lang w:eastAsia="ko-KR"/>
              </w:rPr>
              <w:t>rd</w:t>
            </w:r>
            <w:r w:rsidRPr="00800D22">
              <w:rPr>
                <w:bCs/>
                <w:sz w:val="18"/>
                <w:szCs w:val="18"/>
              </w:rPr>
              <w:t xml:space="preserve"> </w:t>
            </w:r>
            <w:r w:rsidRPr="00800D22">
              <w:rPr>
                <w:bCs/>
                <w:sz w:val="18"/>
                <w:szCs w:val="18"/>
                <w:lang w:eastAsia="ko-KR"/>
              </w:rPr>
              <w:t>SME Securitization</w:t>
            </w:r>
          </w:p>
        </w:tc>
        <w:tc>
          <w:tcPr>
            <w:tcW w:w="1550" w:type="pct"/>
            <w:vAlign w:val="center"/>
          </w:tcPr>
          <w:p w14:paraId="2686BF3B" w14:textId="77777777" w:rsidR="00995E2A" w:rsidRPr="00800D22" w:rsidRDefault="00995E2A" w:rsidP="000A32F1">
            <w:pPr>
              <w:rPr>
                <w:sz w:val="18"/>
                <w:szCs w:val="18"/>
              </w:rPr>
            </w:pPr>
            <w:r w:rsidRPr="00800D22">
              <w:rPr>
                <w:bCs/>
                <w:sz w:val="18"/>
                <w:szCs w:val="18"/>
              </w:rPr>
              <w:t>贷款</w:t>
            </w:r>
          </w:p>
        </w:tc>
        <w:tc>
          <w:tcPr>
            <w:tcW w:w="1275" w:type="pct"/>
            <w:vAlign w:val="center"/>
          </w:tcPr>
          <w:p w14:paraId="1A62FD59" w14:textId="77777777" w:rsidR="00995E2A" w:rsidRPr="00800D22" w:rsidRDefault="00995E2A" w:rsidP="000A32F1">
            <w:pPr>
              <w:rPr>
                <w:sz w:val="18"/>
                <w:szCs w:val="18"/>
              </w:rPr>
            </w:pPr>
            <w:r w:rsidRPr="00800D22">
              <w:rPr>
                <w:bCs/>
                <w:sz w:val="18"/>
                <w:szCs w:val="18"/>
              </w:rPr>
              <w:t>是</w:t>
            </w:r>
          </w:p>
        </w:tc>
      </w:tr>
      <w:tr w:rsidR="00995E2A" w:rsidRPr="00800D22" w14:paraId="718933D1" w14:textId="77777777" w:rsidTr="000A32F1">
        <w:tc>
          <w:tcPr>
            <w:tcW w:w="460" w:type="pct"/>
            <w:vAlign w:val="center"/>
          </w:tcPr>
          <w:p w14:paraId="61A6934A" w14:textId="77777777" w:rsidR="00995E2A" w:rsidRPr="00800D22" w:rsidRDefault="00995E2A" w:rsidP="000A32F1">
            <w:pPr>
              <w:rPr>
                <w:sz w:val="18"/>
                <w:szCs w:val="18"/>
              </w:rPr>
            </w:pPr>
            <w:r w:rsidRPr="00800D22">
              <w:rPr>
                <w:bCs/>
                <w:sz w:val="18"/>
                <w:szCs w:val="18"/>
                <w:lang w:eastAsia="ko-KR"/>
              </w:rPr>
              <w:t>5</w:t>
            </w:r>
            <w:proofErr w:type="spellStart"/>
            <w:r w:rsidRPr="00800D22">
              <w:rPr>
                <w:bCs/>
                <w:position w:val="5"/>
                <w:sz w:val="18"/>
                <w:szCs w:val="18"/>
                <w:lang w:eastAsia="ko-KR"/>
              </w:rPr>
              <w:t>th</w:t>
            </w:r>
            <w:proofErr w:type="spellEnd"/>
          </w:p>
        </w:tc>
        <w:tc>
          <w:tcPr>
            <w:tcW w:w="1715" w:type="pct"/>
            <w:vAlign w:val="center"/>
          </w:tcPr>
          <w:p w14:paraId="4E6D72EC" w14:textId="77777777" w:rsidR="00995E2A" w:rsidRPr="00800D22" w:rsidRDefault="00995E2A" w:rsidP="000A32F1">
            <w:pPr>
              <w:rPr>
                <w:sz w:val="18"/>
                <w:szCs w:val="18"/>
              </w:rPr>
            </w:pPr>
            <w:proofErr w:type="spellStart"/>
            <w:r w:rsidRPr="00800D22">
              <w:rPr>
                <w:bCs/>
                <w:sz w:val="18"/>
                <w:szCs w:val="18"/>
                <w:lang w:eastAsia="ko-KR"/>
              </w:rPr>
              <w:t>COROvoltin</w:t>
            </w:r>
            <w:proofErr w:type="spellEnd"/>
            <w:r w:rsidRPr="00800D22">
              <w:rPr>
                <w:bCs/>
                <w:sz w:val="18"/>
                <w:szCs w:val="18"/>
                <w:lang w:eastAsia="ko-KR"/>
              </w:rPr>
              <w:t xml:space="preserve"> Fund</w:t>
            </w:r>
          </w:p>
        </w:tc>
        <w:tc>
          <w:tcPr>
            <w:tcW w:w="1550" w:type="pct"/>
            <w:vAlign w:val="center"/>
          </w:tcPr>
          <w:p w14:paraId="57DE96EF" w14:textId="77777777" w:rsidR="00995E2A" w:rsidRPr="00800D22" w:rsidRDefault="00995E2A" w:rsidP="000A32F1">
            <w:pPr>
              <w:rPr>
                <w:sz w:val="18"/>
                <w:szCs w:val="18"/>
              </w:rPr>
            </w:pPr>
            <w:r w:rsidRPr="00800D22">
              <w:rPr>
                <w:bCs/>
                <w:sz w:val="18"/>
                <w:szCs w:val="18"/>
              </w:rPr>
              <w:t>分离交易</w:t>
            </w:r>
            <w:r w:rsidRPr="00800D22">
              <w:rPr>
                <w:rFonts w:hint="eastAsia"/>
                <w:bCs/>
                <w:sz w:val="18"/>
                <w:szCs w:val="18"/>
              </w:rPr>
              <w:t>的</w:t>
            </w:r>
            <w:r w:rsidRPr="00800D22">
              <w:rPr>
                <w:bCs/>
                <w:sz w:val="18"/>
                <w:szCs w:val="18"/>
              </w:rPr>
              <w:t>可转换</w:t>
            </w:r>
            <w:r w:rsidRPr="00800D22">
              <w:rPr>
                <w:rFonts w:hint="eastAsia"/>
                <w:bCs/>
                <w:sz w:val="18"/>
                <w:szCs w:val="18"/>
              </w:rPr>
              <w:t>公司</w:t>
            </w:r>
            <w:r w:rsidRPr="00800D22">
              <w:rPr>
                <w:bCs/>
                <w:sz w:val="18"/>
                <w:szCs w:val="18"/>
              </w:rPr>
              <w:t>债</w:t>
            </w:r>
            <w:proofErr w:type="gramStart"/>
            <w:r w:rsidRPr="00800D22">
              <w:rPr>
                <w:bCs/>
                <w:sz w:val="18"/>
                <w:szCs w:val="18"/>
              </w:rPr>
              <w:t>券</w:t>
            </w:r>
            <w:proofErr w:type="gramEnd"/>
          </w:p>
        </w:tc>
        <w:tc>
          <w:tcPr>
            <w:tcW w:w="1275" w:type="pct"/>
            <w:vAlign w:val="center"/>
          </w:tcPr>
          <w:p w14:paraId="11512871" w14:textId="77777777" w:rsidR="00995E2A" w:rsidRPr="00800D22" w:rsidRDefault="00995E2A" w:rsidP="000A32F1">
            <w:pPr>
              <w:rPr>
                <w:sz w:val="18"/>
                <w:szCs w:val="18"/>
              </w:rPr>
            </w:pPr>
            <w:r w:rsidRPr="00800D22">
              <w:rPr>
                <w:bCs/>
                <w:sz w:val="18"/>
                <w:szCs w:val="18"/>
              </w:rPr>
              <w:t>否</w:t>
            </w:r>
          </w:p>
        </w:tc>
      </w:tr>
      <w:tr w:rsidR="00995E2A" w:rsidRPr="00800D22" w14:paraId="7B7680C9" w14:textId="77777777" w:rsidTr="000A32F1">
        <w:tc>
          <w:tcPr>
            <w:tcW w:w="460" w:type="pct"/>
            <w:vAlign w:val="center"/>
          </w:tcPr>
          <w:p w14:paraId="3795BEAE" w14:textId="77777777" w:rsidR="00995E2A" w:rsidRPr="00800D22" w:rsidRDefault="00995E2A" w:rsidP="000A32F1">
            <w:pPr>
              <w:rPr>
                <w:bCs/>
                <w:position w:val="5"/>
                <w:sz w:val="18"/>
                <w:szCs w:val="18"/>
                <w:lang w:eastAsia="ko-KR"/>
              </w:rPr>
            </w:pPr>
            <w:r w:rsidRPr="00800D22">
              <w:rPr>
                <w:bCs/>
                <w:sz w:val="18"/>
                <w:szCs w:val="18"/>
                <w:lang w:eastAsia="ko-KR"/>
              </w:rPr>
              <w:t>6</w:t>
            </w:r>
            <w:proofErr w:type="spellStart"/>
            <w:r w:rsidRPr="00800D22">
              <w:rPr>
                <w:bCs/>
                <w:position w:val="5"/>
                <w:sz w:val="18"/>
                <w:szCs w:val="18"/>
                <w:lang w:eastAsia="ko-KR"/>
              </w:rPr>
              <w:t>th</w:t>
            </w:r>
            <w:proofErr w:type="spellEnd"/>
          </w:p>
        </w:tc>
        <w:tc>
          <w:tcPr>
            <w:tcW w:w="1715" w:type="pct"/>
            <w:vAlign w:val="center"/>
          </w:tcPr>
          <w:p w14:paraId="06C0E677" w14:textId="77777777" w:rsidR="00995E2A" w:rsidRPr="00800D22" w:rsidRDefault="00995E2A" w:rsidP="000A32F1">
            <w:pPr>
              <w:rPr>
                <w:sz w:val="18"/>
                <w:szCs w:val="18"/>
              </w:rPr>
            </w:pPr>
            <w:r w:rsidRPr="00800D22">
              <w:rPr>
                <w:bCs/>
                <w:sz w:val="18"/>
                <w:szCs w:val="18"/>
                <w:lang w:eastAsia="ko-KR"/>
              </w:rPr>
              <w:t>4</w:t>
            </w:r>
            <w:r w:rsidRPr="00800D22">
              <w:rPr>
                <w:bCs/>
                <w:sz w:val="18"/>
                <w:szCs w:val="18"/>
                <w:vertAlign w:val="superscript"/>
                <w:lang w:eastAsia="ko-KR"/>
              </w:rPr>
              <w:t>th</w:t>
            </w:r>
            <w:r w:rsidRPr="00800D22">
              <w:rPr>
                <w:bCs/>
                <w:sz w:val="18"/>
                <w:szCs w:val="18"/>
              </w:rPr>
              <w:t xml:space="preserve"> </w:t>
            </w:r>
            <w:r w:rsidRPr="00800D22">
              <w:rPr>
                <w:bCs/>
                <w:sz w:val="18"/>
                <w:szCs w:val="18"/>
                <w:lang w:eastAsia="ko-KR"/>
              </w:rPr>
              <w:t>SME Securitization</w:t>
            </w:r>
          </w:p>
        </w:tc>
        <w:tc>
          <w:tcPr>
            <w:tcW w:w="1550" w:type="pct"/>
            <w:vAlign w:val="center"/>
          </w:tcPr>
          <w:p w14:paraId="3156211F" w14:textId="77777777" w:rsidR="00995E2A" w:rsidRPr="00800D22" w:rsidRDefault="00995E2A" w:rsidP="000A32F1">
            <w:pPr>
              <w:rPr>
                <w:sz w:val="18"/>
                <w:szCs w:val="18"/>
              </w:rPr>
            </w:pPr>
            <w:r w:rsidRPr="00800D22">
              <w:rPr>
                <w:bCs/>
                <w:sz w:val="18"/>
                <w:szCs w:val="18"/>
              </w:rPr>
              <w:t>贷款</w:t>
            </w:r>
          </w:p>
        </w:tc>
        <w:tc>
          <w:tcPr>
            <w:tcW w:w="1275" w:type="pct"/>
            <w:vAlign w:val="center"/>
          </w:tcPr>
          <w:p w14:paraId="50417D73" w14:textId="77777777" w:rsidR="00995E2A" w:rsidRPr="00800D22" w:rsidRDefault="00995E2A" w:rsidP="000A32F1">
            <w:pPr>
              <w:rPr>
                <w:sz w:val="18"/>
                <w:szCs w:val="18"/>
              </w:rPr>
            </w:pPr>
            <w:r w:rsidRPr="00800D22">
              <w:rPr>
                <w:bCs/>
                <w:sz w:val="18"/>
                <w:szCs w:val="18"/>
              </w:rPr>
              <w:t>是</w:t>
            </w:r>
          </w:p>
        </w:tc>
      </w:tr>
      <w:tr w:rsidR="00995E2A" w:rsidRPr="00800D22" w14:paraId="135119D8" w14:textId="77777777" w:rsidTr="000A32F1">
        <w:tc>
          <w:tcPr>
            <w:tcW w:w="460" w:type="pct"/>
            <w:vAlign w:val="center"/>
          </w:tcPr>
          <w:p w14:paraId="0C37A153" w14:textId="77777777" w:rsidR="00995E2A" w:rsidRPr="00800D22" w:rsidRDefault="00995E2A" w:rsidP="000A32F1">
            <w:pPr>
              <w:rPr>
                <w:bCs/>
                <w:position w:val="5"/>
                <w:sz w:val="18"/>
                <w:szCs w:val="18"/>
                <w:lang w:eastAsia="ko-KR"/>
              </w:rPr>
            </w:pPr>
            <w:r w:rsidRPr="00800D22">
              <w:rPr>
                <w:bCs/>
                <w:sz w:val="18"/>
                <w:szCs w:val="18"/>
                <w:lang w:eastAsia="ko-KR"/>
              </w:rPr>
              <w:t>7</w:t>
            </w:r>
            <w:proofErr w:type="spellStart"/>
            <w:r w:rsidRPr="00800D22">
              <w:rPr>
                <w:bCs/>
                <w:position w:val="5"/>
                <w:sz w:val="18"/>
                <w:szCs w:val="18"/>
                <w:lang w:eastAsia="ko-KR"/>
              </w:rPr>
              <w:t>th</w:t>
            </w:r>
            <w:proofErr w:type="spellEnd"/>
          </w:p>
        </w:tc>
        <w:tc>
          <w:tcPr>
            <w:tcW w:w="1715" w:type="pct"/>
            <w:vAlign w:val="center"/>
          </w:tcPr>
          <w:p w14:paraId="4D349BD5" w14:textId="77777777" w:rsidR="00995E2A" w:rsidRPr="00800D22" w:rsidRDefault="00995E2A" w:rsidP="000A32F1">
            <w:pPr>
              <w:rPr>
                <w:sz w:val="18"/>
                <w:szCs w:val="18"/>
              </w:rPr>
            </w:pPr>
            <w:r w:rsidRPr="00800D22">
              <w:rPr>
                <w:bCs/>
                <w:sz w:val="18"/>
                <w:szCs w:val="18"/>
                <w:lang w:eastAsia="ko-KR"/>
              </w:rPr>
              <w:t>5</w:t>
            </w:r>
            <w:r w:rsidRPr="00800D22">
              <w:rPr>
                <w:bCs/>
                <w:sz w:val="18"/>
                <w:szCs w:val="18"/>
                <w:vertAlign w:val="superscript"/>
                <w:lang w:eastAsia="ko-KR"/>
              </w:rPr>
              <w:t>th</w:t>
            </w:r>
            <w:r w:rsidRPr="00800D22">
              <w:rPr>
                <w:bCs/>
                <w:sz w:val="18"/>
                <w:szCs w:val="18"/>
              </w:rPr>
              <w:t xml:space="preserve"> </w:t>
            </w:r>
            <w:r w:rsidRPr="00800D22">
              <w:rPr>
                <w:bCs/>
                <w:sz w:val="18"/>
                <w:szCs w:val="18"/>
                <w:lang w:eastAsia="ko-KR"/>
              </w:rPr>
              <w:t>SME Securitization</w:t>
            </w:r>
          </w:p>
        </w:tc>
        <w:tc>
          <w:tcPr>
            <w:tcW w:w="1550" w:type="pct"/>
            <w:vAlign w:val="center"/>
          </w:tcPr>
          <w:p w14:paraId="764B1A6F" w14:textId="77777777" w:rsidR="00995E2A" w:rsidRPr="00800D22" w:rsidRDefault="00995E2A" w:rsidP="000A32F1">
            <w:pPr>
              <w:rPr>
                <w:sz w:val="18"/>
                <w:szCs w:val="18"/>
              </w:rPr>
            </w:pPr>
            <w:r w:rsidRPr="00800D22">
              <w:rPr>
                <w:bCs/>
                <w:sz w:val="18"/>
                <w:szCs w:val="18"/>
              </w:rPr>
              <w:t>分离交易</w:t>
            </w:r>
            <w:r w:rsidRPr="00800D22">
              <w:rPr>
                <w:rFonts w:hint="eastAsia"/>
                <w:bCs/>
                <w:sz w:val="18"/>
                <w:szCs w:val="18"/>
              </w:rPr>
              <w:t>的</w:t>
            </w:r>
            <w:r w:rsidRPr="00800D22">
              <w:rPr>
                <w:bCs/>
                <w:sz w:val="18"/>
                <w:szCs w:val="18"/>
              </w:rPr>
              <w:t>可转换</w:t>
            </w:r>
            <w:r w:rsidRPr="00800D22">
              <w:rPr>
                <w:rFonts w:hint="eastAsia"/>
                <w:bCs/>
                <w:sz w:val="18"/>
                <w:szCs w:val="18"/>
              </w:rPr>
              <w:t>公司</w:t>
            </w:r>
            <w:r w:rsidRPr="00800D22">
              <w:rPr>
                <w:bCs/>
                <w:sz w:val="18"/>
                <w:szCs w:val="18"/>
              </w:rPr>
              <w:t>债</w:t>
            </w:r>
            <w:proofErr w:type="gramStart"/>
            <w:r w:rsidRPr="00800D22">
              <w:rPr>
                <w:bCs/>
                <w:sz w:val="18"/>
                <w:szCs w:val="18"/>
              </w:rPr>
              <w:t>券</w:t>
            </w:r>
            <w:proofErr w:type="gramEnd"/>
          </w:p>
        </w:tc>
        <w:tc>
          <w:tcPr>
            <w:tcW w:w="1275" w:type="pct"/>
            <w:vAlign w:val="center"/>
          </w:tcPr>
          <w:p w14:paraId="3A420F48" w14:textId="77777777" w:rsidR="00995E2A" w:rsidRPr="00800D22" w:rsidRDefault="00995E2A" w:rsidP="000A32F1">
            <w:pPr>
              <w:rPr>
                <w:sz w:val="18"/>
                <w:szCs w:val="18"/>
              </w:rPr>
            </w:pPr>
            <w:r w:rsidRPr="00800D22">
              <w:rPr>
                <w:bCs/>
                <w:sz w:val="18"/>
                <w:szCs w:val="18"/>
              </w:rPr>
              <w:t>是</w:t>
            </w:r>
          </w:p>
        </w:tc>
      </w:tr>
      <w:tr w:rsidR="00995E2A" w:rsidRPr="00800D22" w14:paraId="5CFFDCE3" w14:textId="77777777" w:rsidTr="000A32F1">
        <w:trPr>
          <w:trHeight w:val="714"/>
        </w:trPr>
        <w:tc>
          <w:tcPr>
            <w:tcW w:w="460" w:type="pct"/>
            <w:vAlign w:val="center"/>
          </w:tcPr>
          <w:p w14:paraId="29594165" w14:textId="77777777" w:rsidR="00995E2A" w:rsidRPr="00800D22" w:rsidRDefault="00995E2A" w:rsidP="000A32F1">
            <w:pPr>
              <w:rPr>
                <w:sz w:val="18"/>
                <w:szCs w:val="18"/>
              </w:rPr>
            </w:pPr>
            <w:r w:rsidRPr="00800D22">
              <w:rPr>
                <w:bCs/>
                <w:sz w:val="18"/>
                <w:szCs w:val="18"/>
                <w:lang w:eastAsia="ko-KR"/>
              </w:rPr>
              <w:t>8</w:t>
            </w:r>
            <w:proofErr w:type="spellStart"/>
            <w:r w:rsidRPr="00800D22">
              <w:rPr>
                <w:bCs/>
                <w:position w:val="5"/>
                <w:sz w:val="18"/>
                <w:szCs w:val="18"/>
                <w:lang w:eastAsia="ko-KR"/>
              </w:rPr>
              <w:t>th</w:t>
            </w:r>
            <w:proofErr w:type="spellEnd"/>
          </w:p>
        </w:tc>
        <w:tc>
          <w:tcPr>
            <w:tcW w:w="1715" w:type="pct"/>
            <w:vAlign w:val="center"/>
          </w:tcPr>
          <w:p w14:paraId="602E95EF" w14:textId="77777777" w:rsidR="00995E2A" w:rsidRPr="00800D22" w:rsidRDefault="00995E2A" w:rsidP="000A32F1">
            <w:pPr>
              <w:rPr>
                <w:bCs/>
                <w:sz w:val="18"/>
                <w:szCs w:val="18"/>
                <w:lang w:eastAsia="ko-KR"/>
              </w:rPr>
            </w:pPr>
            <w:r w:rsidRPr="00800D22">
              <w:rPr>
                <w:bCs/>
                <w:sz w:val="18"/>
                <w:szCs w:val="18"/>
                <w:lang w:eastAsia="ko-KR"/>
              </w:rPr>
              <w:t>Yen CBO securitization</w:t>
            </w:r>
          </w:p>
          <w:p w14:paraId="763ACE48" w14:textId="77777777" w:rsidR="00995E2A" w:rsidRPr="00800D22" w:rsidRDefault="00995E2A" w:rsidP="000A32F1">
            <w:pPr>
              <w:rPr>
                <w:sz w:val="18"/>
                <w:szCs w:val="18"/>
              </w:rPr>
            </w:pPr>
            <w:r w:rsidRPr="00800D22">
              <w:rPr>
                <w:bCs/>
                <w:sz w:val="18"/>
                <w:szCs w:val="18"/>
                <w:lang w:eastAsia="ko-KR"/>
              </w:rPr>
              <w:t>(6</w:t>
            </w:r>
            <w:r w:rsidRPr="00800D22">
              <w:rPr>
                <w:bCs/>
                <w:sz w:val="18"/>
                <w:szCs w:val="18"/>
                <w:vertAlign w:val="superscript"/>
                <w:lang w:eastAsia="ko-KR"/>
              </w:rPr>
              <w:t>th</w:t>
            </w:r>
            <w:r w:rsidRPr="00800D22">
              <w:rPr>
                <w:bCs/>
                <w:sz w:val="18"/>
                <w:szCs w:val="18"/>
                <w:lang w:eastAsia="ko-KR"/>
              </w:rPr>
              <w:t>SME Securitization)</w:t>
            </w:r>
          </w:p>
        </w:tc>
        <w:tc>
          <w:tcPr>
            <w:tcW w:w="1550" w:type="pct"/>
            <w:vAlign w:val="center"/>
          </w:tcPr>
          <w:p w14:paraId="4908A5E7" w14:textId="77777777" w:rsidR="00995E2A" w:rsidRPr="00800D22" w:rsidRDefault="00995E2A" w:rsidP="000A32F1">
            <w:pPr>
              <w:rPr>
                <w:sz w:val="18"/>
                <w:szCs w:val="18"/>
              </w:rPr>
            </w:pPr>
            <w:r w:rsidRPr="00800D22">
              <w:rPr>
                <w:bCs/>
                <w:sz w:val="18"/>
                <w:szCs w:val="18"/>
              </w:rPr>
              <w:t>分离交易</w:t>
            </w:r>
            <w:r w:rsidRPr="00800D22">
              <w:rPr>
                <w:rFonts w:hint="eastAsia"/>
                <w:bCs/>
                <w:sz w:val="18"/>
                <w:szCs w:val="18"/>
              </w:rPr>
              <w:t>的</w:t>
            </w:r>
            <w:r w:rsidRPr="00800D22">
              <w:rPr>
                <w:bCs/>
                <w:sz w:val="18"/>
                <w:szCs w:val="18"/>
              </w:rPr>
              <w:t>可转换</w:t>
            </w:r>
            <w:r w:rsidRPr="00800D22">
              <w:rPr>
                <w:rFonts w:hint="eastAsia"/>
                <w:bCs/>
                <w:sz w:val="18"/>
                <w:szCs w:val="18"/>
              </w:rPr>
              <w:t>公司</w:t>
            </w:r>
            <w:r w:rsidRPr="00800D22">
              <w:rPr>
                <w:bCs/>
                <w:sz w:val="18"/>
                <w:szCs w:val="18"/>
              </w:rPr>
              <w:t>债</w:t>
            </w:r>
            <w:proofErr w:type="gramStart"/>
            <w:r w:rsidRPr="00800D22">
              <w:rPr>
                <w:bCs/>
                <w:sz w:val="18"/>
                <w:szCs w:val="18"/>
              </w:rPr>
              <w:t>券</w:t>
            </w:r>
            <w:proofErr w:type="gramEnd"/>
            <w:r w:rsidRPr="00800D22">
              <w:rPr>
                <w:bCs/>
                <w:sz w:val="18"/>
                <w:szCs w:val="18"/>
                <w:lang w:eastAsia="ko-KR"/>
              </w:rPr>
              <w:t>/</w:t>
            </w:r>
            <w:r w:rsidRPr="00800D22">
              <w:rPr>
                <w:bCs/>
                <w:sz w:val="18"/>
                <w:szCs w:val="18"/>
              </w:rPr>
              <w:t>普通债券</w:t>
            </w:r>
          </w:p>
        </w:tc>
        <w:tc>
          <w:tcPr>
            <w:tcW w:w="1275" w:type="pct"/>
            <w:vAlign w:val="center"/>
          </w:tcPr>
          <w:p w14:paraId="6BD17199" w14:textId="77777777" w:rsidR="00995E2A" w:rsidRPr="00800D22" w:rsidRDefault="00995E2A" w:rsidP="000A32F1">
            <w:pPr>
              <w:rPr>
                <w:sz w:val="18"/>
                <w:szCs w:val="18"/>
              </w:rPr>
            </w:pPr>
            <w:r w:rsidRPr="00800D22">
              <w:rPr>
                <w:bCs/>
                <w:sz w:val="18"/>
                <w:szCs w:val="18"/>
              </w:rPr>
              <w:t>否</w:t>
            </w:r>
          </w:p>
        </w:tc>
      </w:tr>
      <w:tr w:rsidR="00995E2A" w:rsidRPr="00800D22" w14:paraId="18BE83CE" w14:textId="77777777" w:rsidTr="000A32F1">
        <w:tc>
          <w:tcPr>
            <w:tcW w:w="460" w:type="pct"/>
            <w:vAlign w:val="center"/>
          </w:tcPr>
          <w:p w14:paraId="5EC9D64A" w14:textId="77777777" w:rsidR="00995E2A" w:rsidRPr="00800D22" w:rsidRDefault="00995E2A" w:rsidP="000A32F1">
            <w:pPr>
              <w:rPr>
                <w:sz w:val="18"/>
                <w:szCs w:val="18"/>
              </w:rPr>
            </w:pPr>
            <w:r w:rsidRPr="00800D22">
              <w:rPr>
                <w:bCs/>
                <w:sz w:val="18"/>
                <w:szCs w:val="18"/>
                <w:lang w:eastAsia="ko-KR"/>
              </w:rPr>
              <w:t>9</w:t>
            </w:r>
            <w:proofErr w:type="spellStart"/>
            <w:r w:rsidRPr="00800D22">
              <w:rPr>
                <w:bCs/>
                <w:position w:val="5"/>
                <w:sz w:val="18"/>
                <w:szCs w:val="18"/>
                <w:lang w:eastAsia="ko-KR"/>
              </w:rPr>
              <w:t>th</w:t>
            </w:r>
            <w:proofErr w:type="spellEnd"/>
          </w:p>
        </w:tc>
        <w:tc>
          <w:tcPr>
            <w:tcW w:w="1715" w:type="pct"/>
            <w:vAlign w:val="center"/>
          </w:tcPr>
          <w:p w14:paraId="002ECF52" w14:textId="77777777" w:rsidR="00995E2A" w:rsidRPr="00800D22" w:rsidRDefault="00995E2A" w:rsidP="000A32F1">
            <w:pPr>
              <w:rPr>
                <w:sz w:val="18"/>
                <w:szCs w:val="18"/>
              </w:rPr>
            </w:pPr>
            <w:r w:rsidRPr="00800D22">
              <w:rPr>
                <w:bCs/>
                <w:sz w:val="18"/>
                <w:szCs w:val="18"/>
                <w:lang w:eastAsia="ko-KR"/>
              </w:rPr>
              <w:t>7</w:t>
            </w:r>
            <w:r w:rsidRPr="00800D22">
              <w:rPr>
                <w:bCs/>
                <w:sz w:val="18"/>
                <w:szCs w:val="18"/>
                <w:vertAlign w:val="superscript"/>
                <w:lang w:eastAsia="ko-KR"/>
              </w:rPr>
              <w:t>th</w:t>
            </w:r>
            <w:r w:rsidRPr="00800D22">
              <w:rPr>
                <w:bCs/>
                <w:sz w:val="18"/>
                <w:szCs w:val="18"/>
              </w:rPr>
              <w:t xml:space="preserve"> </w:t>
            </w:r>
            <w:r w:rsidRPr="00800D22">
              <w:rPr>
                <w:bCs/>
                <w:sz w:val="18"/>
                <w:szCs w:val="18"/>
                <w:lang w:eastAsia="ko-KR"/>
              </w:rPr>
              <w:t>SME Securitization</w:t>
            </w:r>
          </w:p>
        </w:tc>
        <w:tc>
          <w:tcPr>
            <w:tcW w:w="1550" w:type="pct"/>
            <w:vAlign w:val="center"/>
          </w:tcPr>
          <w:p w14:paraId="1ED428A0" w14:textId="77777777" w:rsidR="00995E2A" w:rsidRPr="00800D22" w:rsidRDefault="00995E2A" w:rsidP="000A32F1">
            <w:pPr>
              <w:rPr>
                <w:sz w:val="18"/>
                <w:szCs w:val="18"/>
              </w:rPr>
            </w:pPr>
            <w:r w:rsidRPr="00800D22">
              <w:rPr>
                <w:bCs/>
                <w:sz w:val="18"/>
                <w:szCs w:val="18"/>
              </w:rPr>
              <w:t>普通债券</w:t>
            </w:r>
            <w:r w:rsidRPr="00800D22">
              <w:rPr>
                <w:bCs/>
                <w:sz w:val="18"/>
                <w:szCs w:val="18"/>
              </w:rPr>
              <w:t>/</w:t>
            </w:r>
            <w:r w:rsidRPr="00800D22">
              <w:rPr>
                <w:bCs/>
                <w:sz w:val="18"/>
                <w:szCs w:val="18"/>
              </w:rPr>
              <w:t>分离交易</w:t>
            </w:r>
            <w:r w:rsidRPr="00800D22">
              <w:rPr>
                <w:rFonts w:hint="eastAsia"/>
                <w:bCs/>
                <w:sz w:val="18"/>
                <w:szCs w:val="18"/>
              </w:rPr>
              <w:t>的</w:t>
            </w:r>
            <w:r w:rsidRPr="00800D22">
              <w:rPr>
                <w:bCs/>
                <w:sz w:val="18"/>
                <w:szCs w:val="18"/>
              </w:rPr>
              <w:t>可转换</w:t>
            </w:r>
            <w:r w:rsidRPr="00800D22">
              <w:rPr>
                <w:rFonts w:hint="eastAsia"/>
                <w:bCs/>
                <w:sz w:val="18"/>
                <w:szCs w:val="18"/>
              </w:rPr>
              <w:t>公司</w:t>
            </w:r>
            <w:r w:rsidRPr="00800D22">
              <w:rPr>
                <w:bCs/>
                <w:sz w:val="18"/>
                <w:szCs w:val="18"/>
              </w:rPr>
              <w:t>债</w:t>
            </w:r>
            <w:proofErr w:type="gramStart"/>
            <w:r w:rsidRPr="00800D22">
              <w:rPr>
                <w:bCs/>
                <w:sz w:val="18"/>
                <w:szCs w:val="18"/>
              </w:rPr>
              <w:t>券</w:t>
            </w:r>
            <w:proofErr w:type="gramEnd"/>
            <w:r w:rsidRPr="00800D22">
              <w:rPr>
                <w:bCs/>
                <w:sz w:val="18"/>
                <w:szCs w:val="18"/>
              </w:rPr>
              <w:t>/</w:t>
            </w:r>
            <w:r w:rsidRPr="00800D22">
              <w:rPr>
                <w:bCs/>
                <w:sz w:val="18"/>
                <w:szCs w:val="18"/>
              </w:rPr>
              <w:t>贷款</w:t>
            </w:r>
          </w:p>
        </w:tc>
        <w:tc>
          <w:tcPr>
            <w:tcW w:w="1275" w:type="pct"/>
            <w:vAlign w:val="center"/>
          </w:tcPr>
          <w:p w14:paraId="4C273F91" w14:textId="77777777" w:rsidR="00995E2A" w:rsidRPr="00800D22" w:rsidRDefault="00995E2A" w:rsidP="000A32F1">
            <w:pPr>
              <w:rPr>
                <w:sz w:val="18"/>
                <w:szCs w:val="18"/>
              </w:rPr>
            </w:pPr>
            <w:r w:rsidRPr="00800D22">
              <w:rPr>
                <w:bCs/>
                <w:sz w:val="18"/>
                <w:szCs w:val="18"/>
              </w:rPr>
              <w:t>部分</w:t>
            </w:r>
          </w:p>
        </w:tc>
      </w:tr>
      <w:tr w:rsidR="00995E2A" w:rsidRPr="00800D22" w14:paraId="46B066F0" w14:textId="77777777" w:rsidTr="000A32F1">
        <w:tc>
          <w:tcPr>
            <w:tcW w:w="460" w:type="pct"/>
            <w:vAlign w:val="center"/>
          </w:tcPr>
          <w:p w14:paraId="5FD33F6A" w14:textId="77777777" w:rsidR="00995E2A" w:rsidRPr="00800D22" w:rsidRDefault="00995E2A" w:rsidP="000A32F1">
            <w:pPr>
              <w:rPr>
                <w:sz w:val="18"/>
                <w:szCs w:val="18"/>
              </w:rPr>
            </w:pPr>
            <w:r w:rsidRPr="00800D22">
              <w:rPr>
                <w:bCs/>
                <w:sz w:val="18"/>
                <w:szCs w:val="18"/>
                <w:lang w:eastAsia="ko-KR"/>
              </w:rPr>
              <w:t>10</w:t>
            </w:r>
            <w:proofErr w:type="spellStart"/>
            <w:r w:rsidRPr="00800D22">
              <w:rPr>
                <w:bCs/>
                <w:position w:val="5"/>
                <w:sz w:val="18"/>
                <w:szCs w:val="18"/>
                <w:lang w:eastAsia="ko-KR"/>
              </w:rPr>
              <w:t>th</w:t>
            </w:r>
            <w:proofErr w:type="spellEnd"/>
          </w:p>
        </w:tc>
        <w:tc>
          <w:tcPr>
            <w:tcW w:w="1715" w:type="pct"/>
            <w:vAlign w:val="center"/>
          </w:tcPr>
          <w:p w14:paraId="4634AD95" w14:textId="77777777" w:rsidR="00995E2A" w:rsidRPr="00800D22" w:rsidRDefault="00995E2A" w:rsidP="000A32F1">
            <w:pPr>
              <w:rPr>
                <w:sz w:val="18"/>
                <w:szCs w:val="18"/>
              </w:rPr>
            </w:pPr>
            <w:proofErr w:type="spellStart"/>
            <w:r w:rsidRPr="00800D22">
              <w:rPr>
                <w:bCs/>
                <w:sz w:val="18"/>
                <w:szCs w:val="18"/>
                <w:lang w:eastAsia="ko-KR"/>
              </w:rPr>
              <w:t>Piraruku</w:t>
            </w:r>
            <w:proofErr w:type="spellEnd"/>
            <w:r w:rsidRPr="00800D22">
              <w:rPr>
                <w:bCs/>
                <w:sz w:val="18"/>
                <w:szCs w:val="18"/>
                <w:lang w:eastAsia="ko-KR"/>
              </w:rPr>
              <w:t xml:space="preserve"> Fund</w:t>
            </w:r>
          </w:p>
        </w:tc>
        <w:tc>
          <w:tcPr>
            <w:tcW w:w="1550" w:type="pct"/>
            <w:vAlign w:val="center"/>
          </w:tcPr>
          <w:p w14:paraId="6DF4126E" w14:textId="77777777" w:rsidR="00995E2A" w:rsidRPr="00800D22" w:rsidRDefault="00995E2A" w:rsidP="000A32F1">
            <w:pPr>
              <w:rPr>
                <w:sz w:val="18"/>
                <w:szCs w:val="18"/>
              </w:rPr>
            </w:pPr>
            <w:r w:rsidRPr="00800D22">
              <w:rPr>
                <w:bCs/>
                <w:sz w:val="18"/>
                <w:szCs w:val="18"/>
              </w:rPr>
              <w:t>分离交易</w:t>
            </w:r>
            <w:r w:rsidRPr="00800D22">
              <w:rPr>
                <w:rFonts w:hint="eastAsia"/>
                <w:bCs/>
                <w:sz w:val="18"/>
                <w:szCs w:val="18"/>
              </w:rPr>
              <w:t>的</w:t>
            </w:r>
            <w:r w:rsidRPr="00800D22">
              <w:rPr>
                <w:bCs/>
                <w:sz w:val="18"/>
                <w:szCs w:val="18"/>
              </w:rPr>
              <w:t>可转换</w:t>
            </w:r>
            <w:r w:rsidRPr="00800D22">
              <w:rPr>
                <w:rFonts w:hint="eastAsia"/>
                <w:bCs/>
                <w:sz w:val="18"/>
                <w:szCs w:val="18"/>
              </w:rPr>
              <w:t>公司</w:t>
            </w:r>
            <w:r w:rsidRPr="00800D22">
              <w:rPr>
                <w:bCs/>
                <w:sz w:val="18"/>
                <w:szCs w:val="18"/>
              </w:rPr>
              <w:t>债</w:t>
            </w:r>
            <w:proofErr w:type="gramStart"/>
            <w:r w:rsidRPr="00800D22">
              <w:rPr>
                <w:bCs/>
                <w:sz w:val="18"/>
                <w:szCs w:val="18"/>
              </w:rPr>
              <w:t>券</w:t>
            </w:r>
            <w:proofErr w:type="gramEnd"/>
          </w:p>
        </w:tc>
        <w:tc>
          <w:tcPr>
            <w:tcW w:w="1275" w:type="pct"/>
            <w:vAlign w:val="center"/>
          </w:tcPr>
          <w:p w14:paraId="4773F5FB" w14:textId="77777777" w:rsidR="00995E2A" w:rsidRPr="00800D22" w:rsidRDefault="00995E2A" w:rsidP="000A32F1">
            <w:pPr>
              <w:rPr>
                <w:sz w:val="18"/>
                <w:szCs w:val="18"/>
              </w:rPr>
            </w:pPr>
            <w:r w:rsidRPr="00800D22">
              <w:rPr>
                <w:bCs/>
                <w:sz w:val="18"/>
                <w:szCs w:val="18"/>
              </w:rPr>
              <w:t>否</w:t>
            </w:r>
          </w:p>
        </w:tc>
      </w:tr>
      <w:tr w:rsidR="00995E2A" w:rsidRPr="00800D22" w14:paraId="74264DC7" w14:textId="77777777" w:rsidTr="000A32F1">
        <w:tc>
          <w:tcPr>
            <w:tcW w:w="460" w:type="pct"/>
            <w:vAlign w:val="center"/>
          </w:tcPr>
          <w:p w14:paraId="7869ED56" w14:textId="77777777" w:rsidR="00995E2A" w:rsidRPr="00800D22" w:rsidRDefault="00995E2A" w:rsidP="000A32F1">
            <w:pPr>
              <w:rPr>
                <w:sz w:val="18"/>
                <w:szCs w:val="18"/>
              </w:rPr>
            </w:pPr>
            <w:r w:rsidRPr="00800D22">
              <w:rPr>
                <w:bCs/>
                <w:sz w:val="18"/>
                <w:szCs w:val="18"/>
                <w:lang w:eastAsia="ko-KR"/>
              </w:rPr>
              <w:t>11</w:t>
            </w:r>
            <w:proofErr w:type="spellStart"/>
            <w:r w:rsidRPr="00800D22">
              <w:rPr>
                <w:bCs/>
                <w:position w:val="5"/>
                <w:sz w:val="18"/>
                <w:szCs w:val="18"/>
                <w:lang w:eastAsia="ko-KR"/>
              </w:rPr>
              <w:t>th</w:t>
            </w:r>
            <w:proofErr w:type="spellEnd"/>
          </w:p>
        </w:tc>
        <w:tc>
          <w:tcPr>
            <w:tcW w:w="1715" w:type="pct"/>
            <w:vAlign w:val="center"/>
          </w:tcPr>
          <w:p w14:paraId="12C2E884" w14:textId="77777777" w:rsidR="00995E2A" w:rsidRPr="00800D22" w:rsidRDefault="00995E2A" w:rsidP="000A32F1">
            <w:pPr>
              <w:rPr>
                <w:sz w:val="18"/>
                <w:szCs w:val="18"/>
              </w:rPr>
            </w:pPr>
            <w:r w:rsidRPr="00800D22">
              <w:rPr>
                <w:bCs/>
                <w:sz w:val="18"/>
                <w:szCs w:val="18"/>
                <w:lang w:eastAsia="ko-KR"/>
              </w:rPr>
              <w:t>8</w:t>
            </w:r>
            <w:r w:rsidRPr="00800D22">
              <w:rPr>
                <w:bCs/>
                <w:sz w:val="18"/>
                <w:szCs w:val="18"/>
                <w:vertAlign w:val="superscript"/>
                <w:lang w:eastAsia="ko-KR"/>
              </w:rPr>
              <w:t>th</w:t>
            </w:r>
            <w:r w:rsidRPr="00800D22">
              <w:rPr>
                <w:bCs/>
                <w:sz w:val="18"/>
                <w:szCs w:val="18"/>
              </w:rPr>
              <w:t xml:space="preserve"> </w:t>
            </w:r>
            <w:r w:rsidRPr="00800D22">
              <w:rPr>
                <w:bCs/>
                <w:sz w:val="18"/>
                <w:szCs w:val="18"/>
                <w:lang w:eastAsia="ko-KR"/>
              </w:rPr>
              <w:t>SME Securitization</w:t>
            </w:r>
          </w:p>
        </w:tc>
        <w:tc>
          <w:tcPr>
            <w:tcW w:w="1550" w:type="pct"/>
            <w:vAlign w:val="center"/>
          </w:tcPr>
          <w:p w14:paraId="5A5ED58F" w14:textId="77777777" w:rsidR="00995E2A" w:rsidRPr="00800D22" w:rsidRDefault="00995E2A" w:rsidP="000A32F1">
            <w:pPr>
              <w:rPr>
                <w:sz w:val="18"/>
                <w:szCs w:val="18"/>
              </w:rPr>
            </w:pPr>
            <w:r w:rsidRPr="00800D22">
              <w:rPr>
                <w:bCs/>
                <w:sz w:val="18"/>
                <w:szCs w:val="18"/>
              </w:rPr>
              <w:t>分离交易</w:t>
            </w:r>
            <w:r w:rsidRPr="00800D22">
              <w:rPr>
                <w:rFonts w:hint="eastAsia"/>
                <w:bCs/>
                <w:sz w:val="18"/>
                <w:szCs w:val="18"/>
              </w:rPr>
              <w:t>的</w:t>
            </w:r>
            <w:r w:rsidRPr="00800D22">
              <w:rPr>
                <w:bCs/>
                <w:sz w:val="18"/>
                <w:szCs w:val="18"/>
              </w:rPr>
              <w:t>可转换</w:t>
            </w:r>
            <w:r w:rsidRPr="00800D22">
              <w:rPr>
                <w:rFonts w:hint="eastAsia"/>
                <w:bCs/>
                <w:sz w:val="18"/>
                <w:szCs w:val="18"/>
              </w:rPr>
              <w:t>公司</w:t>
            </w:r>
            <w:r w:rsidRPr="00800D22">
              <w:rPr>
                <w:bCs/>
                <w:sz w:val="18"/>
                <w:szCs w:val="18"/>
              </w:rPr>
              <w:t>债</w:t>
            </w:r>
            <w:proofErr w:type="gramStart"/>
            <w:r w:rsidRPr="00800D22">
              <w:rPr>
                <w:bCs/>
                <w:sz w:val="18"/>
                <w:szCs w:val="18"/>
              </w:rPr>
              <w:t>券</w:t>
            </w:r>
            <w:proofErr w:type="gramEnd"/>
          </w:p>
        </w:tc>
        <w:tc>
          <w:tcPr>
            <w:tcW w:w="1275" w:type="pct"/>
            <w:vAlign w:val="center"/>
          </w:tcPr>
          <w:p w14:paraId="0333C557" w14:textId="77777777" w:rsidR="00995E2A" w:rsidRPr="00800D22" w:rsidRDefault="00995E2A" w:rsidP="000A32F1">
            <w:pPr>
              <w:rPr>
                <w:sz w:val="18"/>
                <w:szCs w:val="18"/>
              </w:rPr>
            </w:pPr>
            <w:r w:rsidRPr="00800D22">
              <w:rPr>
                <w:bCs/>
                <w:sz w:val="18"/>
                <w:szCs w:val="18"/>
              </w:rPr>
              <w:t>否</w:t>
            </w:r>
          </w:p>
        </w:tc>
      </w:tr>
    </w:tbl>
    <w:p w14:paraId="7C82CDD1" w14:textId="77777777" w:rsidR="00995E2A" w:rsidRPr="00800D22" w:rsidRDefault="00995E2A" w:rsidP="00995E2A">
      <w:pPr>
        <w:pStyle w:val="Default"/>
        <w:spacing w:afterLines="50" w:after="156"/>
        <w:rPr>
          <w:rFonts w:ascii="Times New Roman" w:hAnsi="Times New Roman" w:cs="Times New Roman"/>
          <w:color w:val="auto"/>
          <w:sz w:val="18"/>
          <w:szCs w:val="18"/>
        </w:rPr>
      </w:pPr>
      <w:r w:rsidRPr="00800D22">
        <w:rPr>
          <w:rFonts w:ascii="Times New Roman" w:hAnsi="Times New Roman" w:cs="Times New Roman"/>
          <w:color w:val="auto"/>
          <w:sz w:val="18"/>
          <w:szCs w:val="18"/>
        </w:rPr>
        <w:t>数据来源：</w:t>
      </w:r>
      <w:proofErr w:type="spellStart"/>
      <w:r w:rsidRPr="00800D22">
        <w:rPr>
          <w:rFonts w:ascii="Times New Roman" w:eastAsia="新宋体" w:hAnsi="Times New Roman" w:cs="Times New Roman"/>
          <w:color w:val="auto"/>
          <w:sz w:val="18"/>
          <w:szCs w:val="18"/>
        </w:rPr>
        <w:t>Gyutaeg</w:t>
      </w:r>
      <w:proofErr w:type="spellEnd"/>
      <w:r w:rsidRPr="00800D22">
        <w:rPr>
          <w:rFonts w:ascii="Times New Roman" w:eastAsia="新宋体" w:hAnsi="Times New Roman" w:cs="Times New Roman"/>
          <w:color w:val="auto"/>
          <w:sz w:val="18"/>
          <w:szCs w:val="18"/>
        </w:rPr>
        <w:t xml:space="preserve"> Oh. Risk Management in ABS Markets Case Study: Korea[J],Korea Fixed Income Research Institute,2005:1-48.</w:t>
      </w:r>
    </w:p>
    <w:p w14:paraId="411ECBE1" w14:textId="77777777" w:rsidR="00995E2A" w:rsidRPr="00800D22" w:rsidRDefault="00995E2A" w:rsidP="00995E2A">
      <w:pPr>
        <w:autoSpaceDE w:val="0"/>
        <w:autoSpaceDN w:val="0"/>
        <w:adjustRightInd w:val="0"/>
        <w:spacing w:line="420" w:lineRule="exact"/>
        <w:ind w:firstLineChars="200" w:firstLine="480"/>
        <w:rPr>
          <w:sz w:val="24"/>
        </w:rPr>
      </w:pPr>
      <w:r w:rsidRPr="00800D22">
        <w:rPr>
          <w:sz w:val="24"/>
        </w:rPr>
        <w:t>在韩国，银行一般不接受企业以应收</w:t>
      </w:r>
      <w:r w:rsidRPr="00800D22">
        <w:rPr>
          <w:rFonts w:hint="eastAsia"/>
          <w:sz w:val="24"/>
        </w:rPr>
        <w:t>账款</w:t>
      </w:r>
      <w:r w:rsidRPr="00800D22">
        <w:rPr>
          <w:sz w:val="24"/>
        </w:rPr>
        <w:t>作为</w:t>
      </w:r>
      <w:r w:rsidRPr="00800D22">
        <w:rPr>
          <w:rFonts w:hint="eastAsia"/>
          <w:sz w:val="24"/>
        </w:rPr>
        <w:t>质</w:t>
      </w:r>
      <w:r w:rsidRPr="00800D22">
        <w:rPr>
          <w:sz w:val="24"/>
        </w:rPr>
        <w:t>押品发放贷款，即使该企业的应收</w:t>
      </w:r>
      <w:r w:rsidRPr="00800D22">
        <w:rPr>
          <w:rFonts w:hint="eastAsia"/>
          <w:sz w:val="24"/>
        </w:rPr>
        <w:t>账</w:t>
      </w:r>
      <w:r w:rsidRPr="00800D22">
        <w:rPr>
          <w:sz w:val="24"/>
        </w:rPr>
        <w:t>款的债务对象为</w:t>
      </w:r>
      <w:r w:rsidRPr="00800D22">
        <w:rPr>
          <w:rFonts w:hint="eastAsia"/>
          <w:sz w:val="24"/>
        </w:rPr>
        <w:t>信用</w:t>
      </w:r>
      <w:r w:rsidRPr="00800D22">
        <w:rPr>
          <w:sz w:val="24"/>
        </w:rPr>
        <w:t>状况优良的大企业。有鉴</w:t>
      </w:r>
      <w:r w:rsidRPr="00800D22">
        <w:rPr>
          <w:rFonts w:hint="eastAsia"/>
          <w:sz w:val="24"/>
        </w:rPr>
        <w:t>于</w:t>
      </w:r>
      <w:r w:rsidRPr="00800D22">
        <w:rPr>
          <w:sz w:val="24"/>
        </w:rPr>
        <w:t>此，</w:t>
      </w:r>
      <w:r w:rsidRPr="00800D22">
        <w:rPr>
          <w:sz w:val="24"/>
        </w:rPr>
        <w:t>SBC</w:t>
      </w:r>
      <w:r w:rsidRPr="00800D22">
        <w:rPr>
          <w:sz w:val="24"/>
        </w:rPr>
        <w:t>创造性地开发出以企业未来应收</w:t>
      </w:r>
      <w:r w:rsidRPr="00800D22">
        <w:rPr>
          <w:rFonts w:hint="eastAsia"/>
          <w:sz w:val="24"/>
        </w:rPr>
        <w:t>账款</w:t>
      </w:r>
      <w:r w:rsidRPr="00800D22">
        <w:rPr>
          <w:sz w:val="24"/>
        </w:rPr>
        <w:t>为</w:t>
      </w:r>
      <w:r w:rsidRPr="00800D22">
        <w:rPr>
          <w:rFonts w:hint="eastAsia"/>
          <w:sz w:val="24"/>
        </w:rPr>
        <w:t>质押</w:t>
      </w:r>
      <w:r w:rsidRPr="00800D22">
        <w:rPr>
          <w:sz w:val="24"/>
        </w:rPr>
        <w:t>的</w:t>
      </w:r>
      <w:r w:rsidRPr="00800D22">
        <w:rPr>
          <w:sz w:val="24"/>
        </w:rPr>
        <w:t>P-CBO</w:t>
      </w:r>
      <w:r w:rsidRPr="00800D22">
        <w:rPr>
          <w:sz w:val="24"/>
        </w:rPr>
        <w:t>，为一些同大型企业签有长期供货协议、未来应收账款充足且坏账风险低的中小企业提供融资便利。在第三</w:t>
      </w:r>
      <w:r w:rsidRPr="00800D22">
        <w:rPr>
          <w:rFonts w:hint="eastAsia"/>
          <w:sz w:val="24"/>
        </w:rPr>
        <w:t>期</w:t>
      </w:r>
      <w:r w:rsidRPr="00800D22">
        <w:rPr>
          <w:sz w:val="24"/>
        </w:rPr>
        <w:t>和第六</w:t>
      </w:r>
      <w:r w:rsidRPr="00800D22">
        <w:rPr>
          <w:rFonts w:hint="eastAsia"/>
          <w:sz w:val="24"/>
        </w:rPr>
        <w:t>期</w:t>
      </w:r>
      <w:r w:rsidRPr="00800D22">
        <w:rPr>
          <w:sz w:val="24"/>
        </w:rPr>
        <w:t>P-CBO</w:t>
      </w:r>
      <w:r w:rsidRPr="00800D22">
        <w:rPr>
          <w:sz w:val="24"/>
        </w:rPr>
        <w:t>项目均采用了该方式。在该类交易中，中小企业先以未来应收</w:t>
      </w:r>
      <w:r w:rsidRPr="00800D22">
        <w:rPr>
          <w:rFonts w:hint="eastAsia"/>
          <w:sz w:val="24"/>
        </w:rPr>
        <w:t>账</w:t>
      </w:r>
      <w:r w:rsidRPr="00800D22">
        <w:rPr>
          <w:sz w:val="24"/>
        </w:rPr>
        <w:t>款成立一个信托计划，实现受益权的破产隔离，信托计划的收益凭证出售给</w:t>
      </w:r>
      <w:r w:rsidRPr="00800D22">
        <w:rPr>
          <w:sz w:val="24"/>
        </w:rPr>
        <w:t>SPC</w:t>
      </w:r>
      <w:r w:rsidRPr="00800D22">
        <w:rPr>
          <w:sz w:val="24"/>
        </w:rPr>
        <w:t>，</w:t>
      </w:r>
      <w:r w:rsidRPr="00800D22">
        <w:rPr>
          <w:sz w:val="24"/>
        </w:rPr>
        <w:t>SPC</w:t>
      </w:r>
      <w:r w:rsidRPr="00800D22">
        <w:rPr>
          <w:sz w:val="24"/>
        </w:rPr>
        <w:t>再根据该信托计划的收益凭证向中小企业提供贷款。在这种方式下，一旦中小企业的应收</w:t>
      </w:r>
      <w:r w:rsidRPr="00800D22">
        <w:rPr>
          <w:rFonts w:hint="eastAsia"/>
          <w:sz w:val="24"/>
        </w:rPr>
        <w:t>账</w:t>
      </w:r>
      <w:r w:rsidRPr="00800D22">
        <w:rPr>
          <w:sz w:val="24"/>
        </w:rPr>
        <w:t>款出现异常，</w:t>
      </w:r>
      <w:r w:rsidRPr="00800D22">
        <w:rPr>
          <w:sz w:val="24"/>
        </w:rPr>
        <w:t>SPC</w:t>
      </w:r>
      <w:r w:rsidRPr="00800D22">
        <w:rPr>
          <w:sz w:val="24"/>
        </w:rPr>
        <w:t>就能立即发现问题，因此，</w:t>
      </w:r>
      <w:r w:rsidRPr="00800D22">
        <w:rPr>
          <w:sz w:val="24"/>
        </w:rPr>
        <w:t>SPC</w:t>
      </w:r>
      <w:r w:rsidRPr="00800D22">
        <w:rPr>
          <w:sz w:val="24"/>
        </w:rPr>
        <w:t>能够在企业陷入困境前采取措施，减少投资者的损失。由于该模式较为复杂，</w:t>
      </w:r>
      <w:r w:rsidRPr="00800D22">
        <w:rPr>
          <w:sz w:val="24"/>
        </w:rPr>
        <w:t>SBC</w:t>
      </w:r>
      <w:r w:rsidRPr="00800D22">
        <w:rPr>
          <w:sz w:val="24"/>
        </w:rPr>
        <w:t>仅在第</w:t>
      </w:r>
      <w:r w:rsidRPr="00800D22">
        <w:rPr>
          <w:sz w:val="24"/>
        </w:rPr>
        <w:t>4</w:t>
      </w:r>
      <w:r w:rsidRPr="00800D22">
        <w:rPr>
          <w:rFonts w:hint="eastAsia"/>
          <w:sz w:val="24"/>
        </w:rPr>
        <w:t>期</w:t>
      </w:r>
      <w:r w:rsidRPr="00800D22">
        <w:rPr>
          <w:sz w:val="24"/>
        </w:rPr>
        <w:t>、第</w:t>
      </w:r>
      <w:r w:rsidRPr="00800D22">
        <w:rPr>
          <w:sz w:val="24"/>
        </w:rPr>
        <w:t>6</w:t>
      </w:r>
      <w:r w:rsidRPr="00800D22">
        <w:rPr>
          <w:rFonts w:hint="eastAsia"/>
          <w:sz w:val="24"/>
        </w:rPr>
        <w:t>期</w:t>
      </w:r>
      <w:r w:rsidRPr="00800D22">
        <w:rPr>
          <w:sz w:val="24"/>
        </w:rPr>
        <w:t>及第</w:t>
      </w:r>
      <w:r w:rsidRPr="00800D22">
        <w:rPr>
          <w:sz w:val="24"/>
        </w:rPr>
        <w:t>9</w:t>
      </w:r>
      <w:r w:rsidRPr="00800D22">
        <w:rPr>
          <w:rFonts w:hint="eastAsia"/>
          <w:sz w:val="24"/>
        </w:rPr>
        <w:t>期</w:t>
      </w:r>
      <w:r w:rsidRPr="00800D22">
        <w:rPr>
          <w:sz w:val="24"/>
        </w:rPr>
        <w:t>P-CBO</w:t>
      </w:r>
      <w:r w:rsidRPr="00800D22">
        <w:rPr>
          <w:sz w:val="24"/>
        </w:rPr>
        <w:t>中使用了该模式，采用次数比较少。</w:t>
      </w:r>
    </w:p>
    <w:p w14:paraId="4AD5D31D" w14:textId="41306DC5" w:rsidR="00F900CB" w:rsidRDefault="00995E2A" w:rsidP="00995E2A">
      <w:pPr>
        <w:widowControl/>
        <w:spacing w:line="420" w:lineRule="exact"/>
        <w:ind w:firstLineChars="200" w:firstLine="480"/>
      </w:pPr>
      <w:r w:rsidRPr="00800D22">
        <w:rPr>
          <w:sz w:val="24"/>
        </w:rPr>
        <w:t>以分离交易</w:t>
      </w:r>
      <w:r w:rsidRPr="00800D22">
        <w:rPr>
          <w:rFonts w:hint="eastAsia"/>
          <w:sz w:val="24"/>
        </w:rPr>
        <w:t>的</w:t>
      </w:r>
      <w:r w:rsidRPr="00800D22">
        <w:rPr>
          <w:sz w:val="24"/>
        </w:rPr>
        <w:t>可转换</w:t>
      </w:r>
      <w:r w:rsidRPr="00800D22">
        <w:rPr>
          <w:rFonts w:hint="eastAsia"/>
          <w:sz w:val="24"/>
        </w:rPr>
        <w:t>公司</w:t>
      </w:r>
      <w:r w:rsidRPr="00800D22">
        <w:rPr>
          <w:sz w:val="24"/>
        </w:rPr>
        <w:t>债</w:t>
      </w:r>
      <w:proofErr w:type="gramStart"/>
      <w:r w:rsidRPr="00800D22">
        <w:rPr>
          <w:sz w:val="24"/>
        </w:rPr>
        <w:t>券</w:t>
      </w:r>
      <w:proofErr w:type="gramEnd"/>
      <w:r w:rsidRPr="00800D22">
        <w:rPr>
          <w:sz w:val="24"/>
        </w:rPr>
        <w:t>为标的</w:t>
      </w:r>
      <w:r w:rsidRPr="00800D22">
        <w:rPr>
          <w:rFonts w:hint="eastAsia"/>
          <w:sz w:val="24"/>
        </w:rPr>
        <w:t>进行</w:t>
      </w:r>
      <w:r w:rsidRPr="00800D22">
        <w:rPr>
          <w:sz w:val="24"/>
        </w:rPr>
        <w:t>资产组合已成为当前</w:t>
      </w:r>
      <w:r w:rsidRPr="00800D22">
        <w:rPr>
          <w:sz w:val="24"/>
        </w:rPr>
        <w:t>P-CBO</w:t>
      </w:r>
      <w:r w:rsidRPr="00800D22">
        <w:rPr>
          <w:sz w:val="24"/>
        </w:rPr>
        <w:t>的主流模式，该模式无论是对</w:t>
      </w:r>
      <w:r w:rsidRPr="00800D22">
        <w:rPr>
          <w:sz w:val="24"/>
        </w:rPr>
        <w:t>SBC</w:t>
      </w:r>
      <w:r w:rsidRPr="00800D22">
        <w:rPr>
          <w:sz w:val="24"/>
        </w:rPr>
        <w:t>、参与企业还是投资者都有较大吸引力。</w:t>
      </w:r>
      <w:r w:rsidRPr="00800D22">
        <w:rPr>
          <w:rFonts w:hint="eastAsia"/>
          <w:sz w:val="24"/>
        </w:rPr>
        <w:t>①</w:t>
      </w:r>
      <w:r w:rsidRPr="00800D22">
        <w:rPr>
          <w:sz w:val="24"/>
        </w:rPr>
        <w:t>对</w:t>
      </w:r>
      <w:r w:rsidRPr="00800D22">
        <w:rPr>
          <w:sz w:val="24"/>
        </w:rPr>
        <w:t>SBC</w:t>
      </w:r>
      <w:r w:rsidRPr="00800D22">
        <w:rPr>
          <w:sz w:val="24"/>
        </w:rPr>
        <w:t>来说，分离交易</w:t>
      </w:r>
      <w:r w:rsidRPr="00800D22">
        <w:rPr>
          <w:rFonts w:hint="eastAsia"/>
          <w:sz w:val="24"/>
        </w:rPr>
        <w:t>的</w:t>
      </w:r>
      <w:r w:rsidRPr="00800D22">
        <w:rPr>
          <w:sz w:val="24"/>
        </w:rPr>
        <w:t>可转换</w:t>
      </w:r>
      <w:r w:rsidRPr="00800D22">
        <w:rPr>
          <w:rFonts w:hint="eastAsia"/>
          <w:sz w:val="24"/>
        </w:rPr>
        <w:t>公司</w:t>
      </w:r>
      <w:r w:rsidRPr="00800D22">
        <w:rPr>
          <w:sz w:val="24"/>
        </w:rPr>
        <w:t>债</w:t>
      </w:r>
      <w:proofErr w:type="gramStart"/>
      <w:r w:rsidRPr="00800D22">
        <w:rPr>
          <w:sz w:val="24"/>
        </w:rPr>
        <w:t>券</w:t>
      </w:r>
      <w:proofErr w:type="gramEnd"/>
      <w:r w:rsidRPr="00800D22">
        <w:rPr>
          <w:sz w:val="24"/>
        </w:rPr>
        <w:t>附带的权证相当于一个内置的保险机制，</w:t>
      </w:r>
      <w:r w:rsidRPr="00800D22">
        <w:rPr>
          <w:sz w:val="24"/>
        </w:rPr>
        <w:t>SBC</w:t>
      </w:r>
      <w:r w:rsidRPr="00800D22">
        <w:rPr>
          <w:sz w:val="24"/>
        </w:rPr>
        <w:t>可以通过权证行权获取的收益弥补违约损失；</w:t>
      </w:r>
      <w:r w:rsidRPr="00800D22">
        <w:rPr>
          <w:rFonts w:hint="eastAsia"/>
          <w:sz w:val="24"/>
        </w:rPr>
        <w:t>②</w:t>
      </w:r>
      <w:r w:rsidRPr="00800D22">
        <w:rPr>
          <w:sz w:val="24"/>
        </w:rPr>
        <w:t>对参与企业来说，由于分离交易</w:t>
      </w:r>
      <w:r w:rsidRPr="00800D22">
        <w:rPr>
          <w:rFonts w:hint="eastAsia"/>
          <w:sz w:val="24"/>
        </w:rPr>
        <w:t>的</w:t>
      </w:r>
      <w:r w:rsidRPr="00800D22">
        <w:rPr>
          <w:sz w:val="24"/>
        </w:rPr>
        <w:t>可转换</w:t>
      </w:r>
      <w:r w:rsidRPr="00800D22">
        <w:rPr>
          <w:rFonts w:hint="eastAsia"/>
          <w:sz w:val="24"/>
        </w:rPr>
        <w:t>公司</w:t>
      </w:r>
      <w:r w:rsidRPr="00800D22">
        <w:rPr>
          <w:sz w:val="24"/>
        </w:rPr>
        <w:t>债</w:t>
      </w:r>
      <w:proofErr w:type="gramStart"/>
      <w:r w:rsidRPr="00800D22">
        <w:rPr>
          <w:sz w:val="24"/>
        </w:rPr>
        <w:t>券</w:t>
      </w:r>
      <w:proofErr w:type="gramEnd"/>
      <w:r w:rsidRPr="00800D22">
        <w:rPr>
          <w:sz w:val="24"/>
        </w:rPr>
        <w:t>发行利率较普通债券的利率低，因此，参与企业节约</w:t>
      </w:r>
      <w:r w:rsidRPr="00800D22">
        <w:rPr>
          <w:rFonts w:hint="eastAsia"/>
          <w:sz w:val="24"/>
        </w:rPr>
        <w:t>了</w:t>
      </w:r>
      <w:r w:rsidRPr="00800D22">
        <w:rPr>
          <w:sz w:val="24"/>
        </w:rPr>
        <w:t>一定的利息成本，而且参与企业还可通过投资者行权获取二次融资</w:t>
      </w:r>
      <w:r w:rsidRPr="00800D22">
        <w:rPr>
          <w:rFonts w:hint="eastAsia"/>
          <w:sz w:val="24"/>
        </w:rPr>
        <w:t>；③</w:t>
      </w:r>
      <w:r w:rsidRPr="00800D22">
        <w:rPr>
          <w:sz w:val="24"/>
        </w:rPr>
        <w:t>对投资者来说，投资者不仅可以通过权证行权获取的收益弥补违约损失，而且还可以分享企业成长所带来的收益，若企业成长良好，股票价格上涨，投资者就可在适当的时候行权，从而获取股票上涨的收益。</w:t>
      </w:r>
    </w:p>
    <w:sectPr w:rsidR="00F900CB" w:rsidSect="00F900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76321" w14:textId="77777777" w:rsidR="00A510C9" w:rsidRDefault="00A510C9" w:rsidP="00995E2A">
      <w:r>
        <w:separator/>
      </w:r>
    </w:p>
  </w:endnote>
  <w:endnote w:type="continuationSeparator" w:id="0">
    <w:p w14:paraId="581FFF19" w14:textId="77777777" w:rsidR="00A510C9" w:rsidRDefault="00A510C9" w:rsidP="00995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楷体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_GB2312">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BA8EA" w14:textId="77777777" w:rsidR="00A510C9" w:rsidRDefault="00A510C9" w:rsidP="00995E2A">
      <w:r>
        <w:separator/>
      </w:r>
    </w:p>
  </w:footnote>
  <w:footnote w:type="continuationSeparator" w:id="0">
    <w:p w14:paraId="7EB17FB9" w14:textId="77777777" w:rsidR="00A510C9" w:rsidRDefault="00A510C9" w:rsidP="00995E2A">
      <w:r>
        <w:continuationSeparator/>
      </w:r>
    </w:p>
  </w:footnote>
  <w:footnote w:id="1">
    <w:p w14:paraId="345B6990" w14:textId="77777777" w:rsidR="00995E2A" w:rsidRPr="007045C4" w:rsidRDefault="00995E2A" w:rsidP="00995E2A">
      <w:pPr>
        <w:pStyle w:val="af6"/>
        <w:rPr>
          <w:rFonts w:hint="eastAsia"/>
        </w:rPr>
      </w:pPr>
      <w:r>
        <w:rPr>
          <w:rStyle w:val="af8"/>
        </w:rPr>
        <w:footnoteRef/>
      </w:r>
      <w:r>
        <w:t xml:space="preserve"> </w:t>
      </w:r>
      <w:r>
        <w:rPr>
          <w:rFonts w:hint="eastAsia"/>
        </w:rPr>
        <w:t xml:space="preserve"> </w:t>
      </w:r>
      <w:r w:rsidRPr="00CB4049">
        <w:rPr>
          <w:rFonts w:ascii="Arial" w:hAnsi="Arial" w:cs="Arial"/>
          <w:color w:val="000000"/>
        </w:rPr>
        <w:t>基础债券抵押证券</w:t>
      </w:r>
      <w:r w:rsidRPr="00CB4049">
        <w:rPr>
          <w:rFonts w:ascii="Arial" w:hAnsi="Arial" w:cs="Arial" w:hint="eastAsia"/>
          <w:color w:val="000000"/>
        </w:rPr>
        <w:t>，</w:t>
      </w:r>
      <w:r w:rsidRPr="00CB4049">
        <w:rPr>
          <w:kern w:val="0"/>
        </w:rPr>
        <w:t>Primary Collateralized Bond Obligation</w:t>
      </w:r>
      <w:r>
        <w:rPr>
          <w:rFonts w:hint="eastAsia"/>
          <w:kern w:val="0"/>
        </w:rPr>
        <w:t>的简称</w:t>
      </w:r>
      <w:r w:rsidRPr="00CB4049">
        <w:rPr>
          <w:rFonts w:hint="eastAsia"/>
          <w:kern w:val="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lvl w:ilvl="0">
      <w:start w:val="1"/>
      <w:numFmt w:val="decimal"/>
      <w:suff w:val="nothing"/>
      <w:lvlText w:val="（%1）"/>
      <w:lvlJc w:val="left"/>
    </w:lvl>
  </w:abstractNum>
  <w:abstractNum w:abstractNumId="1" w15:restartNumberingAfterBreak="0">
    <w:nsid w:val="00DA4B8A"/>
    <w:multiLevelType w:val="hybridMultilevel"/>
    <w:tmpl w:val="9188AA38"/>
    <w:lvl w:ilvl="0" w:tplc="04090005">
      <w:start w:val="1"/>
      <w:numFmt w:val="bullet"/>
      <w:lvlText w:val=""/>
      <w:lvlJc w:val="left"/>
      <w:pPr>
        <w:tabs>
          <w:tab w:val="num" w:pos="480"/>
        </w:tabs>
        <w:ind w:left="480" w:hanging="420"/>
      </w:pPr>
      <w:rPr>
        <w:rFonts w:ascii="Wingdings" w:hAnsi="Wingdings" w:hint="default"/>
      </w:rPr>
    </w:lvl>
    <w:lvl w:ilvl="1" w:tplc="04090003" w:tentative="1">
      <w:start w:val="1"/>
      <w:numFmt w:val="bullet"/>
      <w:lvlText w:val=""/>
      <w:lvlJc w:val="left"/>
      <w:pPr>
        <w:tabs>
          <w:tab w:val="num" w:pos="900"/>
        </w:tabs>
        <w:ind w:left="900" w:hanging="420"/>
      </w:pPr>
      <w:rPr>
        <w:rFonts w:ascii="Wingdings" w:hAnsi="Wingdings" w:hint="default"/>
      </w:rPr>
    </w:lvl>
    <w:lvl w:ilvl="2" w:tplc="04090005" w:tentative="1">
      <w:start w:val="1"/>
      <w:numFmt w:val="bullet"/>
      <w:lvlText w:val=""/>
      <w:lvlJc w:val="left"/>
      <w:pPr>
        <w:tabs>
          <w:tab w:val="num" w:pos="1320"/>
        </w:tabs>
        <w:ind w:left="1320" w:hanging="420"/>
      </w:pPr>
      <w:rPr>
        <w:rFonts w:ascii="Wingdings" w:hAnsi="Wingdings" w:hint="default"/>
      </w:rPr>
    </w:lvl>
    <w:lvl w:ilvl="3" w:tplc="04090001" w:tentative="1">
      <w:start w:val="1"/>
      <w:numFmt w:val="bullet"/>
      <w:lvlText w:val=""/>
      <w:lvlJc w:val="left"/>
      <w:pPr>
        <w:tabs>
          <w:tab w:val="num" w:pos="1740"/>
        </w:tabs>
        <w:ind w:left="1740" w:hanging="420"/>
      </w:pPr>
      <w:rPr>
        <w:rFonts w:ascii="Wingdings" w:hAnsi="Wingdings" w:hint="default"/>
      </w:rPr>
    </w:lvl>
    <w:lvl w:ilvl="4" w:tplc="04090003" w:tentative="1">
      <w:start w:val="1"/>
      <w:numFmt w:val="bullet"/>
      <w:lvlText w:val=""/>
      <w:lvlJc w:val="left"/>
      <w:pPr>
        <w:tabs>
          <w:tab w:val="num" w:pos="2160"/>
        </w:tabs>
        <w:ind w:left="2160" w:hanging="420"/>
      </w:pPr>
      <w:rPr>
        <w:rFonts w:ascii="Wingdings" w:hAnsi="Wingdings" w:hint="default"/>
      </w:rPr>
    </w:lvl>
    <w:lvl w:ilvl="5" w:tplc="04090005" w:tentative="1">
      <w:start w:val="1"/>
      <w:numFmt w:val="bullet"/>
      <w:lvlText w:val=""/>
      <w:lvlJc w:val="left"/>
      <w:pPr>
        <w:tabs>
          <w:tab w:val="num" w:pos="2580"/>
        </w:tabs>
        <w:ind w:left="2580" w:hanging="420"/>
      </w:pPr>
      <w:rPr>
        <w:rFonts w:ascii="Wingdings" w:hAnsi="Wingdings" w:hint="default"/>
      </w:rPr>
    </w:lvl>
    <w:lvl w:ilvl="6" w:tplc="04090001" w:tentative="1">
      <w:start w:val="1"/>
      <w:numFmt w:val="bullet"/>
      <w:lvlText w:val=""/>
      <w:lvlJc w:val="left"/>
      <w:pPr>
        <w:tabs>
          <w:tab w:val="num" w:pos="3000"/>
        </w:tabs>
        <w:ind w:left="3000" w:hanging="420"/>
      </w:pPr>
      <w:rPr>
        <w:rFonts w:ascii="Wingdings" w:hAnsi="Wingdings" w:hint="default"/>
      </w:rPr>
    </w:lvl>
    <w:lvl w:ilvl="7" w:tplc="04090003" w:tentative="1">
      <w:start w:val="1"/>
      <w:numFmt w:val="bullet"/>
      <w:lvlText w:val=""/>
      <w:lvlJc w:val="left"/>
      <w:pPr>
        <w:tabs>
          <w:tab w:val="num" w:pos="3420"/>
        </w:tabs>
        <w:ind w:left="3420" w:hanging="420"/>
      </w:pPr>
      <w:rPr>
        <w:rFonts w:ascii="Wingdings" w:hAnsi="Wingdings" w:hint="default"/>
      </w:rPr>
    </w:lvl>
    <w:lvl w:ilvl="8" w:tplc="04090005" w:tentative="1">
      <w:start w:val="1"/>
      <w:numFmt w:val="bullet"/>
      <w:lvlText w:val=""/>
      <w:lvlJc w:val="left"/>
      <w:pPr>
        <w:tabs>
          <w:tab w:val="num" w:pos="3840"/>
        </w:tabs>
        <w:ind w:left="3840" w:hanging="420"/>
      </w:pPr>
      <w:rPr>
        <w:rFonts w:ascii="Wingdings" w:hAnsi="Wingdings" w:hint="default"/>
      </w:rPr>
    </w:lvl>
  </w:abstractNum>
  <w:abstractNum w:abstractNumId="2" w15:restartNumberingAfterBreak="0">
    <w:nsid w:val="01140142"/>
    <w:multiLevelType w:val="hybridMultilevel"/>
    <w:tmpl w:val="51105130"/>
    <w:lvl w:ilvl="0" w:tplc="B5E45988">
      <w:start w:val="1"/>
      <w:numFmt w:val="decimalEnclosedCircle"/>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15:restartNumberingAfterBreak="0">
    <w:nsid w:val="0A842350"/>
    <w:multiLevelType w:val="hybridMultilevel"/>
    <w:tmpl w:val="90DE31F2"/>
    <w:lvl w:ilvl="0" w:tplc="031813F0">
      <w:start w:val="1"/>
      <w:numFmt w:val="bullet"/>
      <w:lvlText w:val=""/>
      <w:lvlJc w:val="left"/>
      <w:pPr>
        <w:tabs>
          <w:tab w:val="num" w:pos="420"/>
        </w:tabs>
        <w:ind w:left="340" w:hanging="34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CC920C9"/>
    <w:multiLevelType w:val="hybridMultilevel"/>
    <w:tmpl w:val="10D4FA94"/>
    <w:lvl w:ilvl="0" w:tplc="E214AADA">
      <w:start w:val="1"/>
      <w:numFmt w:val="bullet"/>
      <w:lvlText w:val="◆"/>
      <w:lvlJc w:val="left"/>
      <w:pPr>
        <w:tabs>
          <w:tab w:val="num" w:pos="782"/>
        </w:tabs>
        <w:ind w:left="782" w:hanging="360"/>
      </w:pPr>
      <w:rPr>
        <w:rFonts w:ascii="宋体" w:eastAsia="宋体" w:hAnsi="宋体" w:cs="Times New Roman" w:hint="eastAsia"/>
      </w:rPr>
    </w:lvl>
    <w:lvl w:ilvl="1" w:tplc="04090003" w:tentative="1">
      <w:start w:val="1"/>
      <w:numFmt w:val="bullet"/>
      <w:lvlText w:val=""/>
      <w:lvlJc w:val="left"/>
      <w:pPr>
        <w:tabs>
          <w:tab w:val="num" w:pos="1262"/>
        </w:tabs>
        <w:ind w:left="1262" w:hanging="420"/>
      </w:pPr>
      <w:rPr>
        <w:rFonts w:ascii="Wingdings" w:hAnsi="Wingdings" w:hint="default"/>
      </w:rPr>
    </w:lvl>
    <w:lvl w:ilvl="2" w:tplc="04090005"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3" w:tentative="1">
      <w:start w:val="1"/>
      <w:numFmt w:val="bullet"/>
      <w:lvlText w:val=""/>
      <w:lvlJc w:val="left"/>
      <w:pPr>
        <w:tabs>
          <w:tab w:val="num" w:pos="2522"/>
        </w:tabs>
        <w:ind w:left="2522" w:hanging="420"/>
      </w:pPr>
      <w:rPr>
        <w:rFonts w:ascii="Wingdings" w:hAnsi="Wingdings" w:hint="default"/>
      </w:rPr>
    </w:lvl>
    <w:lvl w:ilvl="5" w:tplc="04090005"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3" w:tentative="1">
      <w:start w:val="1"/>
      <w:numFmt w:val="bullet"/>
      <w:lvlText w:val=""/>
      <w:lvlJc w:val="left"/>
      <w:pPr>
        <w:tabs>
          <w:tab w:val="num" w:pos="3782"/>
        </w:tabs>
        <w:ind w:left="3782" w:hanging="420"/>
      </w:pPr>
      <w:rPr>
        <w:rFonts w:ascii="Wingdings" w:hAnsi="Wingdings" w:hint="default"/>
      </w:rPr>
    </w:lvl>
    <w:lvl w:ilvl="8" w:tplc="04090005" w:tentative="1">
      <w:start w:val="1"/>
      <w:numFmt w:val="bullet"/>
      <w:lvlText w:val=""/>
      <w:lvlJc w:val="left"/>
      <w:pPr>
        <w:tabs>
          <w:tab w:val="num" w:pos="4202"/>
        </w:tabs>
        <w:ind w:left="4202" w:hanging="420"/>
      </w:pPr>
      <w:rPr>
        <w:rFonts w:ascii="Wingdings" w:hAnsi="Wingdings" w:hint="default"/>
      </w:rPr>
    </w:lvl>
  </w:abstractNum>
  <w:abstractNum w:abstractNumId="5" w15:restartNumberingAfterBreak="0">
    <w:nsid w:val="0F7F3998"/>
    <w:multiLevelType w:val="hybridMultilevel"/>
    <w:tmpl w:val="86F28444"/>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AA0627"/>
    <w:multiLevelType w:val="hybridMultilevel"/>
    <w:tmpl w:val="3998FD8E"/>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10B22AAA"/>
    <w:multiLevelType w:val="hybridMultilevel"/>
    <w:tmpl w:val="D5F0F750"/>
    <w:lvl w:ilvl="0" w:tplc="04090005">
      <w:start w:val="1"/>
      <w:numFmt w:val="bullet"/>
      <w:lvlText w:val=""/>
      <w:lvlJc w:val="left"/>
      <w:pPr>
        <w:tabs>
          <w:tab w:val="num" w:pos="960"/>
        </w:tabs>
        <w:ind w:left="960" w:hanging="420"/>
      </w:pPr>
      <w:rPr>
        <w:rFonts w:ascii="Wingdings" w:hAnsi="Wingdings" w:hint="default"/>
      </w:rPr>
    </w:lvl>
    <w:lvl w:ilvl="1" w:tplc="464071DA">
      <w:numFmt w:val="bullet"/>
      <w:lvlText w:val=""/>
      <w:lvlJc w:val="left"/>
      <w:pPr>
        <w:tabs>
          <w:tab w:val="num" w:pos="1455"/>
        </w:tabs>
        <w:ind w:left="1455" w:hanging="495"/>
      </w:pPr>
      <w:rPr>
        <w:rFonts w:ascii="Symbol" w:eastAsia="Symbol" w:hAnsi="Symbol" w:cs="Symbol"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8" w15:restartNumberingAfterBreak="0">
    <w:nsid w:val="13A66D5B"/>
    <w:multiLevelType w:val="multilevel"/>
    <w:tmpl w:val="90DE31F2"/>
    <w:lvl w:ilvl="0">
      <w:start w:val="1"/>
      <w:numFmt w:val="bullet"/>
      <w:lvlText w:val=""/>
      <w:lvlJc w:val="left"/>
      <w:pPr>
        <w:tabs>
          <w:tab w:val="num" w:pos="420"/>
        </w:tabs>
        <w:ind w:left="340" w:hanging="34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87B6BBB"/>
    <w:multiLevelType w:val="hybridMultilevel"/>
    <w:tmpl w:val="7B02951E"/>
    <w:lvl w:ilvl="0" w:tplc="04090007">
      <w:start w:val="1"/>
      <w:numFmt w:val="bullet"/>
      <w:lvlText w:val=""/>
      <w:lvlJc w:val="left"/>
      <w:pPr>
        <w:tabs>
          <w:tab w:val="num" w:pos="990"/>
        </w:tabs>
        <w:ind w:left="990" w:hanging="420"/>
      </w:pPr>
      <w:rPr>
        <w:rFonts w:ascii="Wingdings" w:hAnsi="Wingdings" w:hint="default"/>
        <w:sz w:val="16"/>
      </w:rPr>
    </w:lvl>
    <w:lvl w:ilvl="1" w:tplc="04090003" w:tentative="1">
      <w:start w:val="1"/>
      <w:numFmt w:val="bullet"/>
      <w:lvlText w:val=""/>
      <w:lvlJc w:val="left"/>
      <w:pPr>
        <w:tabs>
          <w:tab w:val="num" w:pos="1410"/>
        </w:tabs>
        <w:ind w:left="1410" w:hanging="420"/>
      </w:pPr>
      <w:rPr>
        <w:rFonts w:ascii="Wingdings" w:hAnsi="Wingdings" w:hint="default"/>
      </w:rPr>
    </w:lvl>
    <w:lvl w:ilvl="2" w:tplc="04090005"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3" w:tentative="1">
      <w:start w:val="1"/>
      <w:numFmt w:val="bullet"/>
      <w:lvlText w:val=""/>
      <w:lvlJc w:val="left"/>
      <w:pPr>
        <w:tabs>
          <w:tab w:val="num" w:pos="2670"/>
        </w:tabs>
        <w:ind w:left="2670" w:hanging="420"/>
      </w:pPr>
      <w:rPr>
        <w:rFonts w:ascii="Wingdings" w:hAnsi="Wingdings" w:hint="default"/>
      </w:rPr>
    </w:lvl>
    <w:lvl w:ilvl="5" w:tplc="04090005"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3" w:tentative="1">
      <w:start w:val="1"/>
      <w:numFmt w:val="bullet"/>
      <w:lvlText w:val=""/>
      <w:lvlJc w:val="left"/>
      <w:pPr>
        <w:tabs>
          <w:tab w:val="num" w:pos="3930"/>
        </w:tabs>
        <w:ind w:left="3930" w:hanging="420"/>
      </w:pPr>
      <w:rPr>
        <w:rFonts w:ascii="Wingdings" w:hAnsi="Wingdings" w:hint="default"/>
      </w:rPr>
    </w:lvl>
    <w:lvl w:ilvl="8" w:tplc="04090005" w:tentative="1">
      <w:start w:val="1"/>
      <w:numFmt w:val="bullet"/>
      <w:lvlText w:val=""/>
      <w:lvlJc w:val="left"/>
      <w:pPr>
        <w:tabs>
          <w:tab w:val="num" w:pos="4350"/>
        </w:tabs>
        <w:ind w:left="4350" w:hanging="420"/>
      </w:pPr>
      <w:rPr>
        <w:rFonts w:ascii="Wingdings" w:hAnsi="Wingdings" w:hint="default"/>
      </w:rPr>
    </w:lvl>
  </w:abstractNum>
  <w:abstractNum w:abstractNumId="10" w15:restartNumberingAfterBreak="0">
    <w:nsid w:val="1BC049C7"/>
    <w:multiLevelType w:val="hybridMultilevel"/>
    <w:tmpl w:val="5316D3DA"/>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C2E4676"/>
    <w:multiLevelType w:val="multilevel"/>
    <w:tmpl w:val="90DE31F2"/>
    <w:lvl w:ilvl="0">
      <w:start w:val="1"/>
      <w:numFmt w:val="bullet"/>
      <w:lvlText w:val=""/>
      <w:lvlJc w:val="left"/>
      <w:pPr>
        <w:tabs>
          <w:tab w:val="num" w:pos="420"/>
        </w:tabs>
        <w:ind w:left="340" w:hanging="34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2313C54"/>
    <w:multiLevelType w:val="hybridMultilevel"/>
    <w:tmpl w:val="6A4438C8"/>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87932A6"/>
    <w:multiLevelType w:val="hybridMultilevel"/>
    <w:tmpl w:val="42A06180"/>
    <w:lvl w:ilvl="0" w:tplc="0409000F">
      <w:start w:val="1"/>
      <w:numFmt w:val="decimal"/>
      <w:lvlText w:val="%1."/>
      <w:lvlJc w:val="left"/>
      <w:pPr>
        <w:tabs>
          <w:tab w:val="num" w:pos="900"/>
        </w:tabs>
        <w:ind w:left="900" w:hanging="4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15:restartNumberingAfterBreak="0">
    <w:nsid w:val="39332477"/>
    <w:multiLevelType w:val="multilevel"/>
    <w:tmpl w:val="90DE31F2"/>
    <w:lvl w:ilvl="0">
      <w:start w:val="1"/>
      <w:numFmt w:val="bullet"/>
      <w:lvlText w:val=""/>
      <w:lvlJc w:val="left"/>
      <w:pPr>
        <w:tabs>
          <w:tab w:val="num" w:pos="420"/>
        </w:tabs>
        <w:ind w:left="340" w:hanging="34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F41862"/>
    <w:multiLevelType w:val="hybridMultilevel"/>
    <w:tmpl w:val="6BFAE35C"/>
    <w:lvl w:ilvl="0" w:tplc="04090005">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6" w15:restartNumberingAfterBreak="0">
    <w:nsid w:val="3AC85983"/>
    <w:multiLevelType w:val="hybridMultilevel"/>
    <w:tmpl w:val="53ECEF8E"/>
    <w:lvl w:ilvl="0" w:tplc="304AEA54">
      <w:start w:val="22"/>
      <w:numFmt w:val="bullet"/>
      <w:lvlText w:val="□"/>
      <w:lvlJc w:val="left"/>
      <w:pPr>
        <w:tabs>
          <w:tab w:val="num" w:pos="1065"/>
        </w:tabs>
        <w:ind w:left="1065" w:hanging="360"/>
      </w:pPr>
      <w:rPr>
        <w:rFonts w:ascii="楷体_GB2312" w:eastAsia="楷体_GB2312" w:hAnsi="Times New Roman" w:cs="Times New Roman" w:hint="eastAsia"/>
      </w:rPr>
    </w:lvl>
    <w:lvl w:ilvl="1" w:tplc="04090003" w:tentative="1">
      <w:start w:val="1"/>
      <w:numFmt w:val="bullet"/>
      <w:lvlText w:val=""/>
      <w:lvlJc w:val="left"/>
      <w:pPr>
        <w:tabs>
          <w:tab w:val="num" w:pos="1545"/>
        </w:tabs>
        <w:ind w:left="1545" w:hanging="420"/>
      </w:pPr>
      <w:rPr>
        <w:rFonts w:ascii="Wingdings" w:hAnsi="Wingdings" w:hint="default"/>
      </w:rPr>
    </w:lvl>
    <w:lvl w:ilvl="2" w:tplc="04090005" w:tentative="1">
      <w:start w:val="1"/>
      <w:numFmt w:val="bullet"/>
      <w:lvlText w:val=""/>
      <w:lvlJc w:val="left"/>
      <w:pPr>
        <w:tabs>
          <w:tab w:val="num" w:pos="1965"/>
        </w:tabs>
        <w:ind w:left="1965" w:hanging="420"/>
      </w:pPr>
      <w:rPr>
        <w:rFonts w:ascii="Wingdings" w:hAnsi="Wingdings" w:hint="default"/>
      </w:rPr>
    </w:lvl>
    <w:lvl w:ilvl="3" w:tplc="04090001" w:tentative="1">
      <w:start w:val="1"/>
      <w:numFmt w:val="bullet"/>
      <w:lvlText w:val=""/>
      <w:lvlJc w:val="left"/>
      <w:pPr>
        <w:tabs>
          <w:tab w:val="num" w:pos="2385"/>
        </w:tabs>
        <w:ind w:left="2385" w:hanging="420"/>
      </w:pPr>
      <w:rPr>
        <w:rFonts w:ascii="Wingdings" w:hAnsi="Wingdings" w:hint="default"/>
      </w:rPr>
    </w:lvl>
    <w:lvl w:ilvl="4" w:tplc="04090003" w:tentative="1">
      <w:start w:val="1"/>
      <w:numFmt w:val="bullet"/>
      <w:lvlText w:val=""/>
      <w:lvlJc w:val="left"/>
      <w:pPr>
        <w:tabs>
          <w:tab w:val="num" w:pos="2805"/>
        </w:tabs>
        <w:ind w:left="2805" w:hanging="420"/>
      </w:pPr>
      <w:rPr>
        <w:rFonts w:ascii="Wingdings" w:hAnsi="Wingdings" w:hint="default"/>
      </w:rPr>
    </w:lvl>
    <w:lvl w:ilvl="5" w:tplc="04090005" w:tentative="1">
      <w:start w:val="1"/>
      <w:numFmt w:val="bullet"/>
      <w:lvlText w:val=""/>
      <w:lvlJc w:val="left"/>
      <w:pPr>
        <w:tabs>
          <w:tab w:val="num" w:pos="3225"/>
        </w:tabs>
        <w:ind w:left="3225" w:hanging="420"/>
      </w:pPr>
      <w:rPr>
        <w:rFonts w:ascii="Wingdings" w:hAnsi="Wingdings" w:hint="default"/>
      </w:rPr>
    </w:lvl>
    <w:lvl w:ilvl="6" w:tplc="04090001" w:tentative="1">
      <w:start w:val="1"/>
      <w:numFmt w:val="bullet"/>
      <w:lvlText w:val=""/>
      <w:lvlJc w:val="left"/>
      <w:pPr>
        <w:tabs>
          <w:tab w:val="num" w:pos="3645"/>
        </w:tabs>
        <w:ind w:left="3645" w:hanging="420"/>
      </w:pPr>
      <w:rPr>
        <w:rFonts w:ascii="Wingdings" w:hAnsi="Wingdings" w:hint="default"/>
      </w:rPr>
    </w:lvl>
    <w:lvl w:ilvl="7" w:tplc="04090003" w:tentative="1">
      <w:start w:val="1"/>
      <w:numFmt w:val="bullet"/>
      <w:lvlText w:val=""/>
      <w:lvlJc w:val="left"/>
      <w:pPr>
        <w:tabs>
          <w:tab w:val="num" w:pos="4065"/>
        </w:tabs>
        <w:ind w:left="4065" w:hanging="420"/>
      </w:pPr>
      <w:rPr>
        <w:rFonts w:ascii="Wingdings" w:hAnsi="Wingdings" w:hint="default"/>
      </w:rPr>
    </w:lvl>
    <w:lvl w:ilvl="8" w:tplc="04090005" w:tentative="1">
      <w:start w:val="1"/>
      <w:numFmt w:val="bullet"/>
      <w:lvlText w:val=""/>
      <w:lvlJc w:val="left"/>
      <w:pPr>
        <w:tabs>
          <w:tab w:val="num" w:pos="4485"/>
        </w:tabs>
        <w:ind w:left="4485" w:hanging="420"/>
      </w:pPr>
      <w:rPr>
        <w:rFonts w:ascii="Wingdings" w:hAnsi="Wingdings" w:hint="default"/>
      </w:rPr>
    </w:lvl>
  </w:abstractNum>
  <w:abstractNum w:abstractNumId="17" w15:restartNumberingAfterBreak="0">
    <w:nsid w:val="40AB147C"/>
    <w:multiLevelType w:val="hybridMultilevel"/>
    <w:tmpl w:val="1390EFC0"/>
    <w:lvl w:ilvl="0" w:tplc="04090005">
      <w:start w:val="1"/>
      <w:numFmt w:val="bullet"/>
      <w:lvlText w:val=""/>
      <w:lvlJc w:val="left"/>
      <w:pPr>
        <w:tabs>
          <w:tab w:val="num" w:pos="960"/>
        </w:tabs>
        <w:ind w:left="960" w:hanging="420"/>
      </w:pPr>
      <w:rPr>
        <w:rFonts w:ascii="Wingdings" w:hAnsi="Wingdings" w:hint="default"/>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18" w15:restartNumberingAfterBreak="0">
    <w:nsid w:val="42DC248E"/>
    <w:multiLevelType w:val="hybridMultilevel"/>
    <w:tmpl w:val="28B2B30E"/>
    <w:lvl w:ilvl="0" w:tplc="04090005">
      <w:start w:val="1"/>
      <w:numFmt w:val="bullet"/>
      <w:lvlText w:val=""/>
      <w:lvlJc w:val="left"/>
      <w:pPr>
        <w:tabs>
          <w:tab w:val="num" w:pos="960"/>
        </w:tabs>
        <w:ind w:left="960" w:hanging="420"/>
      </w:pPr>
      <w:rPr>
        <w:rFonts w:ascii="Wingdings" w:hAnsi="Wingdings" w:hint="default"/>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19" w15:restartNumberingAfterBreak="0">
    <w:nsid w:val="496B4CD6"/>
    <w:multiLevelType w:val="hybridMultilevel"/>
    <w:tmpl w:val="1A8E16A4"/>
    <w:lvl w:ilvl="0" w:tplc="4CC6DE8E">
      <w:start w:val="1"/>
      <w:numFmt w:val="decimal"/>
      <w:lvlText w:val="（%1）"/>
      <w:lvlJc w:val="left"/>
      <w:pPr>
        <w:tabs>
          <w:tab w:val="num" w:pos="1200"/>
        </w:tabs>
        <w:ind w:left="1200" w:hanging="720"/>
      </w:pPr>
      <w:rPr>
        <w:rFonts w:hint="eastAsia"/>
      </w:rPr>
    </w:lvl>
    <w:lvl w:ilvl="1" w:tplc="FAE6FE12">
      <w:start w:val="1"/>
      <w:numFmt w:val="decimalEnclosedCircle"/>
      <w:lvlText w:val="%2"/>
      <w:lvlJc w:val="left"/>
      <w:pPr>
        <w:tabs>
          <w:tab w:val="num" w:pos="1260"/>
        </w:tabs>
        <w:ind w:left="1260" w:hanging="36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15:restartNumberingAfterBreak="0">
    <w:nsid w:val="5AAD73FE"/>
    <w:multiLevelType w:val="hybridMultilevel"/>
    <w:tmpl w:val="34368D70"/>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E540BF1"/>
    <w:multiLevelType w:val="multilevel"/>
    <w:tmpl w:val="90DE31F2"/>
    <w:lvl w:ilvl="0">
      <w:start w:val="1"/>
      <w:numFmt w:val="bullet"/>
      <w:lvlText w:val=""/>
      <w:lvlJc w:val="left"/>
      <w:pPr>
        <w:tabs>
          <w:tab w:val="num" w:pos="420"/>
        </w:tabs>
        <w:ind w:left="340" w:hanging="34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2F21A7D"/>
    <w:multiLevelType w:val="hybridMultilevel"/>
    <w:tmpl w:val="CBB2E8A2"/>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4316BC5"/>
    <w:multiLevelType w:val="hybridMultilevel"/>
    <w:tmpl w:val="723E3CE6"/>
    <w:lvl w:ilvl="0" w:tplc="B6046C26">
      <w:start w:val="1"/>
      <w:numFmt w:val="decimalEnclosedCircle"/>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15:restartNumberingAfterBreak="0">
    <w:nsid w:val="65C80912"/>
    <w:multiLevelType w:val="hybridMultilevel"/>
    <w:tmpl w:val="8A1CE596"/>
    <w:lvl w:ilvl="0" w:tplc="8690AD50">
      <w:start w:val="1"/>
      <w:numFmt w:val="decimal"/>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67B254E2"/>
    <w:multiLevelType w:val="multilevel"/>
    <w:tmpl w:val="48E28DD6"/>
    <w:lvl w:ilvl="0">
      <w:start w:val="1"/>
      <w:numFmt w:val="decimal"/>
      <w:lvlText w:val="%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79AD2479"/>
    <w:multiLevelType w:val="hybridMultilevel"/>
    <w:tmpl w:val="A220417A"/>
    <w:lvl w:ilvl="0" w:tplc="ADE48076">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16cid:durableId="1090083031">
    <w:abstractNumId w:val="17"/>
  </w:num>
  <w:num w:numId="2" w16cid:durableId="1927297268">
    <w:abstractNumId w:val="18"/>
  </w:num>
  <w:num w:numId="3" w16cid:durableId="714503646">
    <w:abstractNumId w:val="7"/>
  </w:num>
  <w:num w:numId="4" w16cid:durableId="126893498">
    <w:abstractNumId w:val="1"/>
  </w:num>
  <w:num w:numId="5" w16cid:durableId="1102412638">
    <w:abstractNumId w:val="10"/>
  </w:num>
  <w:num w:numId="6" w16cid:durableId="606736660">
    <w:abstractNumId w:val="15"/>
  </w:num>
  <w:num w:numId="7" w16cid:durableId="1918132880">
    <w:abstractNumId w:val="16"/>
  </w:num>
  <w:num w:numId="8" w16cid:durableId="1944608578">
    <w:abstractNumId w:val="23"/>
  </w:num>
  <w:num w:numId="9" w16cid:durableId="990716632">
    <w:abstractNumId w:val="2"/>
  </w:num>
  <w:num w:numId="10" w16cid:durableId="1929148769">
    <w:abstractNumId w:val="0"/>
  </w:num>
  <w:num w:numId="11" w16cid:durableId="1245266808">
    <w:abstractNumId w:val="3"/>
  </w:num>
  <w:num w:numId="12" w16cid:durableId="260529457">
    <w:abstractNumId w:val="4"/>
  </w:num>
  <w:num w:numId="13" w16cid:durableId="1679964529">
    <w:abstractNumId w:val="11"/>
  </w:num>
  <w:num w:numId="14" w16cid:durableId="1877765870">
    <w:abstractNumId w:val="22"/>
  </w:num>
  <w:num w:numId="15" w16cid:durableId="2071265491">
    <w:abstractNumId w:val="8"/>
  </w:num>
  <w:num w:numId="16" w16cid:durableId="1443068213">
    <w:abstractNumId w:val="5"/>
  </w:num>
  <w:num w:numId="17" w16cid:durableId="695808517">
    <w:abstractNumId w:val="14"/>
  </w:num>
  <w:num w:numId="18" w16cid:durableId="633561788">
    <w:abstractNumId w:val="12"/>
  </w:num>
  <w:num w:numId="19" w16cid:durableId="2140612533">
    <w:abstractNumId w:val="21"/>
  </w:num>
  <w:num w:numId="20" w16cid:durableId="2066250135">
    <w:abstractNumId w:val="20"/>
  </w:num>
  <w:num w:numId="21" w16cid:durableId="1861358264">
    <w:abstractNumId w:val="6"/>
  </w:num>
  <w:num w:numId="22" w16cid:durableId="1309164758">
    <w:abstractNumId w:val="26"/>
  </w:num>
  <w:num w:numId="23" w16cid:durableId="67240000">
    <w:abstractNumId w:val="24"/>
  </w:num>
  <w:num w:numId="24" w16cid:durableId="1406412825">
    <w:abstractNumId w:val="19"/>
  </w:num>
  <w:num w:numId="25" w16cid:durableId="1909531416">
    <w:abstractNumId w:val="25"/>
  </w:num>
  <w:num w:numId="26" w16cid:durableId="378554332">
    <w:abstractNumId w:val="13"/>
  </w:num>
  <w:num w:numId="27" w16cid:durableId="2575224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995E2A"/>
    <w:rsid w:val="00995E2A"/>
    <w:rsid w:val="00A510C9"/>
    <w:rsid w:val="00C7398C"/>
    <w:rsid w:val="00F90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116"/>
    <o:shapelayout v:ext="edit">
      <o:idmap v:ext="edit" data="1"/>
      <o:rules v:ext="edit">
        <o:r id="V:Rule1" type="connector" idref="#_x0000_s1095">
          <o:proxy start="" idref="#_x0000_s1087" connectloc="2"/>
          <o:proxy end="" idref="#_x0000_s1089" connectloc="0"/>
        </o:r>
        <o:r id="V:Rule2" type="connector" idref="#_x0000_s1096">
          <o:proxy start="" idref="#_x0000_s1089" connectloc="0"/>
          <o:proxy end="" idref="#_x0000_s1088" connectloc="2"/>
        </o:r>
        <o:r id="V:Rule3" type="connector" idref="#_x0000_s1097">
          <o:proxy start="" idref="#_x0000_s1092" connectloc="0"/>
          <o:proxy end="" idref="#_x0000_s1090" connectloc="2"/>
        </o:r>
        <o:r id="V:Rule4" type="connector" idref="#_x0000_s1098">
          <o:proxy start="" idref="#_x0000_s1094" connectloc="0"/>
          <o:proxy end="" idref="#_x0000_s1091" connectloc="2"/>
        </o:r>
        <o:r id="V:Rule5" type="connector" idref="#_x0000_s1099">
          <o:proxy start="" idref="#_x0000_s1089" connectloc="2"/>
          <o:proxy end="" idref="#_x0000_s1093" connectloc="0"/>
        </o:r>
        <o:r id="V:Rule6" type="connector" idref="#_x0000_s1070">
          <o:proxy start="" idref="#_x0000_s1063" connectloc="2"/>
          <o:proxy end="" idref="#_x0000_s1064" connectloc="0"/>
        </o:r>
        <o:r id="V:Rule7" type="connector" idref="#_x0000_s1071">
          <o:proxy start="" idref="#_x0000_s1063" connectloc="2"/>
          <o:proxy end="" idref="#_x0000_s1065" connectloc="0"/>
        </o:r>
        <o:r id="V:Rule8" type="connector" idref="#_x0000_s1037">
          <o:proxy end="" idref="#_x0000_s1031" connectloc="0"/>
        </o:r>
        <o:r id="V:Rule9" type="connector" idref="#_x0000_s1038">
          <o:proxy end="" idref="#_x0000_s1032" connectloc="0"/>
        </o:r>
      </o:rules>
    </o:shapelayout>
  </w:shapeDefaults>
  <w:decimalSymbol w:val="."/>
  <w:listSeparator w:val=","/>
  <w14:docId w14:val="6FF813A2"/>
  <w15:chartTrackingRefBased/>
  <w15:docId w15:val="{30785B3A-B070-4FD4-A556-62A7EDB2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E2A"/>
    <w:pPr>
      <w:widowControl w:val="0"/>
      <w:spacing w:line="240" w:lineRule="auto"/>
    </w:pPr>
    <w:rPr>
      <w:rFonts w:ascii="Times New Roman" w:eastAsia="宋体" w:hAnsi="Times New Roman" w:cs="Times New Roman"/>
      <w:szCs w:val="24"/>
    </w:rPr>
  </w:style>
  <w:style w:type="paragraph" w:styleId="1">
    <w:name w:val="heading 1"/>
    <w:basedOn w:val="a"/>
    <w:next w:val="a"/>
    <w:link w:val="10"/>
    <w:qFormat/>
    <w:rsid w:val="00995E2A"/>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nhideWhenUsed/>
    <w:qFormat/>
    <w:rsid w:val="00995E2A"/>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nhideWhenUsed/>
    <w:qFormat/>
    <w:rsid w:val="00995E2A"/>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nhideWhenUsed/>
    <w:qFormat/>
    <w:rsid w:val="00995E2A"/>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nhideWhenUsed/>
    <w:qFormat/>
    <w:rsid w:val="00995E2A"/>
    <w:pPr>
      <w:keepNext/>
      <w:keepLines/>
      <w:spacing w:before="80" w:after="40"/>
      <w:outlineLvl w:val="4"/>
    </w:pPr>
    <w:rPr>
      <w:rFonts w:cstheme="majorBidi"/>
      <w:color w:val="365F91" w:themeColor="accent1" w:themeShade="BF"/>
      <w:sz w:val="24"/>
    </w:rPr>
  </w:style>
  <w:style w:type="paragraph" w:styleId="6">
    <w:name w:val="heading 6"/>
    <w:basedOn w:val="a"/>
    <w:next w:val="a"/>
    <w:link w:val="60"/>
    <w:uiPriority w:val="9"/>
    <w:semiHidden/>
    <w:unhideWhenUsed/>
    <w:qFormat/>
    <w:rsid w:val="00995E2A"/>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995E2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5E2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95E2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标题 1 字符"/>
    <w:basedOn w:val="a0"/>
    <w:link w:val="1"/>
    <w:rsid w:val="00995E2A"/>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semiHidden/>
    <w:rsid w:val="00995E2A"/>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semiHidden/>
    <w:rsid w:val="00995E2A"/>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rsid w:val="00995E2A"/>
    <w:rPr>
      <w:rFonts w:cstheme="majorBidi"/>
      <w:color w:val="365F91" w:themeColor="accent1" w:themeShade="BF"/>
      <w:sz w:val="28"/>
      <w:szCs w:val="28"/>
    </w:rPr>
  </w:style>
  <w:style w:type="character" w:customStyle="1" w:styleId="50">
    <w:name w:val="标题 5 字符"/>
    <w:basedOn w:val="a0"/>
    <w:link w:val="5"/>
    <w:rsid w:val="00995E2A"/>
    <w:rPr>
      <w:rFonts w:cstheme="majorBidi"/>
      <w:color w:val="365F91" w:themeColor="accent1" w:themeShade="BF"/>
      <w:sz w:val="24"/>
      <w:szCs w:val="24"/>
    </w:rPr>
  </w:style>
  <w:style w:type="character" w:customStyle="1" w:styleId="60">
    <w:name w:val="标题 6 字符"/>
    <w:basedOn w:val="a0"/>
    <w:link w:val="6"/>
    <w:uiPriority w:val="9"/>
    <w:semiHidden/>
    <w:rsid w:val="00995E2A"/>
    <w:rPr>
      <w:rFonts w:cstheme="majorBidi"/>
      <w:b/>
      <w:bCs/>
      <w:color w:val="365F91" w:themeColor="accent1" w:themeShade="BF"/>
    </w:rPr>
  </w:style>
  <w:style w:type="character" w:customStyle="1" w:styleId="70">
    <w:name w:val="标题 7 字符"/>
    <w:basedOn w:val="a0"/>
    <w:link w:val="7"/>
    <w:uiPriority w:val="9"/>
    <w:semiHidden/>
    <w:rsid w:val="00995E2A"/>
    <w:rPr>
      <w:rFonts w:cstheme="majorBidi"/>
      <w:b/>
      <w:bCs/>
      <w:color w:val="595959" w:themeColor="text1" w:themeTint="A6"/>
    </w:rPr>
  </w:style>
  <w:style w:type="character" w:customStyle="1" w:styleId="80">
    <w:name w:val="标题 8 字符"/>
    <w:basedOn w:val="a0"/>
    <w:link w:val="8"/>
    <w:uiPriority w:val="9"/>
    <w:semiHidden/>
    <w:rsid w:val="00995E2A"/>
    <w:rPr>
      <w:rFonts w:cstheme="majorBidi"/>
      <w:color w:val="595959" w:themeColor="text1" w:themeTint="A6"/>
    </w:rPr>
  </w:style>
  <w:style w:type="character" w:customStyle="1" w:styleId="90">
    <w:name w:val="标题 9 字符"/>
    <w:basedOn w:val="a0"/>
    <w:link w:val="9"/>
    <w:uiPriority w:val="9"/>
    <w:semiHidden/>
    <w:rsid w:val="00995E2A"/>
    <w:rPr>
      <w:rFonts w:eastAsiaTheme="majorEastAsia" w:cstheme="majorBidi"/>
      <w:color w:val="595959" w:themeColor="text1" w:themeTint="A6"/>
    </w:rPr>
  </w:style>
  <w:style w:type="paragraph" w:styleId="a3">
    <w:name w:val="Title"/>
    <w:basedOn w:val="a"/>
    <w:next w:val="a"/>
    <w:link w:val="a4"/>
    <w:uiPriority w:val="10"/>
    <w:qFormat/>
    <w:rsid w:val="00995E2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5E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5E2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5E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5E2A"/>
    <w:pPr>
      <w:spacing w:before="160" w:after="160"/>
      <w:jc w:val="center"/>
    </w:pPr>
    <w:rPr>
      <w:i/>
      <w:iCs/>
      <w:color w:val="404040" w:themeColor="text1" w:themeTint="BF"/>
    </w:rPr>
  </w:style>
  <w:style w:type="character" w:customStyle="1" w:styleId="a8">
    <w:name w:val="引用 字符"/>
    <w:basedOn w:val="a0"/>
    <w:link w:val="a7"/>
    <w:uiPriority w:val="29"/>
    <w:rsid w:val="00995E2A"/>
    <w:rPr>
      <w:i/>
      <w:iCs/>
      <w:color w:val="404040" w:themeColor="text1" w:themeTint="BF"/>
    </w:rPr>
  </w:style>
  <w:style w:type="paragraph" w:styleId="a9">
    <w:name w:val="List Paragraph"/>
    <w:basedOn w:val="a"/>
    <w:uiPriority w:val="34"/>
    <w:qFormat/>
    <w:rsid w:val="00995E2A"/>
    <w:pPr>
      <w:ind w:left="720"/>
      <w:contextualSpacing/>
    </w:pPr>
  </w:style>
  <w:style w:type="character" w:styleId="aa">
    <w:name w:val="Intense Emphasis"/>
    <w:basedOn w:val="a0"/>
    <w:uiPriority w:val="21"/>
    <w:qFormat/>
    <w:rsid w:val="00995E2A"/>
    <w:rPr>
      <w:i/>
      <w:iCs/>
      <w:color w:val="365F91" w:themeColor="accent1" w:themeShade="BF"/>
    </w:rPr>
  </w:style>
  <w:style w:type="paragraph" w:styleId="ab">
    <w:name w:val="Intense Quote"/>
    <w:basedOn w:val="a"/>
    <w:next w:val="a"/>
    <w:link w:val="ac"/>
    <w:uiPriority w:val="30"/>
    <w:qFormat/>
    <w:rsid w:val="00995E2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995E2A"/>
    <w:rPr>
      <w:i/>
      <w:iCs/>
      <w:color w:val="365F91" w:themeColor="accent1" w:themeShade="BF"/>
    </w:rPr>
  </w:style>
  <w:style w:type="character" w:styleId="ad">
    <w:name w:val="Intense Reference"/>
    <w:basedOn w:val="a0"/>
    <w:uiPriority w:val="32"/>
    <w:qFormat/>
    <w:rsid w:val="00995E2A"/>
    <w:rPr>
      <w:b/>
      <w:bCs/>
      <w:smallCaps/>
      <w:color w:val="365F91" w:themeColor="accent1" w:themeShade="BF"/>
      <w:spacing w:val="5"/>
    </w:rPr>
  </w:style>
  <w:style w:type="character" w:customStyle="1" w:styleId="1Char">
    <w:name w:val="标题 1 Char"/>
    <w:rsid w:val="00995E2A"/>
    <w:rPr>
      <w:b/>
      <w:bCs/>
      <w:kern w:val="44"/>
      <w:sz w:val="44"/>
      <w:szCs w:val="44"/>
    </w:rPr>
  </w:style>
  <w:style w:type="paragraph" w:customStyle="1" w:styleId="ParaCharCharCharCharCharCharChar">
    <w:name w:val="默认段落字体 Para Char Char Char Char Char Char Char"/>
    <w:basedOn w:val="a"/>
    <w:rsid w:val="00995E2A"/>
    <w:pPr>
      <w:tabs>
        <w:tab w:val="left" w:pos="4665"/>
        <w:tab w:val="left" w:pos="8970"/>
      </w:tabs>
      <w:ind w:firstLine="400"/>
    </w:pPr>
    <w:rPr>
      <w:szCs w:val="20"/>
    </w:rPr>
  </w:style>
  <w:style w:type="character" w:customStyle="1" w:styleId="2Char">
    <w:name w:val="标题 2 Char"/>
    <w:rsid w:val="00995E2A"/>
    <w:rPr>
      <w:rFonts w:ascii="Arial" w:eastAsia="黑体" w:hAnsi="Arial"/>
      <w:b/>
      <w:bCs/>
      <w:kern w:val="2"/>
      <w:sz w:val="32"/>
      <w:szCs w:val="32"/>
    </w:rPr>
  </w:style>
  <w:style w:type="character" w:customStyle="1" w:styleId="3Char">
    <w:name w:val="标题 3 Char"/>
    <w:rsid w:val="00995E2A"/>
    <w:rPr>
      <w:b/>
      <w:bCs/>
      <w:kern w:val="2"/>
      <w:sz w:val="32"/>
      <w:szCs w:val="32"/>
    </w:rPr>
  </w:style>
  <w:style w:type="paragraph" w:customStyle="1" w:styleId="CharCharCharChar">
    <w:name w:val=" Char Char Char Char"/>
    <w:basedOn w:val="a"/>
    <w:rsid w:val="00995E2A"/>
    <w:pPr>
      <w:tabs>
        <w:tab w:val="left" w:pos="360"/>
      </w:tabs>
    </w:pPr>
    <w:rPr>
      <w:szCs w:val="20"/>
    </w:rPr>
  </w:style>
  <w:style w:type="paragraph" w:styleId="ae">
    <w:name w:val="Normal (Web)"/>
    <w:basedOn w:val="a"/>
    <w:rsid w:val="00995E2A"/>
    <w:pPr>
      <w:widowControl/>
      <w:spacing w:before="100" w:beforeAutospacing="1" w:after="100" w:afterAutospacing="1"/>
      <w:jc w:val="left"/>
    </w:pPr>
    <w:rPr>
      <w:rFonts w:ascii="宋体" w:hAnsi="宋体" w:cs="宋体"/>
      <w:kern w:val="0"/>
      <w:sz w:val="24"/>
    </w:rPr>
  </w:style>
  <w:style w:type="character" w:customStyle="1" w:styleId="txtcontent11">
    <w:name w:val="txtcontent11"/>
    <w:rsid w:val="00995E2A"/>
    <w:rPr>
      <w:rFonts w:ascii="ˎ̥" w:hAnsi="ˎ̥" w:hint="default"/>
      <w:b w:val="0"/>
      <w:bCs w:val="0"/>
      <w:color w:val="000000"/>
      <w:sz w:val="21"/>
      <w:szCs w:val="21"/>
    </w:rPr>
  </w:style>
  <w:style w:type="character" w:styleId="af">
    <w:name w:val="annotation reference"/>
    <w:semiHidden/>
    <w:rsid w:val="00995E2A"/>
    <w:rPr>
      <w:sz w:val="21"/>
      <w:szCs w:val="21"/>
    </w:rPr>
  </w:style>
  <w:style w:type="paragraph" w:styleId="af0">
    <w:name w:val="annotation text"/>
    <w:basedOn w:val="a"/>
    <w:link w:val="af1"/>
    <w:semiHidden/>
    <w:rsid w:val="00995E2A"/>
    <w:pPr>
      <w:jc w:val="left"/>
    </w:pPr>
  </w:style>
  <w:style w:type="character" w:customStyle="1" w:styleId="af1">
    <w:name w:val="批注文字 字符"/>
    <w:basedOn w:val="a0"/>
    <w:link w:val="af0"/>
    <w:semiHidden/>
    <w:rsid w:val="00995E2A"/>
    <w:rPr>
      <w:rFonts w:ascii="Times New Roman" w:eastAsia="宋体" w:hAnsi="Times New Roman" w:cs="Times New Roman"/>
      <w:szCs w:val="24"/>
    </w:rPr>
  </w:style>
  <w:style w:type="paragraph" w:styleId="af2">
    <w:name w:val="annotation subject"/>
    <w:basedOn w:val="af0"/>
    <w:next w:val="af0"/>
    <w:link w:val="af3"/>
    <w:semiHidden/>
    <w:rsid w:val="00995E2A"/>
    <w:rPr>
      <w:b/>
      <w:bCs/>
    </w:rPr>
  </w:style>
  <w:style w:type="character" w:customStyle="1" w:styleId="af3">
    <w:name w:val="批注主题 字符"/>
    <w:basedOn w:val="af1"/>
    <w:link w:val="af2"/>
    <w:semiHidden/>
    <w:rsid w:val="00995E2A"/>
    <w:rPr>
      <w:rFonts w:ascii="Times New Roman" w:eastAsia="宋体" w:hAnsi="Times New Roman" w:cs="Times New Roman"/>
      <w:b/>
      <w:bCs/>
      <w:szCs w:val="24"/>
    </w:rPr>
  </w:style>
  <w:style w:type="paragraph" w:styleId="af4">
    <w:name w:val="Balloon Text"/>
    <w:basedOn w:val="a"/>
    <w:link w:val="Char"/>
    <w:semiHidden/>
    <w:rsid w:val="00995E2A"/>
    <w:rPr>
      <w:sz w:val="18"/>
      <w:szCs w:val="18"/>
    </w:rPr>
  </w:style>
  <w:style w:type="character" w:customStyle="1" w:styleId="af5">
    <w:name w:val="批注框文本 字符"/>
    <w:basedOn w:val="a0"/>
    <w:semiHidden/>
    <w:rsid w:val="00995E2A"/>
    <w:rPr>
      <w:rFonts w:ascii="Times New Roman" w:eastAsia="宋体" w:hAnsi="Times New Roman" w:cs="Times New Roman"/>
      <w:sz w:val="18"/>
      <w:szCs w:val="18"/>
    </w:rPr>
  </w:style>
  <w:style w:type="character" w:customStyle="1" w:styleId="Char">
    <w:name w:val="批注框文本 Char"/>
    <w:link w:val="af4"/>
    <w:semiHidden/>
    <w:rsid w:val="00995E2A"/>
    <w:rPr>
      <w:rFonts w:ascii="Times New Roman" w:eastAsia="宋体" w:hAnsi="Times New Roman" w:cs="Times New Roman"/>
      <w:sz w:val="18"/>
      <w:szCs w:val="18"/>
    </w:rPr>
  </w:style>
  <w:style w:type="paragraph" w:styleId="af6">
    <w:name w:val="footnote text"/>
    <w:basedOn w:val="a"/>
    <w:link w:val="Char0"/>
    <w:semiHidden/>
    <w:rsid w:val="00995E2A"/>
    <w:pPr>
      <w:snapToGrid w:val="0"/>
      <w:jc w:val="left"/>
    </w:pPr>
    <w:rPr>
      <w:sz w:val="18"/>
      <w:szCs w:val="18"/>
    </w:rPr>
  </w:style>
  <w:style w:type="character" w:customStyle="1" w:styleId="af7">
    <w:name w:val="脚注文本 字符"/>
    <w:basedOn w:val="a0"/>
    <w:semiHidden/>
    <w:rsid w:val="00995E2A"/>
    <w:rPr>
      <w:rFonts w:ascii="Times New Roman" w:eastAsia="宋体" w:hAnsi="Times New Roman" w:cs="Times New Roman"/>
      <w:sz w:val="18"/>
      <w:szCs w:val="18"/>
    </w:rPr>
  </w:style>
  <w:style w:type="character" w:customStyle="1" w:styleId="Char0">
    <w:name w:val="脚注文本 Char"/>
    <w:link w:val="af6"/>
    <w:semiHidden/>
    <w:rsid w:val="00995E2A"/>
    <w:rPr>
      <w:rFonts w:ascii="Times New Roman" w:eastAsia="宋体" w:hAnsi="Times New Roman" w:cs="Times New Roman"/>
      <w:sz w:val="18"/>
      <w:szCs w:val="18"/>
    </w:rPr>
  </w:style>
  <w:style w:type="character" w:styleId="af8">
    <w:name w:val="footnote reference"/>
    <w:semiHidden/>
    <w:rsid w:val="00995E2A"/>
    <w:rPr>
      <w:vertAlign w:val="superscript"/>
    </w:rPr>
  </w:style>
  <w:style w:type="paragraph" w:customStyle="1" w:styleId="11">
    <w:name w:val="样式1"/>
    <w:basedOn w:val="af6"/>
    <w:link w:val="1Char0"/>
    <w:rsid w:val="00995E2A"/>
    <w:rPr>
      <w:rFonts w:ascii="楷体" w:eastAsia="楷体" w:hAnsi="楷体"/>
      <w:sz w:val="21"/>
    </w:rPr>
  </w:style>
  <w:style w:type="character" w:customStyle="1" w:styleId="1Char0">
    <w:name w:val="样式1 Char"/>
    <w:link w:val="11"/>
    <w:rsid w:val="00995E2A"/>
    <w:rPr>
      <w:rFonts w:ascii="楷体" w:eastAsia="楷体" w:hAnsi="楷体" w:cs="Times New Roman"/>
      <w:szCs w:val="18"/>
    </w:rPr>
  </w:style>
  <w:style w:type="paragraph" w:styleId="af9">
    <w:name w:val="header"/>
    <w:basedOn w:val="a"/>
    <w:link w:val="Char1"/>
    <w:rsid w:val="00995E2A"/>
    <w:pPr>
      <w:pBdr>
        <w:bottom w:val="single" w:sz="6" w:space="1" w:color="auto"/>
      </w:pBdr>
      <w:tabs>
        <w:tab w:val="center" w:pos="4153"/>
        <w:tab w:val="right" w:pos="8306"/>
      </w:tabs>
      <w:snapToGrid w:val="0"/>
      <w:jc w:val="center"/>
    </w:pPr>
    <w:rPr>
      <w:sz w:val="18"/>
      <w:szCs w:val="18"/>
    </w:rPr>
  </w:style>
  <w:style w:type="character" w:customStyle="1" w:styleId="afa">
    <w:name w:val="页眉 字符"/>
    <w:basedOn w:val="a0"/>
    <w:semiHidden/>
    <w:rsid w:val="00995E2A"/>
    <w:rPr>
      <w:rFonts w:ascii="Times New Roman" w:eastAsia="宋体" w:hAnsi="Times New Roman" w:cs="Times New Roman"/>
      <w:sz w:val="18"/>
      <w:szCs w:val="18"/>
    </w:rPr>
  </w:style>
  <w:style w:type="character" w:customStyle="1" w:styleId="Char1">
    <w:name w:val="页眉 Char"/>
    <w:link w:val="af9"/>
    <w:rsid w:val="00995E2A"/>
    <w:rPr>
      <w:rFonts w:ascii="Times New Roman" w:eastAsia="宋体" w:hAnsi="Times New Roman" w:cs="Times New Roman"/>
      <w:sz w:val="18"/>
      <w:szCs w:val="18"/>
    </w:rPr>
  </w:style>
  <w:style w:type="character" w:styleId="afb">
    <w:name w:val="Strong"/>
    <w:qFormat/>
    <w:rsid w:val="00995E2A"/>
    <w:rPr>
      <w:b/>
      <w:bCs/>
    </w:rPr>
  </w:style>
  <w:style w:type="table" w:styleId="afc">
    <w:name w:val="Table Contemporary"/>
    <w:basedOn w:val="a1"/>
    <w:rsid w:val="00995E2A"/>
    <w:pPr>
      <w:widowControl w:val="0"/>
      <w:spacing w:line="240" w:lineRule="auto"/>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fd">
    <w:name w:val="Emphasis"/>
    <w:qFormat/>
    <w:rsid w:val="00995E2A"/>
    <w:rPr>
      <w:b w:val="0"/>
      <w:bCs w:val="0"/>
      <w:i w:val="0"/>
      <w:iCs w:val="0"/>
      <w:color w:val="CC0033"/>
    </w:rPr>
  </w:style>
  <w:style w:type="character" w:customStyle="1" w:styleId="maintdbg760">
    <w:name w:val="main_tdbg_760"/>
    <w:basedOn w:val="a0"/>
    <w:rsid w:val="00995E2A"/>
  </w:style>
  <w:style w:type="paragraph" w:customStyle="1" w:styleId="41">
    <w:name w:val="标题4"/>
    <w:basedOn w:val="ae"/>
    <w:rsid w:val="00995E2A"/>
    <w:pPr>
      <w:spacing w:before="0" w:beforeAutospacing="0" w:after="0" w:afterAutospacing="0" w:line="360" w:lineRule="auto"/>
      <w:jc w:val="both"/>
    </w:pPr>
    <w:rPr>
      <w:rFonts w:ascii="Times New Roman" w:cs="Times New Roman"/>
      <w:b/>
      <w:sz w:val="21"/>
      <w:szCs w:val="21"/>
    </w:rPr>
  </w:style>
  <w:style w:type="paragraph" w:styleId="21">
    <w:name w:val="Body Text Indent 2"/>
    <w:basedOn w:val="a"/>
    <w:link w:val="22"/>
    <w:rsid w:val="00995E2A"/>
    <w:pPr>
      <w:spacing w:line="360" w:lineRule="auto"/>
      <w:ind w:firstLineChars="183" w:firstLine="439"/>
    </w:pPr>
    <w:rPr>
      <w:rFonts w:ascii="宋体" w:hAnsi="宋体"/>
      <w:sz w:val="24"/>
    </w:rPr>
  </w:style>
  <w:style w:type="character" w:customStyle="1" w:styleId="22">
    <w:name w:val="正文文本缩进 2 字符"/>
    <w:basedOn w:val="a0"/>
    <w:link w:val="21"/>
    <w:rsid w:val="00995E2A"/>
    <w:rPr>
      <w:rFonts w:ascii="宋体" w:eastAsia="宋体" w:hAnsi="宋体" w:cs="Times New Roman"/>
      <w:sz w:val="24"/>
      <w:szCs w:val="24"/>
    </w:rPr>
  </w:style>
  <w:style w:type="paragraph" w:customStyle="1" w:styleId="abc">
    <w:name w:val="abc"/>
    <w:basedOn w:val="a"/>
    <w:rsid w:val="00995E2A"/>
    <w:pPr>
      <w:widowControl/>
      <w:spacing w:before="100" w:beforeAutospacing="1" w:after="100" w:afterAutospacing="1"/>
      <w:jc w:val="left"/>
    </w:pPr>
    <w:rPr>
      <w:rFonts w:ascii="宋体" w:hAnsi="宋体"/>
      <w:kern w:val="0"/>
      <w:sz w:val="24"/>
    </w:rPr>
  </w:style>
  <w:style w:type="paragraph" w:customStyle="1" w:styleId="123">
    <w:name w:val="123"/>
    <w:basedOn w:val="a"/>
    <w:rsid w:val="00995E2A"/>
    <w:pPr>
      <w:tabs>
        <w:tab w:val="num" w:pos="1190"/>
        <w:tab w:val="num" w:pos="1260"/>
      </w:tabs>
      <w:overflowPunct w:val="0"/>
      <w:spacing w:before="50" w:line="300" w:lineRule="auto"/>
      <w:ind w:left="1260" w:hanging="720"/>
    </w:pPr>
    <w:rPr>
      <w:rFonts w:ascii="宋体" w:hAnsi="宋体" w:hint="eastAsia"/>
      <w:szCs w:val="21"/>
    </w:rPr>
  </w:style>
  <w:style w:type="table" w:styleId="23">
    <w:name w:val="Table Colorful 2"/>
    <w:basedOn w:val="a1"/>
    <w:rsid w:val="00995E2A"/>
    <w:pPr>
      <w:widowControl w:val="0"/>
      <w:spacing w:line="240" w:lineRule="auto"/>
    </w:pPr>
    <w:rPr>
      <w:rFonts w:ascii="Times New Roman" w:eastAsia="宋体" w:hAnsi="Times New Roman"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afe">
    <w:name w:val="footer"/>
    <w:basedOn w:val="a"/>
    <w:link w:val="Char2"/>
    <w:rsid w:val="00995E2A"/>
    <w:pPr>
      <w:tabs>
        <w:tab w:val="center" w:pos="4153"/>
        <w:tab w:val="right" w:pos="8306"/>
      </w:tabs>
      <w:snapToGrid w:val="0"/>
      <w:jc w:val="left"/>
    </w:pPr>
    <w:rPr>
      <w:sz w:val="18"/>
      <w:szCs w:val="18"/>
    </w:rPr>
  </w:style>
  <w:style w:type="character" w:customStyle="1" w:styleId="aff">
    <w:name w:val="页脚 字符"/>
    <w:basedOn w:val="a0"/>
    <w:semiHidden/>
    <w:rsid w:val="00995E2A"/>
    <w:rPr>
      <w:rFonts w:ascii="Times New Roman" w:eastAsia="宋体" w:hAnsi="Times New Roman" w:cs="Times New Roman"/>
      <w:sz w:val="18"/>
      <w:szCs w:val="18"/>
    </w:rPr>
  </w:style>
  <w:style w:type="character" w:customStyle="1" w:styleId="Char2">
    <w:name w:val="页脚 Char"/>
    <w:link w:val="afe"/>
    <w:rsid w:val="00995E2A"/>
    <w:rPr>
      <w:rFonts w:ascii="Times New Roman" w:eastAsia="宋体" w:hAnsi="Times New Roman" w:cs="Times New Roman"/>
      <w:sz w:val="18"/>
      <w:szCs w:val="18"/>
    </w:rPr>
  </w:style>
  <w:style w:type="paragraph" w:styleId="aff0">
    <w:basedOn w:val="a"/>
    <w:next w:val="a9"/>
    <w:qFormat/>
    <w:rsid w:val="00995E2A"/>
    <w:pPr>
      <w:ind w:firstLineChars="200" w:firstLine="420"/>
    </w:pPr>
    <w:rPr>
      <w:rFonts w:ascii="Calibri" w:hAnsi="Calibri"/>
      <w:szCs w:val="22"/>
    </w:rPr>
  </w:style>
  <w:style w:type="paragraph" w:styleId="aff1">
    <w:name w:val="caption"/>
    <w:basedOn w:val="a"/>
    <w:next w:val="a"/>
    <w:qFormat/>
    <w:rsid w:val="00995E2A"/>
    <w:rPr>
      <w:rFonts w:ascii="Arial" w:eastAsia="黑体" w:hAnsi="Arial" w:cs="Arial"/>
      <w:sz w:val="20"/>
      <w:szCs w:val="20"/>
    </w:rPr>
  </w:style>
  <w:style w:type="paragraph" w:customStyle="1" w:styleId="Char3">
    <w:name w:val=" Char"/>
    <w:basedOn w:val="a"/>
    <w:rsid w:val="00995E2A"/>
    <w:rPr>
      <w:rFonts w:ascii="Tahoma" w:hAnsi="Tahoma"/>
      <w:sz w:val="24"/>
      <w:szCs w:val="20"/>
    </w:rPr>
  </w:style>
  <w:style w:type="character" w:customStyle="1" w:styleId="bd2">
    <w:name w:val="bd2"/>
    <w:basedOn w:val="a0"/>
    <w:rsid w:val="00995E2A"/>
  </w:style>
  <w:style w:type="character" w:customStyle="1" w:styleId="articlelink">
    <w:name w:val="articlelink"/>
    <w:basedOn w:val="a0"/>
    <w:rsid w:val="00995E2A"/>
  </w:style>
  <w:style w:type="paragraph" w:customStyle="1" w:styleId="Default">
    <w:name w:val="Default"/>
    <w:rsid w:val="00995E2A"/>
    <w:pPr>
      <w:widowControl w:val="0"/>
      <w:autoSpaceDE w:val="0"/>
      <w:autoSpaceDN w:val="0"/>
      <w:adjustRightInd w:val="0"/>
      <w:spacing w:line="240" w:lineRule="auto"/>
      <w:jc w:val="left"/>
    </w:pPr>
    <w:rPr>
      <w:rFonts w:ascii="Arial" w:eastAsia="宋体" w:hAnsi="Arial" w:cs="Arial"/>
      <w:color w:val="000000"/>
      <w:kern w:val="0"/>
      <w:sz w:val="24"/>
      <w:szCs w:val="24"/>
    </w:rPr>
  </w:style>
  <w:style w:type="character" w:customStyle="1" w:styleId="apple-style-span">
    <w:name w:val="apple-style-span"/>
    <w:basedOn w:val="a0"/>
    <w:rsid w:val="00995E2A"/>
  </w:style>
  <w:style w:type="paragraph" w:customStyle="1" w:styleId="aff2">
    <w:name w:val="바탕글"/>
    <w:rsid w:val="00995E2A"/>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pPr>
    <w:rPr>
      <w:rFonts w:ascii="Batang" w:eastAsia="Batang" w:hAnsi="Times New Roman" w:cs="Times New Roman"/>
      <w:color w:val="000000"/>
      <w:kern w:val="0"/>
      <w:sz w:val="20"/>
      <w:szCs w:val="20"/>
      <w:lang w:eastAsia="ko-KR"/>
    </w:rPr>
  </w:style>
  <w:style w:type="character" w:customStyle="1" w:styleId="aff3">
    <w:name w:val="a"/>
    <w:basedOn w:val="a0"/>
    <w:rsid w:val="00995E2A"/>
  </w:style>
  <w:style w:type="character" w:styleId="aff4">
    <w:name w:val="Hyperlink"/>
    <w:rsid w:val="00995E2A"/>
    <w:rPr>
      <w:color w:val="0000FF"/>
      <w:u w:val="single"/>
    </w:rPr>
  </w:style>
  <w:style w:type="character" w:styleId="aff5">
    <w:name w:val="endnote reference"/>
    <w:basedOn w:val="a0"/>
    <w:rsid w:val="00995E2A"/>
  </w:style>
  <w:style w:type="character" w:styleId="aff6">
    <w:name w:val="page number"/>
    <w:basedOn w:val="a0"/>
    <w:rsid w:val="00995E2A"/>
  </w:style>
  <w:style w:type="paragraph" w:styleId="aff7">
    <w:name w:val="Body Text Indent"/>
    <w:basedOn w:val="a"/>
    <w:link w:val="aff8"/>
    <w:rsid w:val="00995E2A"/>
    <w:pPr>
      <w:spacing w:after="120"/>
      <w:ind w:leftChars="200" w:left="420"/>
    </w:pPr>
  </w:style>
  <w:style w:type="character" w:customStyle="1" w:styleId="aff8">
    <w:name w:val="正文文本缩进 字符"/>
    <w:basedOn w:val="a0"/>
    <w:link w:val="aff7"/>
    <w:rsid w:val="00995E2A"/>
    <w:rPr>
      <w:rFonts w:ascii="Times New Roman" w:eastAsia="宋体" w:hAnsi="Times New Roman" w:cs="Times New Roman"/>
      <w:szCs w:val="24"/>
    </w:rPr>
  </w:style>
  <w:style w:type="paragraph" w:styleId="aff9">
    <w:name w:val="Body Text"/>
    <w:basedOn w:val="a"/>
    <w:link w:val="affa"/>
    <w:rsid w:val="00995E2A"/>
    <w:pPr>
      <w:spacing w:after="120"/>
    </w:pPr>
  </w:style>
  <w:style w:type="character" w:customStyle="1" w:styleId="affa">
    <w:name w:val="正文文本 字符"/>
    <w:basedOn w:val="a0"/>
    <w:link w:val="aff9"/>
    <w:rsid w:val="00995E2A"/>
    <w:rPr>
      <w:rFonts w:ascii="Times New Roman" w:eastAsia="宋体" w:hAnsi="Times New Roman" w:cs="Times New Roman"/>
      <w:szCs w:val="24"/>
    </w:rPr>
  </w:style>
  <w:style w:type="table" w:styleId="affb">
    <w:name w:val="Table Grid"/>
    <w:basedOn w:val="a1"/>
    <w:rsid w:val="00995E2A"/>
    <w:pPr>
      <w:widowControl w:val="0"/>
      <w:spacing w:line="240" w:lineRule="auto"/>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bodycopy1">
    <w:name w:val="txtbodycopy1"/>
    <w:rsid w:val="00995E2A"/>
    <w:rPr>
      <w:rFonts w:ascii="Verdana" w:hAnsi="Verdana" w:hint="default"/>
      <w:color w:val="333333"/>
      <w:sz w:val="17"/>
      <w:szCs w:val="17"/>
    </w:rPr>
  </w:style>
  <w:style w:type="table" w:styleId="affc">
    <w:name w:val="Table Theme"/>
    <w:basedOn w:val="a1"/>
    <w:rsid w:val="00995E2A"/>
    <w:pPr>
      <w:widowControl w:val="0"/>
      <w:spacing w:line="240" w:lineRule="auto"/>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table of figures"/>
    <w:basedOn w:val="a"/>
    <w:next w:val="a"/>
    <w:semiHidden/>
    <w:rsid w:val="00995E2A"/>
    <w:pPr>
      <w:ind w:leftChars="200" w:hangingChars="200" w:hanging="200"/>
    </w:pPr>
  </w:style>
  <w:style w:type="table" w:customStyle="1" w:styleId="affe">
    <w:name w:val="三线表"/>
    <w:basedOn w:val="affc"/>
    <w:rsid w:val="00995E2A"/>
    <w:tblPr>
      <w:tblBorders>
        <w:left w:val="none" w:sz="0" w:space="0" w:color="auto"/>
        <w:right w:val="none" w:sz="0" w:space="0" w:color="auto"/>
        <w:insideH w:val="none" w:sz="0" w:space="0" w:color="auto"/>
        <w:insideV w:val="none" w:sz="0" w:space="0" w:color="auto"/>
      </w:tblBorders>
    </w:tblPr>
    <w:tblStylePr w:type="firstRow">
      <w:tblPr/>
      <w:tcPr>
        <w:tcBorders>
          <w:bottom w:val="nil"/>
        </w:tcBorders>
      </w:tcPr>
    </w:tblStylePr>
  </w:style>
  <w:style w:type="character" w:customStyle="1" w:styleId="hei11">
    <w:name w:val="hei_11"/>
    <w:rsid w:val="00995E2A"/>
    <w:rPr>
      <w:rFonts w:ascii="ˎ̥" w:hAnsi="ˎ̥" w:hint="default"/>
      <w:b w:val="0"/>
      <w:bCs w:val="0"/>
      <w:color w:val="000000"/>
      <w:sz w:val="18"/>
      <w:szCs w:val="18"/>
    </w:rPr>
  </w:style>
  <w:style w:type="paragraph" w:customStyle="1" w:styleId="CharCharCharCharCharCharChar">
    <w:name w:val=" Char Char Char Char Char Char Char"/>
    <w:basedOn w:val="a"/>
    <w:autoRedefine/>
    <w:rsid w:val="00995E2A"/>
    <w:pPr>
      <w:tabs>
        <w:tab w:val="num" w:pos="360"/>
      </w:tabs>
    </w:pPr>
    <w:rPr>
      <w:sz w:val="24"/>
    </w:rPr>
  </w:style>
  <w:style w:type="paragraph" w:styleId="HTML">
    <w:name w:val="HTML Preformatted"/>
    <w:basedOn w:val="a"/>
    <w:link w:val="HTML0"/>
    <w:rsid w:val="00995E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0">
    <w:name w:val="HTML 预设格式 字符"/>
    <w:basedOn w:val="a0"/>
    <w:link w:val="HTML"/>
    <w:rsid w:val="00995E2A"/>
    <w:rPr>
      <w:rFonts w:ascii="Arial" w:eastAsia="宋体" w:hAnsi="Arial" w:cs="Arial"/>
      <w:kern w:val="0"/>
      <w:szCs w:val="21"/>
    </w:rPr>
  </w:style>
  <w:style w:type="paragraph" w:styleId="afff">
    <w:name w:val="Date"/>
    <w:basedOn w:val="a"/>
    <w:next w:val="a"/>
    <w:link w:val="afff0"/>
    <w:rsid w:val="00995E2A"/>
    <w:pPr>
      <w:ind w:leftChars="2500" w:left="100"/>
    </w:pPr>
  </w:style>
  <w:style w:type="character" w:customStyle="1" w:styleId="afff0">
    <w:name w:val="日期 字符"/>
    <w:basedOn w:val="a0"/>
    <w:link w:val="afff"/>
    <w:rsid w:val="00995E2A"/>
    <w:rPr>
      <w:rFonts w:ascii="Times New Roman" w:eastAsia="宋体" w:hAnsi="Times New Roman" w:cs="Times New Roman"/>
      <w:szCs w:val="24"/>
    </w:rPr>
  </w:style>
  <w:style w:type="paragraph" w:styleId="afff1">
    <w:name w:val="Plain Text"/>
    <w:aliases w:val="普通文字,表格内容,普通文字 Char,普通文字 Char Char Char,普通文字 Char Char Char Char Char Char Char Char,普通文字 Char Char Char Char Char Char Char,普通文字 Char Char Char Char,表格文字"/>
    <w:basedOn w:val="a"/>
    <w:link w:val="afff2"/>
    <w:rsid w:val="00995E2A"/>
    <w:rPr>
      <w:rFonts w:ascii="宋体" w:hAnsi="Courier New" w:cs="Courier New"/>
      <w:sz w:val="24"/>
      <w:szCs w:val="21"/>
    </w:rPr>
  </w:style>
  <w:style w:type="character" w:customStyle="1" w:styleId="afff2">
    <w:name w:val="纯文本 字符"/>
    <w:basedOn w:val="a0"/>
    <w:link w:val="afff1"/>
    <w:rsid w:val="00995E2A"/>
    <w:rPr>
      <w:rFonts w:ascii="宋体" w:eastAsia="宋体" w:hAnsi="Courier New" w:cs="Courier New"/>
      <w:sz w:val="24"/>
      <w:szCs w:val="21"/>
    </w:rPr>
  </w:style>
  <w:style w:type="paragraph" w:styleId="42">
    <w:name w:val="index 4"/>
    <w:basedOn w:val="a"/>
    <w:next w:val="a"/>
    <w:autoRedefine/>
    <w:semiHidden/>
    <w:rsid w:val="00995E2A"/>
    <w:pPr>
      <w:widowControl/>
      <w:jc w:val="center"/>
    </w:pPr>
    <w:rPr>
      <w:rFonts w:ascii="宋体" w:hAnsi="宋体"/>
      <w:color w:val="000000"/>
      <w:kern w:val="0"/>
      <w:szCs w:val="20"/>
    </w:rPr>
  </w:style>
  <w:style w:type="paragraph" w:styleId="afff3">
    <w:name w:val="Document Map"/>
    <w:basedOn w:val="a"/>
    <w:link w:val="Char4"/>
    <w:rsid w:val="00995E2A"/>
    <w:rPr>
      <w:rFonts w:ascii="宋体"/>
      <w:sz w:val="18"/>
      <w:szCs w:val="18"/>
    </w:rPr>
  </w:style>
  <w:style w:type="character" w:customStyle="1" w:styleId="afff4">
    <w:name w:val="文档结构图 字符"/>
    <w:basedOn w:val="a0"/>
    <w:semiHidden/>
    <w:rsid w:val="00995E2A"/>
    <w:rPr>
      <w:rFonts w:ascii="Microsoft YaHei UI" w:eastAsia="Microsoft YaHei UI" w:hAnsi="Times New Roman" w:cs="Times New Roman"/>
      <w:sz w:val="18"/>
      <w:szCs w:val="18"/>
    </w:rPr>
  </w:style>
  <w:style w:type="character" w:customStyle="1" w:styleId="Char4">
    <w:name w:val="文档结构图 Char"/>
    <w:link w:val="afff3"/>
    <w:rsid w:val="00995E2A"/>
    <w:rPr>
      <w:rFonts w:ascii="宋体" w:eastAsia="宋体" w:hAnsi="Times New Roman" w:cs="Times New Roman"/>
      <w:sz w:val="18"/>
      <w:szCs w:val="18"/>
    </w:rPr>
  </w:style>
  <w:style w:type="character" w:customStyle="1" w:styleId="mediumtext">
    <w:name w:val="medium_text"/>
    <w:basedOn w:val="a0"/>
    <w:rsid w:val="00995E2A"/>
  </w:style>
  <w:style w:type="character" w:customStyle="1" w:styleId="mediumtext1">
    <w:name w:val="medium_text1"/>
    <w:rsid w:val="00995E2A"/>
    <w:rPr>
      <w:sz w:val="20"/>
      <w:szCs w:val="20"/>
    </w:rPr>
  </w:style>
  <w:style w:type="character" w:customStyle="1" w:styleId="content">
    <w:name w:val="content"/>
    <w:basedOn w:val="a0"/>
    <w:rsid w:val="00995E2A"/>
  </w:style>
  <w:style w:type="character" w:customStyle="1" w:styleId="CharChar9">
    <w:name w:val=" Char Char9"/>
    <w:rsid w:val="00995E2A"/>
    <w:rPr>
      <w:rFonts w:ascii="楷体_GB2312" w:eastAsia="楷体_GB2312" w:hAnsi="Calibri"/>
      <w:b/>
      <w:bCs/>
      <w:kern w:val="44"/>
      <w:sz w:val="32"/>
      <w:szCs w:val="32"/>
      <w:lang w:val="en-US" w:eastAsia="zh-CN" w:bidi="ar-SA"/>
    </w:rPr>
  </w:style>
  <w:style w:type="character" w:customStyle="1" w:styleId="CharChar8">
    <w:name w:val=" Char Char8"/>
    <w:rsid w:val="00995E2A"/>
    <w:rPr>
      <w:rFonts w:ascii="楷体_GB2312" w:eastAsia="楷体_GB2312" w:hAnsi="Arial"/>
      <w:b/>
      <w:bCs/>
      <w:kern w:val="2"/>
      <w:sz w:val="30"/>
      <w:szCs w:val="30"/>
      <w:lang w:val="en-US" w:eastAsia="zh-CN" w:bidi="ar-SA"/>
    </w:rPr>
  </w:style>
  <w:style w:type="character" w:customStyle="1" w:styleId="read">
    <w:name w:val="read"/>
    <w:basedOn w:val="a0"/>
    <w:rsid w:val="00995E2A"/>
  </w:style>
  <w:style w:type="paragraph" w:styleId="TOC">
    <w:name w:val="TOC Heading"/>
    <w:basedOn w:val="1"/>
    <w:next w:val="a"/>
    <w:link w:val="TOCChar"/>
    <w:qFormat/>
    <w:rsid w:val="00995E2A"/>
    <w:pPr>
      <w:widowControl/>
      <w:spacing w:after="0" w:line="276" w:lineRule="auto"/>
      <w:ind w:firstLineChars="200" w:firstLine="480"/>
      <w:jc w:val="left"/>
      <w:outlineLvl w:val="9"/>
    </w:pPr>
    <w:rPr>
      <w:rFonts w:ascii="Cambria" w:eastAsia="宋体" w:hAnsi="Cambria" w:cs="Times New Roman"/>
      <w:b/>
      <w:bCs/>
      <w:color w:val="365F91"/>
      <w:kern w:val="0"/>
      <w:sz w:val="28"/>
      <w:szCs w:val="28"/>
    </w:rPr>
  </w:style>
  <w:style w:type="character" w:customStyle="1" w:styleId="TOCChar">
    <w:name w:val="TOC 标题 Char"/>
    <w:link w:val="TOC"/>
    <w:rsid w:val="00995E2A"/>
    <w:rPr>
      <w:rFonts w:ascii="Cambria" w:eastAsia="宋体" w:hAnsi="Cambria" w:cs="Times New Roman"/>
      <w:b/>
      <w:bCs/>
      <w:color w:val="365F91"/>
      <w:kern w:val="0"/>
      <w:sz w:val="28"/>
      <w:szCs w:val="28"/>
    </w:rPr>
  </w:style>
  <w:style w:type="table" w:styleId="71">
    <w:name w:val="Table List 7"/>
    <w:basedOn w:val="a1"/>
    <w:rsid w:val="00995E2A"/>
    <w:pPr>
      <w:widowControl w:val="0"/>
      <w:spacing w:line="240" w:lineRule="auto"/>
    </w:pPr>
    <w:rPr>
      <w:rFonts w:ascii="Times New Roman" w:eastAsia="宋体"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2">
    <w:name w:val="表格样式1"/>
    <w:basedOn w:val="a1"/>
    <w:rsid w:val="00995E2A"/>
    <w:pPr>
      <w:spacing w:line="240" w:lineRule="auto"/>
      <w:jc w:val="left"/>
    </w:pPr>
    <w:rPr>
      <w:rFonts w:ascii="Times New Roman" w:eastAsia="宋体" w:hAnsi="Times New Roman" w:cs="Times New Roman"/>
      <w:kern w:val="0"/>
      <w:sz w:val="20"/>
      <w:szCs w:val="20"/>
    </w:rPr>
    <w:tblPr/>
  </w:style>
  <w:style w:type="paragraph" w:styleId="24">
    <w:name w:val="Body Text 2"/>
    <w:basedOn w:val="a"/>
    <w:link w:val="25"/>
    <w:rsid w:val="00995E2A"/>
    <w:pPr>
      <w:spacing w:after="120" w:line="480" w:lineRule="auto"/>
    </w:pPr>
  </w:style>
  <w:style w:type="character" w:customStyle="1" w:styleId="25">
    <w:name w:val="正文文本 2 字符"/>
    <w:basedOn w:val="a0"/>
    <w:link w:val="24"/>
    <w:rsid w:val="00995E2A"/>
    <w:rPr>
      <w:rFonts w:ascii="Times New Roman" w:eastAsia="宋体" w:hAnsi="Times New Roman" w:cs="Times New Roman"/>
      <w:szCs w:val="24"/>
    </w:rPr>
  </w:style>
  <w:style w:type="character" w:customStyle="1" w:styleId="unnamed11">
    <w:name w:val="unnamed11"/>
    <w:rsid w:val="00995E2A"/>
    <w:rPr>
      <w:rFonts w:ascii="_GB2312" w:hAnsi="_GB2312" w:hint="default"/>
      <w:color w:val="666666"/>
      <w:sz w:val="18"/>
      <w:szCs w:val="18"/>
    </w:rPr>
  </w:style>
  <w:style w:type="paragraph" w:customStyle="1" w:styleId="pcontent">
    <w:name w:val="p_content"/>
    <w:basedOn w:val="a"/>
    <w:rsid w:val="00995E2A"/>
    <w:pPr>
      <w:widowControl/>
      <w:spacing w:before="150" w:after="75" w:line="345" w:lineRule="atLeast"/>
      <w:ind w:left="300" w:right="300"/>
      <w:jc w:val="left"/>
    </w:pPr>
    <w:rPr>
      <w:rFonts w:ascii="宋体" w:hAnsi="宋体"/>
      <w:color w:val="000000"/>
      <w:kern w:val="0"/>
      <w:sz w:val="18"/>
      <w:szCs w:val="18"/>
    </w:rPr>
  </w:style>
  <w:style w:type="paragraph" w:customStyle="1" w:styleId="Standard">
    <w:name w:val="Standard"/>
    <w:rsid w:val="00995E2A"/>
    <w:pPr>
      <w:widowControl w:val="0"/>
      <w:suppressAutoHyphens/>
      <w:autoSpaceDN w:val="0"/>
      <w:spacing w:line="240" w:lineRule="auto"/>
      <w:jc w:val="left"/>
      <w:textAlignment w:val="baseline"/>
    </w:pPr>
    <w:rPr>
      <w:rFonts w:ascii="Times New Roman" w:eastAsia="宋体" w:hAnsi="Times New Roman" w:cs="Mangal"/>
      <w:kern w:val="3"/>
      <w:sz w:val="24"/>
      <w:szCs w:val="24"/>
      <w:lang w:bidi="hi-IN"/>
    </w:rPr>
  </w:style>
  <w:style w:type="character" w:styleId="afff5">
    <w:name w:val="FollowedHyperlink"/>
    <w:basedOn w:val="a0"/>
    <w:uiPriority w:val="99"/>
    <w:semiHidden/>
    <w:unhideWhenUsed/>
    <w:rsid w:val="00995E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6.wmf"/><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oleObject" Target="embeddings/oleObject19.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3.wmf"/><Relationship Id="rId38"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2.bin"/><Relationship Id="rId41"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oleObject" Target="embeddings/oleObject18.bin"/><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oleObject" Target="embeddings/oleObject16.bin"/><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image" Target="media/image14.wmf"/><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1806</Words>
  <Characters>10295</Characters>
  <Application>Microsoft Office Word</Application>
  <DocSecurity>0</DocSecurity>
  <Lines>85</Lines>
  <Paragraphs>24</Paragraphs>
  <ScaleCrop>false</ScaleCrop>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2025-10-21T09:08:00Z</dcterms:created>
  <dcterms:modified xsi:type="dcterms:W3CDTF">2025-10-21T09:16:00Z</dcterms:modified>
</cp:coreProperties>
</file>