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2D41D">
      <w:pPr>
        <w:widowControl w:val="0"/>
        <w:adjustRightInd/>
        <w:snapToGrid/>
        <w:spacing w:after="0" w:line="360" w:lineRule="auto"/>
        <w:jc w:val="center"/>
        <w:rPr>
          <w:rFonts w:hint="eastAsia" w:ascii="仿宋_GB2312" w:hAnsi="仿宋_GB2312" w:eastAsia="宋体" w:cs="仿宋_GB2312"/>
          <w:kern w:val="2"/>
          <w:sz w:val="32"/>
          <w:szCs w:val="32"/>
          <w:lang w:val="en-US" w:eastAsia="zh-CN"/>
        </w:rPr>
      </w:pPr>
      <w:r>
        <w:rPr>
          <w:rFonts w:hint="eastAsia" w:ascii="宋体" w:hAnsi="宋体" w:eastAsia="宋体" w:cs="宋体"/>
          <w:b/>
          <w:bCs/>
          <w:kern w:val="2"/>
          <w:sz w:val="44"/>
          <w:szCs w:val="44"/>
        </w:rPr>
        <w:t>地方政府信用评级方法</w:t>
      </w:r>
      <w:r>
        <w:rPr>
          <w:rFonts w:hint="eastAsia" w:ascii="宋体" w:hAnsi="宋体" w:eastAsia="宋体" w:cs="宋体"/>
          <w:b/>
          <w:bCs/>
          <w:kern w:val="2"/>
          <w:sz w:val="44"/>
          <w:szCs w:val="44"/>
          <w:lang w:val="en-US" w:eastAsia="zh-CN"/>
        </w:rPr>
        <w:t>探究</w:t>
      </w:r>
    </w:p>
    <w:p w14:paraId="325B9AE2">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p>
    <w:p w14:paraId="393085C2">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我国学界对地方政府信用评级进行的探讨分析主要有两种思路，一种思路是从经济学视角下对地方政府信用评级进行探讨，另一种思路是从广义的政府诚信视角对地方政府信用评级展开分析。</w:t>
      </w:r>
    </w:p>
    <w:p w14:paraId="158845DC">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从经济学视角对我国地方政府信用评级较早展开研究的学者是陈志勇、庄佳强（2014）。作者从评级思路、评级要素、评价指标等方面在就国际主要评级机构对地方政府信用评级方法进行比较分析的基础上，从地方经济发展水平，财政能力和城投债管理三个方面对省级政府信用状况进行评价。在评价指标权重方面，依赖的是主观估计方法。其中，财政能力在一级指标中所占的权重最高为50%。各项指标分档依据各指标在各省分布的分位数确定，从数据方面来看，选取的是4年</w:t>
      </w:r>
      <w:r>
        <w:rPr>
          <w:rFonts w:hint="eastAsia" w:ascii="仿宋_GB2312" w:hAnsi="仿宋_GB2312" w:eastAsia="仿宋_GB2312" w:cs="仿宋_GB2312"/>
          <w:kern w:val="2"/>
          <w:sz w:val="32"/>
          <w:szCs w:val="32"/>
          <w:lang w:eastAsia="zh-CN"/>
        </w:rPr>
        <w:t>的</w:t>
      </w:r>
      <w:r>
        <w:rPr>
          <w:rFonts w:hint="eastAsia" w:ascii="仿宋_GB2312" w:hAnsi="仿宋_GB2312" w:eastAsia="仿宋_GB2312" w:cs="仿宋_GB2312"/>
          <w:kern w:val="2"/>
          <w:sz w:val="32"/>
          <w:szCs w:val="32"/>
        </w:rPr>
        <w:t>平均数。由于文章成文时间地方政府债务的举借主要依赖地方融资平台完成，因此作者在指标选择方面考虑了地方政府对融资平台的支持，其下的二级指标设置有财政补贴、土地资产、政府项目应收款等。各指标权重的具体情况如表</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rPr>
        <w:t>所示：</w:t>
      </w:r>
    </w:p>
    <w:p w14:paraId="27ECCF5B">
      <w:pPr>
        <w:tabs>
          <w:tab w:val="left" w:pos="1140"/>
        </w:tabs>
        <w:spacing w:after="0"/>
        <w:jc w:val="cente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表</w:t>
      </w: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rPr>
        <w:t xml:space="preserve"> 陈志勇、庄佳强对地方政府信用研究的评价指标及权重</w:t>
      </w:r>
      <w:bookmarkStart w:id="0" w:name="_GoBack"/>
      <w:bookmarkEnd w:id="0"/>
    </w:p>
    <w:tbl>
      <w:tblPr>
        <w:tblStyle w:val="3"/>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314"/>
        <w:gridCol w:w="2080"/>
        <w:gridCol w:w="3280"/>
      </w:tblGrid>
      <w:tr w14:paraId="2E48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66" w:type="dxa"/>
            <w:shd w:val="clear" w:color="auto" w:fill="auto"/>
            <w:vAlign w:val="center"/>
          </w:tcPr>
          <w:p w14:paraId="42DBA602">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序号</w:t>
            </w:r>
          </w:p>
        </w:tc>
        <w:tc>
          <w:tcPr>
            <w:tcW w:w="2314" w:type="dxa"/>
            <w:shd w:val="clear" w:color="auto" w:fill="auto"/>
            <w:vAlign w:val="center"/>
          </w:tcPr>
          <w:p w14:paraId="7F7C6D4B">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一级指标</w:t>
            </w:r>
          </w:p>
        </w:tc>
        <w:tc>
          <w:tcPr>
            <w:tcW w:w="2080" w:type="dxa"/>
            <w:shd w:val="clear" w:color="auto" w:fill="auto"/>
            <w:vAlign w:val="center"/>
          </w:tcPr>
          <w:p w14:paraId="6379DCE4">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二级指标</w:t>
            </w:r>
          </w:p>
        </w:tc>
        <w:tc>
          <w:tcPr>
            <w:tcW w:w="3280" w:type="dxa"/>
            <w:shd w:val="clear" w:color="auto" w:fill="auto"/>
            <w:vAlign w:val="center"/>
          </w:tcPr>
          <w:p w14:paraId="551C0067">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三级指标</w:t>
            </w:r>
          </w:p>
        </w:tc>
      </w:tr>
      <w:tr w14:paraId="72F51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66" w:type="dxa"/>
            <w:shd w:val="clear" w:color="auto" w:fill="auto"/>
            <w:vAlign w:val="center"/>
          </w:tcPr>
          <w:p w14:paraId="25CA9F2D">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2314" w:type="dxa"/>
            <w:vMerge w:val="restart"/>
            <w:shd w:val="clear" w:color="auto" w:fill="auto"/>
            <w:vAlign w:val="center"/>
          </w:tcPr>
          <w:p w14:paraId="69495185">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地区经济发展状况（30%）</w:t>
            </w:r>
          </w:p>
        </w:tc>
        <w:tc>
          <w:tcPr>
            <w:tcW w:w="2080" w:type="dxa"/>
            <w:vMerge w:val="restart"/>
            <w:shd w:val="clear" w:color="auto" w:fill="auto"/>
            <w:vAlign w:val="center"/>
          </w:tcPr>
          <w:p w14:paraId="3CC942CB">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地区宏观经济（70%）</w:t>
            </w:r>
          </w:p>
        </w:tc>
        <w:tc>
          <w:tcPr>
            <w:tcW w:w="3280" w:type="dxa"/>
            <w:shd w:val="clear" w:color="auto" w:fill="auto"/>
            <w:vAlign w:val="center"/>
          </w:tcPr>
          <w:p w14:paraId="101439AB">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地区GDP总量（50%）</w:t>
            </w:r>
          </w:p>
        </w:tc>
      </w:tr>
      <w:tr w14:paraId="4D96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66" w:type="dxa"/>
            <w:shd w:val="clear" w:color="auto" w:fill="auto"/>
            <w:vAlign w:val="center"/>
          </w:tcPr>
          <w:p w14:paraId="3FDB8A49">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2314" w:type="dxa"/>
            <w:vMerge w:val="continue"/>
            <w:vAlign w:val="center"/>
          </w:tcPr>
          <w:p w14:paraId="6454E9A9">
            <w:pPr>
              <w:adjustRightInd/>
              <w:snapToGrid/>
              <w:spacing w:after="0"/>
              <w:jc w:val="center"/>
              <w:rPr>
                <w:rFonts w:hint="eastAsia" w:ascii="仿宋_GB2312" w:hAnsi="仿宋_GB2312" w:eastAsia="仿宋_GB2312" w:cs="仿宋_GB2312"/>
                <w:color w:val="000000"/>
                <w:sz w:val="28"/>
                <w:szCs w:val="28"/>
              </w:rPr>
            </w:pPr>
          </w:p>
        </w:tc>
        <w:tc>
          <w:tcPr>
            <w:tcW w:w="2080" w:type="dxa"/>
            <w:vMerge w:val="continue"/>
            <w:vAlign w:val="center"/>
          </w:tcPr>
          <w:p w14:paraId="2894DBC0">
            <w:pPr>
              <w:adjustRightInd/>
              <w:snapToGrid/>
              <w:spacing w:after="0"/>
              <w:jc w:val="center"/>
              <w:rPr>
                <w:rFonts w:hint="eastAsia" w:ascii="仿宋_GB2312" w:hAnsi="仿宋_GB2312" w:eastAsia="仿宋_GB2312" w:cs="仿宋_GB2312"/>
                <w:color w:val="000000"/>
                <w:sz w:val="28"/>
                <w:szCs w:val="28"/>
              </w:rPr>
            </w:pPr>
          </w:p>
        </w:tc>
        <w:tc>
          <w:tcPr>
            <w:tcW w:w="3280" w:type="dxa"/>
            <w:shd w:val="clear" w:color="auto" w:fill="auto"/>
            <w:vAlign w:val="center"/>
          </w:tcPr>
          <w:p w14:paraId="71BF290B">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地区GDP增速（20%）</w:t>
            </w:r>
          </w:p>
        </w:tc>
      </w:tr>
      <w:tr w14:paraId="11CF9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66" w:type="dxa"/>
            <w:shd w:val="clear" w:color="auto" w:fill="auto"/>
            <w:vAlign w:val="center"/>
          </w:tcPr>
          <w:p w14:paraId="1FA40087">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p>
        </w:tc>
        <w:tc>
          <w:tcPr>
            <w:tcW w:w="2314" w:type="dxa"/>
            <w:vMerge w:val="continue"/>
            <w:vAlign w:val="center"/>
          </w:tcPr>
          <w:p w14:paraId="71B4ED8B">
            <w:pPr>
              <w:adjustRightInd/>
              <w:snapToGrid/>
              <w:spacing w:after="0"/>
              <w:jc w:val="center"/>
              <w:rPr>
                <w:rFonts w:hint="eastAsia" w:ascii="仿宋_GB2312" w:hAnsi="仿宋_GB2312" w:eastAsia="仿宋_GB2312" w:cs="仿宋_GB2312"/>
                <w:color w:val="000000"/>
                <w:sz w:val="28"/>
                <w:szCs w:val="28"/>
              </w:rPr>
            </w:pPr>
          </w:p>
        </w:tc>
        <w:tc>
          <w:tcPr>
            <w:tcW w:w="2080" w:type="dxa"/>
            <w:vMerge w:val="continue"/>
            <w:vAlign w:val="center"/>
          </w:tcPr>
          <w:p w14:paraId="4509D7AB">
            <w:pPr>
              <w:adjustRightInd/>
              <w:snapToGrid/>
              <w:spacing w:after="0"/>
              <w:jc w:val="center"/>
              <w:rPr>
                <w:rFonts w:hint="eastAsia" w:ascii="仿宋_GB2312" w:hAnsi="仿宋_GB2312" w:eastAsia="仿宋_GB2312" w:cs="仿宋_GB2312"/>
                <w:color w:val="000000"/>
                <w:sz w:val="28"/>
                <w:szCs w:val="28"/>
              </w:rPr>
            </w:pPr>
          </w:p>
        </w:tc>
        <w:tc>
          <w:tcPr>
            <w:tcW w:w="3280" w:type="dxa"/>
            <w:shd w:val="clear" w:color="auto" w:fill="auto"/>
            <w:vAlign w:val="center"/>
          </w:tcPr>
          <w:p w14:paraId="25A3A3CC">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人均GDP（30%）</w:t>
            </w:r>
          </w:p>
        </w:tc>
      </w:tr>
      <w:tr w14:paraId="5FAF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66" w:type="dxa"/>
            <w:shd w:val="clear" w:color="auto" w:fill="auto"/>
            <w:vAlign w:val="center"/>
          </w:tcPr>
          <w:p w14:paraId="643E065F">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w:t>
            </w:r>
          </w:p>
        </w:tc>
        <w:tc>
          <w:tcPr>
            <w:tcW w:w="2314" w:type="dxa"/>
            <w:vMerge w:val="continue"/>
            <w:vAlign w:val="center"/>
          </w:tcPr>
          <w:p w14:paraId="3A875C8E">
            <w:pPr>
              <w:adjustRightInd/>
              <w:snapToGrid/>
              <w:spacing w:after="0"/>
              <w:jc w:val="center"/>
              <w:rPr>
                <w:rFonts w:hint="eastAsia" w:ascii="仿宋_GB2312" w:hAnsi="仿宋_GB2312" w:eastAsia="仿宋_GB2312" w:cs="仿宋_GB2312"/>
                <w:color w:val="000000"/>
                <w:sz w:val="28"/>
                <w:szCs w:val="28"/>
              </w:rPr>
            </w:pPr>
          </w:p>
        </w:tc>
        <w:tc>
          <w:tcPr>
            <w:tcW w:w="2080" w:type="dxa"/>
            <w:shd w:val="clear" w:color="auto" w:fill="auto"/>
            <w:vAlign w:val="center"/>
          </w:tcPr>
          <w:p w14:paraId="75F67898">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地区产业结构（30%）</w:t>
            </w:r>
          </w:p>
        </w:tc>
        <w:tc>
          <w:tcPr>
            <w:tcW w:w="3280" w:type="dxa"/>
            <w:shd w:val="clear" w:color="auto" w:fill="auto"/>
            <w:vAlign w:val="center"/>
          </w:tcPr>
          <w:p w14:paraId="0B7D443A">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产业结构偏离度</w:t>
            </w:r>
          </w:p>
        </w:tc>
      </w:tr>
      <w:tr w14:paraId="4548A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66" w:type="dxa"/>
            <w:shd w:val="clear" w:color="auto" w:fill="auto"/>
            <w:vAlign w:val="center"/>
          </w:tcPr>
          <w:p w14:paraId="5A730E5C">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p>
        </w:tc>
        <w:tc>
          <w:tcPr>
            <w:tcW w:w="2314" w:type="dxa"/>
            <w:vMerge w:val="restart"/>
            <w:shd w:val="clear" w:color="auto" w:fill="auto"/>
            <w:vAlign w:val="center"/>
          </w:tcPr>
          <w:p w14:paraId="0AFABF1C">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地方政府财政状况（50%）</w:t>
            </w:r>
          </w:p>
        </w:tc>
        <w:tc>
          <w:tcPr>
            <w:tcW w:w="2080" w:type="dxa"/>
            <w:vMerge w:val="restart"/>
            <w:shd w:val="clear" w:color="auto" w:fill="auto"/>
            <w:vAlign w:val="center"/>
          </w:tcPr>
          <w:p w14:paraId="508246EC">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地方财政收入（50%）</w:t>
            </w:r>
          </w:p>
        </w:tc>
        <w:tc>
          <w:tcPr>
            <w:tcW w:w="3280" w:type="dxa"/>
            <w:shd w:val="clear" w:color="auto" w:fill="auto"/>
            <w:vAlign w:val="center"/>
          </w:tcPr>
          <w:p w14:paraId="30E7BCF4">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公共预算收入（25%）</w:t>
            </w:r>
          </w:p>
        </w:tc>
      </w:tr>
      <w:tr w14:paraId="53A2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866" w:type="dxa"/>
            <w:shd w:val="clear" w:color="auto" w:fill="auto"/>
            <w:vAlign w:val="center"/>
          </w:tcPr>
          <w:p w14:paraId="0E71222F">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w:t>
            </w:r>
          </w:p>
        </w:tc>
        <w:tc>
          <w:tcPr>
            <w:tcW w:w="2314" w:type="dxa"/>
            <w:vMerge w:val="continue"/>
            <w:vAlign w:val="center"/>
          </w:tcPr>
          <w:p w14:paraId="25390EBC">
            <w:pPr>
              <w:adjustRightInd/>
              <w:snapToGrid/>
              <w:spacing w:after="0"/>
              <w:jc w:val="center"/>
              <w:rPr>
                <w:rFonts w:hint="eastAsia" w:ascii="仿宋_GB2312" w:hAnsi="仿宋_GB2312" w:eastAsia="仿宋_GB2312" w:cs="仿宋_GB2312"/>
                <w:color w:val="000000"/>
                <w:sz w:val="28"/>
                <w:szCs w:val="28"/>
              </w:rPr>
            </w:pPr>
          </w:p>
        </w:tc>
        <w:tc>
          <w:tcPr>
            <w:tcW w:w="2080" w:type="dxa"/>
            <w:vMerge w:val="continue"/>
            <w:vAlign w:val="center"/>
          </w:tcPr>
          <w:p w14:paraId="18F71BD7">
            <w:pPr>
              <w:adjustRightInd/>
              <w:snapToGrid/>
              <w:spacing w:after="0"/>
              <w:jc w:val="center"/>
              <w:rPr>
                <w:rFonts w:hint="eastAsia" w:ascii="仿宋_GB2312" w:hAnsi="仿宋_GB2312" w:eastAsia="仿宋_GB2312" w:cs="仿宋_GB2312"/>
                <w:color w:val="000000"/>
                <w:sz w:val="28"/>
                <w:szCs w:val="28"/>
              </w:rPr>
            </w:pPr>
          </w:p>
        </w:tc>
        <w:tc>
          <w:tcPr>
            <w:tcW w:w="3280" w:type="dxa"/>
            <w:shd w:val="clear" w:color="auto" w:fill="auto"/>
            <w:vAlign w:val="center"/>
          </w:tcPr>
          <w:p w14:paraId="5AF3BCE7">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公共预算收入增速（25%）</w:t>
            </w:r>
          </w:p>
        </w:tc>
      </w:tr>
      <w:tr w14:paraId="28259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66" w:type="dxa"/>
            <w:shd w:val="clear" w:color="auto" w:fill="auto"/>
            <w:vAlign w:val="center"/>
          </w:tcPr>
          <w:p w14:paraId="28A3DF79">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w:t>
            </w:r>
          </w:p>
        </w:tc>
        <w:tc>
          <w:tcPr>
            <w:tcW w:w="2314" w:type="dxa"/>
            <w:vMerge w:val="continue"/>
            <w:vAlign w:val="center"/>
          </w:tcPr>
          <w:p w14:paraId="31C0FECC">
            <w:pPr>
              <w:adjustRightInd/>
              <w:snapToGrid/>
              <w:spacing w:after="0"/>
              <w:jc w:val="center"/>
              <w:rPr>
                <w:rFonts w:hint="eastAsia" w:ascii="仿宋_GB2312" w:hAnsi="仿宋_GB2312" w:eastAsia="仿宋_GB2312" w:cs="仿宋_GB2312"/>
                <w:color w:val="000000"/>
                <w:sz w:val="28"/>
                <w:szCs w:val="28"/>
              </w:rPr>
            </w:pPr>
          </w:p>
        </w:tc>
        <w:tc>
          <w:tcPr>
            <w:tcW w:w="2080" w:type="dxa"/>
            <w:vMerge w:val="continue"/>
            <w:vAlign w:val="center"/>
          </w:tcPr>
          <w:p w14:paraId="53FBA9C8">
            <w:pPr>
              <w:adjustRightInd/>
              <w:snapToGrid/>
              <w:spacing w:after="0"/>
              <w:jc w:val="center"/>
              <w:rPr>
                <w:rFonts w:hint="eastAsia" w:ascii="仿宋_GB2312" w:hAnsi="仿宋_GB2312" w:eastAsia="仿宋_GB2312" w:cs="仿宋_GB2312"/>
                <w:color w:val="000000"/>
                <w:sz w:val="28"/>
                <w:szCs w:val="28"/>
              </w:rPr>
            </w:pPr>
          </w:p>
        </w:tc>
        <w:tc>
          <w:tcPr>
            <w:tcW w:w="3280" w:type="dxa"/>
            <w:shd w:val="clear" w:color="auto" w:fill="auto"/>
            <w:vAlign w:val="center"/>
          </w:tcPr>
          <w:p w14:paraId="78AD370B">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土地出让收入（25%）</w:t>
            </w:r>
          </w:p>
        </w:tc>
      </w:tr>
      <w:tr w14:paraId="5853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66" w:type="dxa"/>
            <w:shd w:val="clear" w:color="auto" w:fill="auto"/>
            <w:vAlign w:val="center"/>
          </w:tcPr>
          <w:p w14:paraId="44E8673F">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w:t>
            </w:r>
          </w:p>
        </w:tc>
        <w:tc>
          <w:tcPr>
            <w:tcW w:w="2314" w:type="dxa"/>
            <w:vMerge w:val="continue"/>
            <w:vAlign w:val="center"/>
          </w:tcPr>
          <w:p w14:paraId="22CDA7DE">
            <w:pPr>
              <w:adjustRightInd/>
              <w:snapToGrid/>
              <w:spacing w:after="0"/>
              <w:jc w:val="center"/>
              <w:rPr>
                <w:rFonts w:hint="eastAsia" w:ascii="仿宋_GB2312" w:hAnsi="仿宋_GB2312" w:eastAsia="仿宋_GB2312" w:cs="仿宋_GB2312"/>
                <w:color w:val="000000"/>
                <w:sz w:val="28"/>
                <w:szCs w:val="28"/>
              </w:rPr>
            </w:pPr>
          </w:p>
        </w:tc>
        <w:tc>
          <w:tcPr>
            <w:tcW w:w="2080" w:type="dxa"/>
            <w:vMerge w:val="continue"/>
            <w:vAlign w:val="center"/>
          </w:tcPr>
          <w:p w14:paraId="46ADAA2B">
            <w:pPr>
              <w:adjustRightInd/>
              <w:snapToGrid/>
              <w:spacing w:after="0"/>
              <w:jc w:val="center"/>
              <w:rPr>
                <w:rFonts w:hint="eastAsia" w:ascii="仿宋_GB2312" w:hAnsi="仿宋_GB2312" w:eastAsia="仿宋_GB2312" w:cs="仿宋_GB2312"/>
                <w:color w:val="000000"/>
                <w:sz w:val="28"/>
                <w:szCs w:val="28"/>
              </w:rPr>
            </w:pPr>
          </w:p>
        </w:tc>
        <w:tc>
          <w:tcPr>
            <w:tcW w:w="3280" w:type="dxa"/>
            <w:shd w:val="clear" w:color="auto" w:fill="auto"/>
            <w:vAlign w:val="center"/>
          </w:tcPr>
          <w:p w14:paraId="0F660825">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土地出让收入增速（25%）</w:t>
            </w:r>
          </w:p>
        </w:tc>
      </w:tr>
      <w:tr w14:paraId="7B46E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66" w:type="dxa"/>
            <w:shd w:val="clear" w:color="auto" w:fill="auto"/>
            <w:vAlign w:val="center"/>
          </w:tcPr>
          <w:p w14:paraId="0867DE4A">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w:t>
            </w:r>
          </w:p>
        </w:tc>
        <w:tc>
          <w:tcPr>
            <w:tcW w:w="2314" w:type="dxa"/>
            <w:vMerge w:val="continue"/>
            <w:vAlign w:val="center"/>
          </w:tcPr>
          <w:p w14:paraId="13C77083">
            <w:pPr>
              <w:adjustRightInd/>
              <w:snapToGrid/>
              <w:spacing w:after="0"/>
              <w:jc w:val="center"/>
              <w:rPr>
                <w:rFonts w:hint="eastAsia" w:ascii="仿宋_GB2312" w:hAnsi="仿宋_GB2312" w:eastAsia="仿宋_GB2312" w:cs="仿宋_GB2312"/>
                <w:color w:val="000000"/>
                <w:sz w:val="28"/>
                <w:szCs w:val="28"/>
              </w:rPr>
            </w:pPr>
          </w:p>
        </w:tc>
        <w:tc>
          <w:tcPr>
            <w:tcW w:w="2080" w:type="dxa"/>
            <w:vMerge w:val="restart"/>
            <w:shd w:val="clear" w:color="auto" w:fill="auto"/>
            <w:vAlign w:val="center"/>
          </w:tcPr>
          <w:p w14:paraId="65340AD5">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地方财政支出（50%</w:t>
            </w:r>
            <w:r>
              <w:rPr>
                <w:rFonts w:hint="eastAsia" w:ascii="仿宋_GB2312" w:hAnsi="仿宋_GB2312" w:eastAsia="仿宋_GB2312" w:cs="仿宋_GB2312"/>
                <w:color w:val="000000"/>
                <w:sz w:val="28"/>
                <w:szCs w:val="28"/>
                <w:lang w:eastAsia="zh-CN"/>
              </w:rPr>
              <w:t>）</w:t>
            </w:r>
          </w:p>
        </w:tc>
        <w:tc>
          <w:tcPr>
            <w:tcW w:w="3280" w:type="dxa"/>
            <w:shd w:val="clear" w:color="auto" w:fill="auto"/>
            <w:vAlign w:val="center"/>
          </w:tcPr>
          <w:p w14:paraId="189084E4">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财政自足率（40%）</w:t>
            </w:r>
          </w:p>
        </w:tc>
      </w:tr>
      <w:tr w14:paraId="7B917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66" w:type="dxa"/>
            <w:shd w:val="clear" w:color="auto" w:fill="auto"/>
            <w:vAlign w:val="center"/>
          </w:tcPr>
          <w:p w14:paraId="6B1DBC8B">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w:t>
            </w:r>
          </w:p>
        </w:tc>
        <w:tc>
          <w:tcPr>
            <w:tcW w:w="2314" w:type="dxa"/>
            <w:vMerge w:val="continue"/>
            <w:vAlign w:val="center"/>
          </w:tcPr>
          <w:p w14:paraId="6ED71010">
            <w:pPr>
              <w:adjustRightInd/>
              <w:snapToGrid/>
              <w:spacing w:after="0"/>
              <w:jc w:val="center"/>
              <w:rPr>
                <w:rFonts w:hint="eastAsia" w:ascii="仿宋_GB2312" w:hAnsi="仿宋_GB2312" w:eastAsia="仿宋_GB2312" w:cs="仿宋_GB2312"/>
                <w:color w:val="000000"/>
                <w:sz w:val="28"/>
                <w:szCs w:val="28"/>
              </w:rPr>
            </w:pPr>
          </w:p>
        </w:tc>
        <w:tc>
          <w:tcPr>
            <w:tcW w:w="2080" w:type="dxa"/>
            <w:vMerge w:val="continue"/>
            <w:vAlign w:val="center"/>
          </w:tcPr>
          <w:p w14:paraId="4B90217C">
            <w:pPr>
              <w:adjustRightInd/>
              <w:snapToGrid/>
              <w:spacing w:after="0"/>
              <w:jc w:val="center"/>
              <w:rPr>
                <w:rFonts w:hint="eastAsia" w:ascii="仿宋_GB2312" w:hAnsi="仿宋_GB2312" w:eastAsia="仿宋_GB2312" w:cs="仿宋_GB2312"/>
                <w:color w:val="000000"/>
                <w:sz w:val="28"/>
                <w:szCs w:val="28"/>
              </w:rPr>
            </w:pPr>
          </w:p>
        </w:tc>
        <w:tc>
          <w:tcPr>
            <w:tcW w:w="3280" w:type="dxa"/>
            <w:shd w:val="clear" w:color="auto" w:fill="auto"/>
            <w:vAlign w:val="center"/>
          </w:tcPr>
          <w:p w14:paraId="73616CA2">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财政支出弹性（60%）</w:t>
            </w:r>
          </w:p>
        </w:tc>
      </w:tr>
      <w:tr w14:paraId="5B09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66" w:type="dxa"/>
            <w:shd w:val="clear" w:color="auto" w:fill="auto"/>
            <w:vAlign w:val="center"/>
          </w:tcPr>
          <w:p w14:paraId="1615FC04">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w:t>
            </w:r>
          </w:p>
        </w:tc>
        <w:tc>
          <w:tcPr>
            <w:tcW w:w="2314" w:type="dxa"/>
            <w:vMerge w:val="restart"/>
            <w:shd w:val="clear" w:color="auto" w:fill="auto"/>
            <w:vAlign w:val="center"/>
          </w:tcPr>
          <w:p w14:paraId="6471D122">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地方政府对地方融资平台支持情况（20%）</w:t>
            </w:r>
          </w:p>
        </w:tc>
        <w:tc>
          <w:tcPr>
            <w:tcW w:w="2080" w:type="dxa"/>
            <w:shd w:val="clear" w:color="auto" w:fill="auto"/>
            <w:vAlign w:val="center"/>
          </w:tcPr>
          <w:p w14:paraId="7D710194">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财政补贴（40%）</w:t>
            </w:r>
          </w:p>
        </w:tc>
        <w:tc>
          <w:tcPr>
            <w:tcW w:w="3280" w:type="dxa"/>
            <w:shd w:val="clear" w:color="auto" w:fill="auto"/>
            <w:vAlign w:val="center"/>
          </w:tcPr>
          <w:p w14:paraId="7356911C">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营业外净收入占比=1-营业利润/利润总额</w:t>
            </w:r>
          </w:p>
        </w:tc>
      </w:tr>
      <w:tr w14:paraId="4EB4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66" w:type="dxa"/>
            <w:shd w:val="clear" w:color="auto" w:fill="auto"/>
            <w:vAlign w:val="center"/>
          </w:tcPr>
          <w:p w14:paraId="22F98C93">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w:t>
            </w:r>
          </w:p>
        </w:tc>
        <w:tc>
          <w:tcPr>
            <w:tcW w:w="2314" w:type="dxa"/>
            <w:vMerge w:val="continue"/>
            <w:vAlign w:val="center"/>
          </w:tcPr>
          <w:p w14:paraId="5A92ACD5">
            <w:pPr>
              <w:adjustRightInd/>
              <w:snapToGrid/>
              <w:spacing w:after="0"/>
              <w:jc w:val="center"/>
              <w:rPr>
                <w:rFonts w:hint="eastAsia" w:ascii="仿宋_GB2312" w:hAnsi="仿宋_GB2312" w:eastAsia="仿宋_GB2312" w:cs="仿宋_GB2312"/>
                <w:color w:val="000000"/>
                <w:sz w:val="28"/>
                <w:szCs w:val="28"/>
              </w:rPr>
            </w:pPr>
          </w:p>
        </w:tc>
        <w:tc>
          <w:tcPr>
            <w:tcW w:w="2080" w:type="dxa"/>
            <w:shd w:val="clear" w:color="auto" w:fill="auto"/>
            <w:vAlign w:val="center"/>
          </w:tcPr>
          <w:p w14:paraId="47FD4184">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土地资产（40%）</w:t>
            </w:r>
          </w:p>
        </w:tc>
        <w:tc>
          <w:tcPr>
            <w:tcW w:w="3280" w:type="dxa"/>
            <w:shd w:val="clear" w:color="auto" w:fill="auto"/>
            <w:vAlign w:val="center"/>
          </w:tcPr>
          <w:p w14:paraId="59C7527F">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（存货+无形资产）/总资产</w:t>
            </w:r>
          </w:p>
        </w:tc>
      </w:tr>
      <w:tr w14:paraId="2915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66" w:type="dxa"/>
            <w:shd w:val="clear" w:color="auto" w:fill="auto"/>
            <w:vAlign w:val="center"/>
          </w:tcPr>
          <w:p w14:paraId="076C8282">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13</w:t>
            </w:r>
          </w:p>
        </w:tc>
        <w:tc>
          <w:tcPr>
            <w:tcW w:w="2314" w:type="dxa"/>
            <w:vMerge w:val="continue"/>
            <w:vAlign w:val="center"/>
          </w:tcPr>
          <w:p w14:paraId="68D772E4">
            <w:pPr>
              <w:adjustRightInd/>
              <w:snapToGrid/>
              <w:spacing w:after="0"/>
              <w:jc w:val="center"/>
              <w:rPr>
                <w:rFonts w:hint="eastAsia" w:ascii="仿宋_GB2312" w:hAnsi="仿宋_GB2312" w:eastAsia="仿宋_GB2312" w:cs="仿宋_GB2312"/>
                <w:color w:val="000000"/>
                <w:sz w:val="28"/>
                <w:szCs w:val="28"/>
              </w:rPr>
            </w:pPr>
          </w:p>
        </w:tc>
        <w:tc>
          <w:tcPr>
            <w:tcW w:w="2080" w:type="dxa"/>
            <w:shd w:val="clear" w:color="auto" w:fill="auto"/>
            <w:vAlign w:val="center"/>
          </w:tcPr>
          <w:p w14:paraId="2C5F817A">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政府项目应收款（20%）</w:t>
            </w:r>
          </w:p>
        </w:tc>
        <w:tc>
          <w:tcPr>
            <w:tcW w:w="3280" w:type="dxa"/>
            <w:shd w:val="clear" w:color="auto" w:fill="auto"/>
            <w:vAlign w:val="center"/>
          </w:tcPr>
          <w:p w14:paraId="66F6E755">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（应收款+</w:t>
            </w:r>
            <w:r>
              <w:rPr>
                <w:rFonts w:hint="eastAsia" w:ascii="仿宋_GB2312" w:hAnsi="仿宋_GB2312" w:eastAsia="仿宋_GB2312" w:cs="仿宋_GB2312"/>
                <w:color w:val="000000"/>
                <w:sz w:val="28"/>
                <w:szCs w:val="28"/>
                <w:lang w:eastAsia="zh-CN"/>
              </w:rPr>
              <w:t>其他</w:t>
            </w:r>
            <w:r>
              <w:rPr>
                <w:rFonts w:hint="eastAsia" w:ascii="仿宋_GB2312" w:hAnsi="仿宋_GB2312" w:eastAsia="仿宋_GB2312" w:cs="仿宋_GB2312"/>
                <w:color w:val="000000"/>
                <w:sz w:val="28"/>
                <w:szCs w:val="28"/>
              </w:rPr>
              <w:t>应收款）/总资产占比</w:t>
            </w:r>
          </w:p>
        </w:tc>
      </w:tr>
    </w:tbl>
    <w:p w14:paraId="39439FD6">
      <w:pPr>
        <w:tabs>
          <w:tab w:val="left" w:pos="1140"/>
        </w:tabs>
        <w:spacing w:after="0"/>
        <w:ind w:firstLine="378" w:firstLineChars="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资料来源：陈志勇，庄佳强.地方政府信用评级方法比较及在我国的应用[J].财政研究，2014，(07):25-28.</w:t>
      </w:r>
    </w:p>
    <w:p w14:paraId="72579EEB">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基于上述指标，作者测算了2011年我国地方政府信用状况，其信用评估结果如表</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所示：</w:t>
      </w:r>
    </w:p>
    <w:p w14:paraId="267896D5">
      <w:pPr>
        <w:tabs>
          <w:tab w:val="left" w:pos="1140"/>
        </w:tabs>
        <w:spacing w:after="0"/>
        <w:jc w:val="cente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表</w:t>
      </w: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 xml:space="preserve"> 陈志勇、庄佳强对地方政府信用评估结果</w:t>
      </w:r>
    </w:p>
    <w:tbl>
      <w:tblPr>
        <w:tblStyle w:val="3"/>
        <w:tblW w:w="9760" w:type="dxa"/>
        <w:jc w:val="center"/>
        <w:tblLayout w:type="autofit"/>
        <w:tblCellMar>
          <w:top w:w="0" w:type="dxa"/>
          <w:left w:w="108" w:type="dxa"/>
          <w:bottom w:w="0" w:type="dxa"/>
          <w:right w:w="108" w:type="dxa"/>
        </w:tblCellMar>
      </w:tblPr>
      <w:tblGrid>
        <w:gridCol w:w="1520"/>
        <w:gridCol w:w="1600"/>
        <w:gridCol w:w="1660"/>
        <w:gridCol w:w="1680"/>
        <w:gridCol w:w="1780"/>
        <w:gridCol w:w="1520"/>
      </w:tblGrid>
      <w:tr w14:paraId="2687838B">
        <w:trPr>
          <w:trHeight w:val="570" w:hRule="atLeast"/>
          <w:jc w:val="center"/>
        </w:trPr>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7B3F2DC9">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省份</w:t>
            </w:r>
          </w:p>
        </w:tc>
        <w:tc>
          <w:tcPr>
            <w:tcW w:w="1600" w:type="dxa"/>
            <w:tcBorders>
              <w:top w:val="single" w:color="auto" w:sz="4" w:space="0"/>
              <w:left w:val="nil"/>
              <w:bottom w:val="single" w:color="auto" w:sz="4" w:space="0"/>
              <w:right w:val="single" w:color="auto" w:sz="4" w:space="0"/>
            </w:tcBorders>
            <w:shd w:val="clear" w:color="auto" w:fill="auto"/>
            <w:vAlign w:val="center"/>
          </w:tcPr>
          <w:p w14:paraId="41CC7201">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地方政府信用得分</w:t>
            </w:r>
          </w:p>
        </w:tc>
        <w:tc>
          <w:tcPr>
            <w:tcW w:w="1660" w:type="dxa"/>
            <w:tcBorders>
              <w:top w:val="single" w:color="auto" w:sz="4" w:space="0"/>
              <w:left w:val="nil"/>
              <w:bottom w:val="single" w:color="auto" w:sz="4" w:space="0"/>
              <w:right w:val="single" w:color="auto" w:sz="4" w:space="0"/>
            </w:tcBorders>
            <w:shd w:val="clear" w:color="auto" w:fill="auto"/>
            <w:vAlign w:val="center"/>
          </w:tcPr>
          <w:p w14:paraId="5B3E5F1D">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地区经济发展得分</w:t>
            </w:r>
          </w:p>
        </w:tc>
        <w:tc>
          <w:tcPr>
            <w:tcW w:w="1680" w:type="dxa"/>
            <w:tcBorders>
              <w:top w:val="single" w:color="auto" w:sz="4" w:space="0"/>
              <w:left w:val="nil"/>
              <w:bottom w:val="single" w:color="auto" w:sz="4" w:space="0"/>
              <w:right w:val="single" w:color="auto" w:sz="4" w:space="0"/>
            </w:tcBorders>
            <w:shd w:val="clear" w:color="auto" w:fill="auto"/>
            <w:vAlign w:val="center"/>
          </w:tcPr>
          <w:p w14:paraId="02D3B1B5">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地方财政状况得分</w:t>
            </w:r>
          </w:p>
        </w:tc>
        <w:tc>
          <w:tcPr>
            <w:tcW w:w="1780" w:type="dxa"/>
            <w:tcBorders>
              <w:top w:val="single" w:color="auto" w:sz="4" w:space="0"/>
              <w:left w:val="nil"/>
              <w:bottom w:val="single" w:color="auto" w:sz="4" w:space="0"/>
              <w:right w:val="single" w:color="auto" w:sz="4" w:space="0"/>
            </w:tcBorders>
            <w:shd w:val="clear" w:color="auto" w:fill="auto"/>
            <w:vAlign w:val="center"/>
          </w:tcPr>
          <w:p w14:paraId="0E551BE3">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对融资平台支持得分</w:t>
            </w:r>
          </w:p>
        </w:tc>
        <w:tc>
          <w:tcPr>
            <w:tcW w:w="1520" w:type="dxa"/>
            <w:tcBorders>
              <w:top w:val="single" w:color="auto" w:sz="4" w:space="0"/>
              <w:left w:val="nil"/>
              <w:bottom w:val="single" w:color="auto" w:sz="4" w:space="0"/>
              <w:right w:val="single" w:color="auto" w:sz="4" w:space="0"/>
            </w:tcBorders>
            <w:shd w:val="clear" w:color="auto" w:fill="auto"/>
            <w:vAlign w:val="center"/>
          </w:tcPr>
          <w:p w14:paraId="721B909B">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融资平台数量</w:t>
            </w:r>
          </w:p>
        </w:tc>
      </w:tr>
      <w:tr w14:paraId="36575FB5">
        <w:tblPrEx>
          <w:tblCellMar>
            <w:top w:w="0" w:type="dxa"/>
            <w:left w:w="108" w:type="dxa"/>
            <w:bottom w:w="0" w:type="dxa"/>
            <w:right w:w="108" w:type="dxa"/>
          </w:tblCellMar>
        </w:tblPrEx>
        <w:trPr>
          <w:trHeight w:val="300" w:hRule="atLeast"/>
          <w:jc w:val="center"/>
        </w:trPr>
        <w:tc>
          <w:tcPr>
            <w:tcW w:w="1520" w:type="dxa"/>
            <w:tcBorders>
              <w:top w:val="nil"/>
              <w:left w:val="single" w:color="auto" w:sz="4" w:space="0"/>
              <w:bottom w:val="single" w:color="auto" w:sz="4" w:space="0"/>
              <w:right w:val="single" w:color="auto" w:sz="4" w:space="0"/>
            </w:tcBorders>
            <w:shd w:val="clear" w:color="auto" w:fill="auto"/>
            <w:vAlign w:val="center"/>
          </w:tcPr>
          <w:p w14:paraId="37CE4171">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天津</w:t>
            </w:r>
          </w:p>
        </w:tc>
        <w:tc>
          <w:tcPr>
            <w:tcW w:w="1600" w:type="dxa"/>
            <w:tcBorders>
              <w:top w:val="nil"/>
              <w:left w:val="nil"/>
              <w:bottom w:val="single" w:color="auto" w:sz="4" w:space="0"/>
              <w:right w:val="single" w:color="auto" w:sz="4" w:space="0"/>
            </w:tcBorders>
            <w:shd w:val="clear" w:color="auto" w:fill="auto"/>
            <w:vAlign w:val="center"/>
          </w:tcPr>
          <w:p w14:paraId="7EB14CA3">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7.18</w:t>
            </w:r>
          </w:p>
        </w:tc>
        <w:tc>
          <w:tcPr>
            <w:tcW w:w="1660" w:type="dxa"/>
            <w:tcBorders>
              <w:top w:val="nil"/>
              <w:left w:val="nil"/>
              <w:bottom w:val="single" w:color="auto" w:sz="4" w:space="0"/>
              <w:right w:val="single" w:color="auto" w:sz="4" w:space="0"/>
            </w:tcBorders>
            <w:shd w:val="clear" w:color="auto" w:fill="auto"/>
            <w:vAlign w:val="center"/>
          </w:tcPr>
          <w:p w14:paraId="72D5F914">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8.6</w:t>
            </w:r>
          </w:p>
        </w:tc>
        <w:tc>
          <w:tcPr>
            <w:tcW w:w="1680" w:type="dxa"/>
            <w:tcBorders>
              <w:top w:val="nil"/>
              <w:left w:val="nil"/>
              <w:bottom w:val="single" w:color="auto" w:sz="4" w:space="0"/>
              <w:right w:val="single" w:color="auto" w:sz="4" w:space="0"/>
            </w:tcBorders>
            <w:shd w:val="clear" w:color="auto" w:fill="auto"/>
            <w:vAlign w:val="center"/>
          </w:tcPr>
          <w:p w14:paraId="15C17BD0">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6.8</w:t>
            </w:r>
          </w:p>
        </w:tc>
        <w:tc>
          <w:tcPr>
            <w:tcW w:w="1780" w:type="dxa"/>
            <w:tcBorders>
              <w:top w:val="nil"/>
              <w:left w:val="nil"/>
              <w:bottom w:val="single" w:color="auto" w:sz="4" w:space="0"/>
              <w:right w:val="single" w:color="auto" w:sz="4" w:space="0"/>
            </w:tcBorders>
            <w:shd w:val="clear" w:color="auto" w:fill="auto"/>
            <w:vAlign w:val="center"/>
          </w:tcPr>
          <w:p w14:paraId="3AB7A4AB">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6</w:t>
            </w:r>
          </w:p>
        </w:tc>
        <w:tc>
          <w:tcPr>
            <w:tcW w:w="1520" w:type="dxa"/>
            <w:tcBorders>
              <w:top w:val="nil"/>
              <w:left w:val="nil"/>
              <w:bottom w:val="single" w:color="auto" w:sz="4" w:space="0"/>
              <w:right w:val="single" w:color="auto" w:sz="4" w:space="0"/>
            </w:tcBorders>
            <w:shd w:val="clear" w:color="auto" w:fill="auto"/>
            <w:vAlign w:val="center"/>
          </w:tcPr>
          <w:p w14:paraId="32350040">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20</w:t>
            </w:r>
          </w:p>
        </w:tc>
      </w:tr>
      <w:tr w14:paraId="02C0160A">
        <w:tblPrEx>
          <w:tblCellMar>
            <w:top w:w="0" w:type="dxa"/>
            <w:left w:w="108" w:type="dxa"/>
            <w:bottom w:w="0" w:type="dxa"/>
            <w:right w:w="108" w:type="dxa"/>
          </w:tblCellMar>
        </w:tblPrEx>
        <w:trPr>
          <w:trHeight w:val="300" w:hRule="atLeast"/>
          <w:jc w:val="center"/>
        </w:trPr>
        <w:tc>
          <w:tcPr>
            <w:tcW w:w="1520" w:type="dxa"/>
            <w:tcBorders>
              <w:top w:val="nil"/>
              <w:left w:val="single" w:color="auto" w:sz="4" w:space="0"/>
              <w:bottom w:val="single" w:color="auto" w:sz="4" w:space="0"/>
              <w:right w:val="single" w:color="auto" w:sz="4" w:space="0"/>
            </w:tcBorders>
            <w:shd w:val="clear" w:color="auto" w:fill="auto"/>
            <w:vAlign w:val="center"/>
          </w:tcPr>
          <w:p w14:paraId="50FF6F08">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江苏</w:t>
            </w:r>
          </w:p>
        </w:tc>
        <w:tc>
          <w:tcPr>
            <w:tcW w:w="1600" w:type="dxa"/>
            <w:tcBorders>
              <w:top w:val="nil"/>
              <w:left w:val="nil"/>
              <w:bottom w:val="single" w:color="auto" w:sz="4" w:space="0"/>
              <w:right w:val="single" w:color="auto" w:sz="4" w:space="0"/>
            </w:tcBorders>
            <w:shd w:val="clear" w:color="auto" w:fill="auto"/>
            <w:vAlign w:val="center"/>
          </w:tcPr>
          <w:p w14:paraId="72535C4C">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7.117</w:t>
            </w:r>
          </w:p>
        </w:tc>
        <w:tc>
          <w:tcPr>
            <w:tcW w:w="1660" w:type="dxa"/>
            <w:tcBorders>
              <w:top w:val="nil"/>
              <w:left w:val="nil"/>
              <w:bottom w:val="single" w:color="auto" w:sz="4" w:space="0"/>
              <w:right w:val="single" w:color="auto" w:sz="4" w:space="0"/>
            </w:tcBorders>
            <w:shd w:val="clear" w:color="auto" w:fill="auto"/>
            <w:vAlign w:val="center"/>
          </w:tcPr>
          <w:p w14:paraId="0308BA03">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9.44</w:t>
            </w:r>
          </w:p>
        </w:tc>
        <w:tc>
          <w:tcPr>
            <w:tcW w:w="1680" w:type="dxa"/>
            <w:tcBorders>
              <w:top w:val="nil"/>
              <w:left w:val="nil"/>
              <w:bottom w:val="single" w:color="auto" w:sz="4" w:space="0"/>
              <w:right w:val="single" w:color="auto" w:sz="4" w:space="0"/>
            </w:tcBorders>
            <w:shd w:val="clear" w:color="auto" w:fill="auto"/>
            <w:vAlign w:val="center"/>
          </w:tcPr>
          <w:p w14:paraId="00D4B5DF">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7.05</w:t>
            </w:r>
          </w:p>
        </w:tc>
        <w:tc>
          <w:tcPr>
            <w:tcW w:w="1780" w:type="dxa"/>
            <w:tcBorders>
              <w:top w:val="nil"/>
              <w:left w:val="nil"/>
              <w:bottom w:val="single" w:color="auto" w:sz="4" w:space="0"/>
              <w:right w:val="single" w:color="auto" w:sz="4" w:space="0"/>
            </w:tcBorders>
            <w:shd w:val="clear" w:color="auto" w:fill="auto"/>
            <w:vAlign w:val="center"/>
          </w:tcPr>
          <w:p w14:paraId="7B51E901">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3.8</w:t>
            </w:r>
          </w:p>
        </w:tc>
        <w:tc>
          <w:tcPr>
            <w:tcW w:w="1520" w:type="dxa"/>
            <w:tcBorders>
              <w:top w:val="nil"/>
              <w:left w:val="nil"/>
              <w:bottom w:val="single" w:color="auto" w:sz="4" w:space="0"/>
              <w:right w:val="single" w:color="auto" w:sz="4" w:space="0"/>
            </w:tcBorders>
            <w:shd w:val="clear" w:color="auto" w:fill="auto"/>
            <w:vAlign w:val="center"/>
          </w:tcPr>
          <w:p w14:paraId="1064B6A8">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134</w:t>
            </w:r>
          </w:p>
        </w:tc>
      </w:tr>
      <w:tr w14:paraId="6DA2DC7B">
        <w:tblPrEx>
          <w:tblCellMar>
            <w:top w:w="0" w:type="dxa"/>
            <w:left w:w="108" w:type="dxa"/>
            <w:bottom w:w="0" w:type="dxa"/>
            <w:right w:w="108" w:type="dxa"/>
          </w:tblCellMar>
        </w:tblPrEx>
        <w:trPr>
          <w:trHeight w:val="300" w:hRule="atLeast"/>
          <w:jc w:val="center"/>
        </w:trPr>
        <w:tc>
          <w:tcPr>
            <w:tcW w:w="1520" w:type="dxa"/>
            <w:tcBorders>
              <w:top w:val="nil"/>
              <w:left w:val="single" w:color="auto" w:sz="4" w:space="0"/>
              <w:bottom w:val="single" w:color="auto" w:sz="4" w:space="0"/>
              <w:right w:val="single" w:color="auto" w:sz="4" w:space="0"/>
            </w:tcBorders>
            <w:shd w:val="clear" w:color="auto" w:fill="auto"/>
            <w:vAlign w:val="center"/>
          </w:tcPr>
          <w:p w14:paraId="1E1A2A4B">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浙江</w:t>
            </w:r>
          </w:p>
        </w:tc>
        <w:tc>
          <w:tcPr>
            <w:tcW w:w="1600" w:type="dxa"/>
            <w:tcBorders>
              <w:top w:val="nil"/>
              <w:left w:val="nil"/>
              <w:bottom w:val="single" w:color="auto" w:sz="4" w:space="0"/>
              <w:right w:val="single" w:color="auto" w:sz="4" w:space="0"/>
            </w:tcBorders>
            <w:shd w:val="clear" w:color="auto" w:fill="auto"/>
            <w:vAlign w:val="center"/>
          </w:tcPr>
          <w:p w14:paraId="6CD53C9D">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6.951</w:t>
            </w:r>
          </w:p>
        </w:tc>
        <w:tc>
          <w:tcPr>
            <w:tcW w:w="1660" w:type="dxa"/>
            <w:tcBorders>
              <w:top w:val="nil"/>
              <w:left w:val="nil"/>
              <w:bottom w:val="single" w:color="auto" w:sz="4" w:space="0"/>
              <w:right w:val="single" w:color="auto" w:sz="4" w:space="0"/>
            </w:tcBorders>
            <w:shd w:val="clear" w:color="auto" w:fill="auto"/>
            <w:vAlign w:val="center"/>
          </w:tcPr>
          <w:p w14:paraId="4B833ACF">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9.02</w:t>
            </w:r>
          </w:p>
        </w:tc>
        <w:tc>
          <w:tcPr>
            <w:tcW w:w="1680" w:type="dxa"/>
            <w:tcBorders>
              <w:top w:val="nil"/>
              <w:left w:val="nil"/>
              <w:bottom w:val="single" w:color="auto" w:sz="4" w:space="0"/>
              <w:right w:val="single" w:color="auto" w:sz="4" w:space="0"/>
            </w:tcBorders>
            <w:shd w:val="clear" w:color="auto" w:fill="auto"/>
            <w:vAlign w:val="center"/>
          </w:tcPr>
          <w:p w14:paraId="04740712">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7.05</w:t>
            </w:r>
          </w:p>
        </w:tc>
        <w:tc>
          <w:tcPr>
            <w:tcW w:w="1780" w:type="dxa"/>
            <w:tcBorders>
              <w:top w:val="nil"/>
              <w:left w:val="nil"/>
              <w:bottom w:val="single" w:color="auto" w:sz="4" w:space="0"/>
              <w:right w:val="single" w:color="auto" w:sz="4" w:space="0"/>
            </w:tcBorders>
            <w:shd w:val="clear" w:color="auto" w:fill="auto"/>
            <w:vAlign w:val="center"/>
          </w:tcPr>
          <w:p w14:paraId="723FF848">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3.6</w:t>
            </w:r>
          </w:p>
        </w:tc>
        <w:tc>
          <w:tcPr>
            <w:tcW w:w="1520" w:type="dxa"/>
            <w:tcBorders>
              <w:top w:val="nil"/>
              <w:left w:val="nil"/>
              <w:bottom w:val="single" w:color="auto" w:sz="4" w:space="0"/>
              <w:right w:val="single" w:color="auto" w:sz="4" w:space="0"/>
            </w:tcBorders>
            <w:shd w:val="clear" w:color="auto" w:fill="auto"/>
            <w:vAlign w:val="center"/>
          </w:tcPr>
          <w:p w14:paraId="1B24CB95">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83</w:t>
            </w:r>
          </w:p>
        </w:tc>
      </w:tr>
      <w:tr w14:paraId="62C2107A">
        <w:tblPrEx>
          <w:tblCellMar>
            <w:top w:w="0" w:type="dxa"/>
            <w:left w:w="108" w:type="dxa"/>
            <w:bottom w:w="0" w:type="dxa"/>
            <w:right w:w="108" w:type="dxa"/>
          </w:tblCellMar>
        </w:tblPrEx>
        <w:trPr>
          <w:trHeight w:val="300" w:hRule="atLeast"/>
          <w:jc w:val="center"/>
        </w:trPr>
        <w:tc>
          <w:tcPr>
            <w:tcW w:w="1520" w:type="dxa"/>
            <w:tcBorders>
              <w:top w:val="nil"/>
              <w:left w:val="single" w:color="auto" w:sz="4" w:space="0"/>
              <w:bottom w:val="single" w:color="auto" w:sz="4" w:space="0"/>
              <w:right w:val="single" w:color="auto" w:sz="4" w:space="0"/>
            </w:tcBorders>
            <w:shd w:val="clear" w:color="auto" w:fill="auto"/>
            <w:vAlign w:val="center"/>
          </w:tcPr>
          <w:p w14:paraId="1BF15438">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上海</w:t>
            </w:r>
          </w:p>
        </w:tc>
        <w:tc>
          <w:tcPr>
            <w:tcW w:w="1600" w:type="dxa"/>
            <w:tcBorders>
              <w:top w:val="nil"/>
              <w:left w:val="nil"/>
              <w:bottom w:val="single" w:color="auto" w:sz="4" w:space="0"/>
              <w:right w:val="single" w:color="auto" w:sz="4" w:space="0"/>
            </w:tcBorders>
            <w:shd w:val="clear" w:color="auto" w:fill="auto"/>
            <w:vAlign w:val="center"/>
          </w:tcPr>
          <w:p w14:paraId="1438B3CD">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6.837</w:t>
            </w:r>
          </w:p>
        </w:tc>
        <w:tc>
          <w:tcPr>
            <w:tcW w:w="1660" w:type="dxa"/>
            <w:tcBorders>
              <w:top w:val="nil"/>
              <w:left w:val="nil"/>
              <w:bottom w:val="single" w:color="auto" w:sz="4" w:space="0"/>
              <w:right w:val="single" w:color="auto" w:sz="4" w:space="0"/>
            </w:tcBorders>
            <w:shd w:val="clear" w:color="auto" w:fill="auto"/>
            <w:vAlign w:val="center"/>
          </w:tcPr>
          <w:p w14:paraId="5E566F93">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7.34</w:t>
            </w:r>
          </w:p>
        </w:tc>
        <w:tc>
          <w:tcPr>
            <w:tcW w:w="1680" w:type="dxa"/>
            <w:tcBorders>
              <w:top w:val="nil"/>
              <w:left w:val="nil"/>
              <w:bottom w:val="single" w:color="auto" w:sz="4" w:space="0"/>
              <w:right w:val="single" w:color="auto" w:sz="4" w:space="0"/>
            </w:tcBorders>
            <w:shd w:val="clear" w:color="auto" w:fill="auto"/>
            <w:vAlign w:val="center"/>
          </w:tcPr>
          <w:p w14:paraId="35034BC5">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6.55</w:t>
            </w:r>
          </w:p>
        </w:tc>
        <w:tc>
          <w:tcPr>
            <w:tcW w:w="1780" w:type="dxa"/>
            <w:tcBorders>
              <w:top w:val="nil"/>
              <w:left w:val="nil"/>
              <w:bottom w:val="single" w:color="auto" w:sz="4" w:space="0"/>
              <w:right w:val="single" w:color="auto" w:sz="4" w:space="0"/>
            </w:tcBorders>
            <w:shd w:val="clear" w:color="auto" w:fill="auto"/>
            <w:vAlign w:val="center"/>
          </w:tcPr>
          <w:p w14:paraId="5A7E9796">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6.8</w:t>
            </w:r>
          </w:p>
        </w:tc>
        <w:tc>
          <w:tcPr>
            <w:tcW w:w="1520" w:type="dxa"/>
            <w:tcBorders>
              <w:top w:val="nil"/>
              <w:left w:val="nil"/>
              <w:bottom w:val="single" w:color="auto" w:sz="4" w:space="0"/>
              <w:right w:val="single" w:color="auto" w:sz="4" w:space="0"/>
            </w:tcBorders>
            <w:shd w:val="clear" w:color="auto" w:fill="auto"/>
            <w:vAlign w:val="center"/>
          </w:tcPr>
          <w:p w14:paraId="458A3939">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32</w:t>
            </w:r>
          </w:p>
        </w:tc>
      </w:tr>
      <w:tr w14:paraId="6DE291F9">
        <w:tblPrEx>
          <w:tblCellMar>
            <w:top w:w="0" w:type="dxa"/>
            <w:left w:w="108" w:type="dxa"/>
            <w:bottom w:w="0" w:type="dxa"/>
            <w:right w:w="108" w:type="dxa"/>
          </w:tblCellMar>
        </w:tblPrEx>
        <w:trPr>
          <w:trHeight w:val="300" w:hRule="atLeast"/>
          <w:jc w:val="center"/>
        </w:trPr>
        <w:tc>
          <w:tcPr>
            <w:tcW w:w="1520" w:type="dxa"/>
            <w:tcBorders>
              <w:top w:val="nil"/>
              <w:left w:val="single" w:color="auto" w:sz="4" w:space="0"/>
              <w:bottom w:val="single" w:color="auto" w:sz="4" w:space="0"/>
              <w:right w:val="single" w:color="auto" w:sz="4" w:space="0"/>
            </w:tcBorders>
            <w:shd w:val="clear" w:color="auto" w:fill="auto"/>
            <w:vAlign w:val="center"/>
          </w:tcPr>
          <w:p w14:paraId="49FF112E">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四川</w:t>
            </w:r>
          </w:p>
        </w:tc>
        <w:tc>
          <w:tcPr>
            <w:tcW w:w="1600" w:type="dxa"/>
            <w:tcBorders>
              <w:top w:val="nil"/>
              <w:left w:val="nil"/>
              <w:bottom w:val="single" w:color="auto" w:sz="4" w:space="0"/>
              <w:right w:val="single" w:color="auto" w:sz="4" w:space="0"/>
            </w:tcBorders>
            <w:shd w:val="clear" w:color="auto" w:fill="auto"/>
            <w:vAlign w:val="center"/>
          </w:tcPr>
          <w:p w14:paraId="5942EB06">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6.791</w:t>
            </w:r>
          </w:p>
        </w:tc>
        <w:tc>
          <w:tcPr>
            <w:tcW w:w="1660" w:type="dxa"/>
            <w:tcBorders>
              <w:top w:val="nil"/>
              <w:left w:val="nil"/>
              <w:bottom w:val="single" w:color="auto" w:sz="4" w:space="0"/>
              <w:right w:val="single" w:color="auto" w:sz="4" w:space="0"/>
            </w:tcBorders>
            <w:shd w:val="clear" w:color="auto" w:fill="auto"/>
            <w:vAlign w:val="center"/>
          </w:tcPr>
          <w:p w14:paraId="773F32CC">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6.77</w:t>
            </w:r>
          </w:p>
        </w:tc>
        <w:tc>
          <w:tcPr>
            <w:tcW w:w="1680" w:type="dxa"/>
            <w:tcBorders>
              <w:top w:val="nil"/>
              <w:left w:val="nil"/>
              <w:bottom w:val="single" w:color="auto" w:sz="4" w:space="0"/>
              <w:right w:val="single" w:color="auto" w:sz="4" w:space="0"/>
            </w:tcBorders>
            <w:shd w:val="clear" w:color="auto" w:fill="auto"/>
            <w:vAlign w:val="center"/>
          </w:tcPr>
          <w:p w14:paraId="4E8CB258">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7.6</w:t>
            </w:r>
          </w:p>
        </w:tc>
        <w:tc>
          <w:tcPr>
            <w:tcW w:w="1780" w:type="dxa"/>
            <w:tcBorders>
              <w:top w:val="nil"/>
              <w:left w:val="nil"/>
              <w:bottom w:val="single" w:color="auto" w:sz="4" w:space="0"/>
              <w:right w:val="single" w:color="auto" w:sz="4" w:space="0"/>
            </w:tcBorders>
            <w:shd w:val="clear" w:color="auto" w:fill="auto"/>
            <w:vAlign w:val="center"/>
          </w:tcPr>
          <w:p w14:paraId="06A2CC17">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4.8</w:t>
            </w:r>
          </w:p>
        </w:tc>
        <w:tc>
          <w:tcPr>
            <w:tcW w:w="1520" w:type="dxa"/>
            <w:tcBorders>
              <w:top w:val="nil"/>
              <w:left w:val="nil"/>
              <w:bottom w:val="single" w:color="auto" w:sz="4" w:space="0"/>
              <w:right w:val="single" w:color="auto" w:sz="4" w:space="0"/>
            </w:tcBorders>
            <w:shd w:val="clear" w:color="auto" w:fill="auto"/>
            <w:vAlign w:val="center"/>
          </w:tcPr>
          <w:p w14:paraId="2E7C33F9">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40</w:t>
            </w:r>
          </w:p>
        </w:tc>
      </w:tr>
      <w:tr w14:paraId="14A6D2C9">
        <w:trPr>
          <w:trHeight w:val="300" w:hRule="atLeast"/>
          <w:jc w:val="center"/>
        </w:trPr>
        <w:tc>
          <w:tcPr>
            <w:tcW w:w="1520" w:type="dxa"/>
            <w:tcBorders>
              <w:top w:val="nil"/>
              <w:left w:val="single" w:color="auto" w:sz="4" w:space="0"/>
              <w:bottom w:val="single" w:color="auto" w:sz="4" w:space="0"/>
              <w:right w:val="single" w:color="auto" w:sz="4" w:space="0"/>
            </w:tcBorders>
            <w:shd w:val="clear" w:color="auto" w:fill="auto"/>
            <w:vAlign w:val="center"/>
          </w:tcPr>
          <w:p w14:paraId="2806F857">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北京</w:t>
            </w:r>
          </w:p>
        </w:tc>
        <w:tc>
          <w:tcPr>
            <w:tcW w:w="1600" w:type="dxa"/>
            <w:tcBorders>
              <w:top w:val="nil"/>
              <w:left w:val="nil"/>
              <w:bottom w:val="single" w:color="auto" w:sz="4" w:space="0"/>
              <w:right w:val="single" w:color="auto" w:sz="4" w:space="0"/>
            </w:tcBorders>
            <w:shd w:val="clear" w:color="auto" w:fill="auto"/>
            <w:vAlign w:val="center"/>
          </w:tcPr>
          <w:p w14:paraId="2E71F740">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6.771</w:t>
            </w:r>
          </w:p>
        </w:tc>
        <w:tc>
          <w:tcPr>
            <w:tcW w:w="1660" w:type="dxa"/>
            <w:tcBorders>
              <w:top w:val="nil"/>
              <w:left w:val="nil"/>
              <w:bottom w:val="single" w:color="auto" w:sz="4" w:space="0"/>
              <w:right w:val="single" w:color="auto" w:sz="4" w:space="0"/>
            </w:tcBorders>
            <w:shd w:val="clear" w:color="auto" w:fill="auto"/>
            <w:vAlign w:val="center"/>
          </w:tcPr>
          <w:p w14:paraId="65271D54">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7.62</w:t>
            </w:r>
          </w:p>
        </w:tc>
        <w:tc>
          <w:tcPr>
            <w:tcW w:w="1680" w:type="dxa"/>
            <w:tcBorders>
              <w:top w:val="nil"/>
              <w:left w:val="nil"/>
              <w:bottom w:val="single" w:color="auto" w:sz="4" w:space="0"/>
              <w:right w:val="single" w:color="auto" w:sz="4" w:space="0"/>
            </w:tcBorders>
            <w:shd w:val="clear" w:color="auto" w:fill="auto"/>
            <w:vAlign w:val="center"/>
          </w:tcPr>
          <w:p w14:paraId="289CF982">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7.05</w:t>
            </w:r>
          </w:p>
        </w:tc>
        <w:tc>
          <w:tcPr>
            <w:tcW w:w="1780" w:type="dxa"/>
            <w:tcBorders>
              <w:top w:val="nil"/>
              <w:left w:val="nil"/>
              <w:bottom w:val="single" w:color="auto" w:sz="4" w:space="0"/>
              <w:right w:val="single" w:color="auto" w:sz="4" w:space="0"/>
            </w:tcBorders>
            <w:shd w:val="clear" w:color="auto" w:fill="auto"/>
            <w:vAlign w:val="center"/>
          </w:tcPr>
          <w:p w14:paraId="291CA979">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4.8</w:t>
            </w:r>
          </w:p>
        </w:tc>
        <w:tc>
          <w:tcPr>
            <w:tcW w:w="1520" w:type="dxa"/>
            <w:tcBorders>
              <w:top w:val="nil"/>
              <w:left w:val="nil"/>
              <w:bottom w:val="single" w:color="auto" w:sz="4" w:space="0"/>
              <w:right w:val="single" w:color="auto" w:sz="4" w:space="0"/>
            </w:tcBorders>
            <w:shd w:val="clear" w:color="auto" w:fill="auto"/>
            <w:vAlign w:val="center"/>
          </w:tcPr>
          <w:p w14:paraId="4B9E581B">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17</w:t>
            </w:r>
          </w:p>
        </w:tc>
      </w:tr>
      <w:tr w14:paraId="6F28840B">
        <w:tblPrEx>
          <w:tblCellMar>
            <w:top w:w="0" w:type="dxa"/>
            <w:left w:w="108" w:type="dxa"/>
            <w:bottom w:w="0" w:type="dxa"/>
            <w:right w:w="108" w:type="dxa"/>
          </w:tblCellMar>
        </w:tblPrEx>
        <w:trPr>
          <w:trHeight w:val="300" w:hRule="atLeast"/>
          <w:jc w:val="center"/>
        </w:trPr>
        <w:tc>
          <w:tcPr>
            <w:tcW w:w="1520" w:type="dxa"/>
            <w:tcBorders>
              <w:top w:val="nil"/>
              <w:left w:val="single" w:color="auto" w:sz="4" w:space="0"/>
              <w:bottom w:val="single" w:color="auto" w:sz="4" w:space="0"/>
              <w:right w:val="single" w:color="auto" w:sz="4" w:space="0"/>
            </w:tcBorders>
            <w:shd w:val="clear" w:color="auto" w:fill="auto"/>
            <w:vAlign w:val="center"/>
          </w:tcPr>
          <w:p w14:paraId="5EF12DBA">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辽宁</w:t>
            </w:r>
          </w:p>
        </w:tc>
        <w:tc>
          <w:tcPr>
            <w:tcW w:w="1600" w:type="dxa"/>
            <w:tcBorders>
              <w:top w:val="nil"/>
              <w:left w:val="nil"/>
              <w:bottom w:val="single" w:color="auto" w:sz="4" w:space="0"/>
              <w:right w:val="single" w:color="auto" w:sz="4" w:space="0"/>
            </w:tcBorders>
            <w:shd w:val="clear" w:color="auto" w:fill="auto"/>
            <w:vAlign w:val="center"/>
          </w:tcPr>
          <w:p w14:paraId="65742810">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6.68</w:t>
            </w:r>
          </w:p>
        </w:tc>
        <w:tc>
          <w:tcPr>
            <w:tcW w:w="1660" w:type="dxa"/>
            <w:tcBorders>
              <w:top w:val="nil"/>
              <w:left w:val="nil"/>
              <w:bottom w:val="single" w:color="auto" w:sz="4" w:space="0"/>
              <w:right w:val="single" w:color="auto" w:sz="4" w:space="0"/>
            </w:tcBorders>
            <w:shd w:val="clear" w:color="auto" w:fill="auto"/>
            <w:vAlign w:val="center"/>
          </w:tcPr>
          <w:p w14:paraId="3431D271">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7.4</w:t>
            </w:r>
          </w:p>
        </w:tc>
        <w:tc>
          <w:tcPr>
            <w:tcW w:w="1680" w:type="dxa"/>
            <w:tcBorders>
              <w:top w:val="nil"/>
              <w:left w:val="nil"/>
              <w:bottom w:val="single" w:color="auto" w:sz="4" w:space="0"/>
              <w:right w:val="single" w:color="auto" w:sz="4" w:space="0"/>
            </w:tcBorders>
            <w:shd w:val="clear" w:color="auto" w:fill="auto"/>
            <w:vAlign w:val="center"/>
          </w:tcPr>
          <w:p w14:paraId="766310B7">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7</w:t>
            </w:r>
          </w:p>
        </w:tc>
        <w:tc>
          <w:tcPr>
            <w:tcW w:w="1780" w:type="dxa"/>
            <w:tcBorders>
              <w:top w:val="nil"/>
              <w:left w:val="nil"/>
              <w:bottom w:val="single" w:color="auto" w:sz="4" w:space="0"/>
              <w:right w:val="single" w:color="auto" w:sz="4" w:space="0"/>
            </w:tcBorders>
            <w:shd w:val="clear" w:color="auto" w:fill="auto"/>
            <w:vAlign w:val="center"/>
          </w:tcPr>
          <w:p w14:paraId="51852A40">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4.8</w:t>
            </w:r>
          </w:p>
        </w:tc>
        <w:tc>
          <w:tcPr>
            <w:tcW w:w="1520" w:type="dxa"/>
            <w:tcBorders>
              <w:top w:val="nil"/>
              <w:left w:val="nil"/>
              <w:bottom w:val="single" w:color="auto" w:sz="4" w:space="0"/>
              <w:right w:val="single" w:color="auto" w:sz="4" w:space="0"/>
            </w:tcBorders>
            <w:shd w:val="clear" w:color="auto" w:fill="auto"/>
            <w:vAlign w:val="center"/>
          </w:tcPr>
          <w:p w14:paraId="7CB2B722">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36</w:t>
            </w:r>
          </w:p>
        </w:tc>
      </w:tr>
      <w:tr w14:paraId="12C2B0D0">
        <w:tblPrEx>
          <w:tblCellMar>
            <w:top w:w="0" w:type="dxa"/>
            <w:left w:w="108" w:type="dxa"/>
            <w:bottom w:w="0" w:type="dxa"/>
            <w:right w:w="108" w:type="dxa"/>
          </w:tblCellMar>
        </w:tblPrEx>
        <w:trPr>
          <w:trHeight w:val="300" w:hRule="atLeast"/>
          <w:jc w:val="center"/>
        </w:trPr>
        <w:tc>
          <w:tcPr>
            <w:tcW w:w="1520" w:type="dxa"/>
            <w:tcBorders>
              <w:top w:val="nil"/>
              <w:left w:val="single" w:color="auto" w:sz="4" w:space="0"/>
              <w:bottom w:val="single" w:color="auto" w:sz="4" w:space="0"/>
              <w:right w:val="single" w:color="auto" w:sz="4" w:space="0"/>
            </w:tcBorders>
            <w:shd w:val="clear" w:color="auto" w:fill="auto"/>
            <w:vAlign w:val="center"/>
          </w:tcPr>
          <w:p w14:paraId="005E7B08">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广东</w:t>
            </w:r>
          </w:p>
        </w:tc>
        <w:tc>
          <w:tcPr>
            <w:tcW w:w="1600" w:type="dxa"/>
            <w:tcBorders>
              <w:top w:val="nil"/>
              <w:left w:val="nil"/>
              <w:bottom w:val="single" w:color="auto" w:sz="4" w:space="0"/>
              <w:right w:val="single" w:color="auto" w:sz="4" w:space="0"/>
            </w:tcBorders>
            <w:shd w:val="clear" w:color="auto" w:fill="auto"/>
            <w:vAlign w:val="center"/>
          </w:tcPr>
          <w:p w14:paraId="43A29E13">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6.381</w:t>
            </w:r>
          </w:p>
        </w:tc>
        <w:tc>
          <w:tcPr>
            <w:tcW w:w="1660" w:type="dxa"/>
            <w:tcBorders>
              <w:top w:val="nil"/>
              <w:left w:val="nil"/>
              <w:bottom w:val="single" w:color="auto" w:sz="4" w:space="0"/>
              <w:right w:val="single" w:color="auto" w:sz="4" w:space="0"/>
            </w:tcBorders>
            <w:shd w:val="clear" w:color="auto" w:fill="auto"/>
            <w:vAlign w:val="center"/>
          </w:tcPr>
          <w:p w14:paraId="50971346">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7.82</w:t>
            </w:r>
          </w:p>
        </w:tc>
        <w:tc>
          <w:tcPr>
            <w:tcW w:w="1680" w:type="dxa"/>
            <w:tcBorders>
              <w:top w:val="nil"/>
              <w:left w:val="nil"/>
              <w:bottom w:val="single" w:color="auto" w:sz="4" w:space="0"/>
              <w:right w:val="single" w:color="auto" w:sz="4" w:space="0"/>
            </w:tcBorders>
            <w:shd w:val="clear" w:color="auto" w:fill="auto"/>
            <w:vAlign w:val="center"/>
          </w:tcPr>
          <w:p w14:paraId="4ECB3A86">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6.15</w:t>
            </w:r>
          </w:p>
        </w:tc>
        <w:tc>
          <w:tcPr>
            <w:tcW w:w="1780" w:type="dxa"/>
            <w:tcBorders>
              <w:top w:val="nil"/>
              <w:left w:val="nil"/>
              <w:bottom w:val="single" w:color="auto" w:sz="4" w:space="0"/>
              <w:right w:val="single" w:color="auto" w:sz="4" w:space="0"/>
            </w:tcBorders>
            <w:shd w:val="clear" w:color="auto" w:fill="auto"/>
            <w:vAlign w:val="center"/>
          </w:tcPr>
          <w:p w14:paraId="6590F534">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4.8</w:t>
            </w:r>
          </w:p>
        </w:tc>
        <w:tc>
          <w:tcPr>
            <w:tcW w:w="1520" w:type="dxa"/>
            <w:tcBorders>
              <w:top w:val="nil"/>
              <w:left w:val="nil"/>
              <w:bottom w:val="single" w:color="auto" w:sz="4" w:space="0"/>
              <w:right w:val="single" w:color="auto" w:sz="4" w:space="0"/>
            </w:tcBorders>
            <w:shd w:val="clear" w:color="auto" w:fill="auto"/>
            <w:vAlign w:val="center"/>
          </w:tcPr>
          <w:p w14:paraId="051BB385">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48</w:t>
            </w:r>
          </w:p>
        </w:tc>
      </w:tr>
      <w:tr w14:paraId="3E0BF1D5">
        <w:tblPrEx>
          <w:tblCellMar>
            <w:top w:w="0" w:type="dxa"/>
            <w:left w:w="108" w:type="dxa"/>
            <w:bottom w:w="0" w:type="dxa"/>
            <w:right w:w="108" w:type="dxa"/>
          </w:tblCellMar>
        </w:tblPrEx>
        <w:trPr>
          <w:trHeight w:val="300" w:hRule="atLeast"/>
          <w:jc w:val="center"/>
        </w:trPr>
        <w:tc>
          <w:tcPr>
            <w:tcW w:w="1520" w:type="dxa"/>
            <w:tcBorders>
              <w:top w:val="nil"/>
              <w:left w:val="single" w:color="auto" w:sz="4" w:space="0"/>
              <w:bottom w:val="single" w:color="auto" w:sz="4" w:space="0"/>
              <w:right w:val="single" w:color="auto" w:sz="4" w:space="0"/>
            </w:tcBorders>
            <w:shd w:val="clear" w:color="auto" w:fill="auto"/>
            <w:vAlign w:val="center"/>
          </w:tcPr>
          <w:p w14:paraId="5205D794">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湖北</w:t>
            </w:r>
          </w:p>
        </w:tc>
        <w:tc>
          <w:tcPr>
            <w:tcW w:w="1600" w:type="dxa"/>
            <w:tcBorders>
              <w:top w:val="nil"/>
              <w:left w:val="nil"/>
              <w:bottom w:val="single" w:color="auto" w:sz="4" w:space="0"/>
              <w:right w:val="single" w:color="auto" w:sz="4" w:space="0"/>
            </w:tcBorders>
            <w:shd w:val="clear" w:color="auto" w:fill="auto"/>
            <w:vAlign w:val="center"/>
          </w:tcPr>
          <w:p w14:paraId="452C3590">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5.7</w:t>
            </w:r>
          </w:p>
        </w:tc>
        <w:tc>
          <w:tcPr>
            <w:tcW w:w="1660" w:type="dxa"/>
            <w:tcBorders>
              <w:top w:val="nil"/>
              <w:left w:val="nil"/>
              <w:bottom w:val="single" w:color="auto" w:sz="4" w:space="0"/>
              <w:right w:val="single" w:color="auto" w:sz="4" w:space="0"/>
            </w:tcBorders>
            <w:shd w:val="clear" w:color="auto" w:fill="auto"/>
            <w:vAlign w:val="center"/>
          </w:tcPr>
          <w:p w14:paraId="4C0FA543">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6</w:t>
            </w:r>
          </w:p>
        </w:tc>
        <w:tc>
          <w:tcPr>
            <w:tcW w:w="1680" w:type="dxa"/>
            <w:tcBorders>
              <w:top w:val="nil"/>
              <w:left w:val="nil"/>
              <w:bottom w:val="single" w:color="auto" w:sz="4" w:space="0"/>
              <w:right w:val="single" w:color="auto" w:sz="4" w:space="0"/>
            </w:tcBorders>
            <w:shd w:val="clear" w:color="auto" w:fill="auto"/>
            <w:vAlign w:val="center"/>
          </w:tcPr>
          <w:p w14:paraId="0F43CDEA">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5.4</w:t>
            </w:r>
          </w:p>
        </w:tc>
        <w:tc>
          <w:tcPr>
            <w:tcW w:w="1780" w:type="dxa"/>
            <w:tcBorders>
              <w:top w:val="nil"/>
              <w:left w:val="nil"/>
              <w:bottom w:val="single" w:color="auto" w:sz="4" w:space="0"/>
              <w:right w:val="single" w:color="auto" w:sz="4" w:space="0"/>
            </w:tcBorders>
            <w:shd w:val="clear" w:color="auto" w:fill="auto"/>
            <w:vAlign w:val="center"/>
          </w:tcPr>
          <w:p w14:paraId="373F43EE">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6</w:t>
            </w:r>
          </w:p>
        </w:tc>
        <w:tc>
          <w:tcPr>
            <w:tcW w:w="1520" w:type="dxa"/>
            <w:tcBorders>
              <w:top w:val="nil"/>
              <w:left w:val="nil"/>
              <w:bottom w:val="single" w:color="auto" w:sz="4" w:space="0"/>
              <w:right w:val="single" w:color="auto" w:sz="4" w:space="0"/>
            </w:tcBorders>
            <w:shd w:val="clear" w:color="auto" w:fill="auto"/>
            <w:vAlign w:val="center"/>
          </w:tcPr>
          <w:p w14:paraId="111DC49A">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22</w:t>
            </w:r>
          </w:p>
        </w:tc>
      </w:tr>
      <w:tr w14:paraId="2798D2AE">
        <w:tblPrEx>
          <w:tblCellMar>
            <w:top w:w="0" w:type="dxa"/>
            <w:left w:w="108" w:type="dxa"/>
            <w:bottom w:w="0" w:type="dxa"/>
            <w:right w:w="108" w:type="dxa"/>
          </w:tblCellMar>
        </w:tblPrEx>
        <w:trPr>
          <w:trHeight w:val="300" w:hRule="atLeast"/>
          <w:jc w:val="center"/>
        </w:trPr>
        <w:tc>
          <w:tcPr>
            <w:tcW w:w="1520" w:type="dxa"/>
            <w:tcBorders>
              <w:top w:val="nil"/>
              <w:left w:val="single" w:color="auto" w:sz="4" w:space="0"/>
              <w:bottom w:val="single" w:color="auto" w:sz="4" w:space="0"/>
              <w:right w:val="single" w:color="auto" w:sz="4" w:space="0"/>
            </w:tcBorders>
            <w:shd w:val="clear" w:color="auto" w:fill="auto"/>
            <w:vAlign w:val="center"/>
          </w:tcPr>
          <w:p w14:paraId="6B494075">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陕西</w:t>
            </w:r>
          </w:p>
        </w:tc>
        <w:tc>
          <w:tcPr>
            <w:tcW w:w="1600" w:type="dxa"/>
            <w:tcBorders>
              <w:top w:val="nil"/>
              <w:left w:val="nil"/>
              <w:bottom w:val="single" w:color="auto" w:sz="4" w:space="0"/>
              <w:right w:val="single" w:color="auto" w:sz="4" w:space="0"/>
            </w:tcBorders>
            <w:shd w:val="clear" w:color="auto" w:fill="auto"/>
            <w:vAlign w:val="center"/>
          </w:tcPr>
          <w:p w14:paraId="743ABEAA">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5.698</w:t>
            </w:r>
          </w:p>
        </w:tc>
        <w:tc>
          <w:tcPr>
            <w:tcW w:w="1660" w:type="dxa"/>
            <w:tcBorders>
              <w:top w:val="nil"/>
              <w:left w:val="nil"/>
              <w:bottom w:val="single" w:color="auto" w:sz="4" w:space="0"/>
              <w:right w:val="single" w:color="auto" w:sz="4" w:space="0"/>
            </w:tcBorders>
            <w:shd w:val="clear" w:color="auto" w:fill="auto"/>
            <w:vAlign w:val="center"/>
          </w:tcPr>
          <w:p w14:paraId="0CB16AD5">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5.66</w:t>
            </w:r>
          </w:p>
        </w:tc>
        <w:tc>
          <w:tcPr>
            <w:tcW w:w="1680" w:type="dxa"/>
            <w:tcBorders>
              <w:top w:val="nil"/>
              <w:left w:val="nil"/>
              <w:bottom w:val="single" w:color="auto" w:sz="4" w:space="0"/>
              <w:right w:val="single" w:color="auto" w:sz="4" w:space="0"/>
            </w:tcBorders>
            <w:shd w:val="clear" w:color="auto" w:fill="auto"/>
            <w:vAlign w:val="center"/>
          </w:tcPr>
          <w:p w14:paraId="0D5C3696">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6.4</w:t>
            </w:r>
          </w:p>
        </w:tc>
        <w:tc>
          <w:tcPr>
            <w:tcW w:w="1780" w:type="dxa"/>
            <w:tcBorders>
              <w:top w:val="nil"/>
              <w:left w:val="nil"/>
              <w:bottom w:val="single" w:color="auto" w:sz="4" w:space="0"/>
              <w:right w:val="single" w:color="auto" w:sz="4" w:space="0"/>
            </w:tcBorders>
            <w:shd w:val="clear" w:color="auto" w:fill="auto"/>
            <w:vAlign w:val="center"/>
          </w:tcPr>
          <w:p w14:paraId="25A6DDBA">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4</w:t>
            </w:r>
          </w:p>
        </w:tc>
        <w:tc>
          <w:tcPr>
            <w:tcW w:w="1520" w:type="dxa"/>
            <w:tcBorders>
              <w:top w:val="nil"/>
              <w:left w:val="nil"/>
              <w:bottom w:val="single" w:color="auto" w:sz="4" w:space="0"/>
              <w:right w:val="single" w:color="auto" w:sz="4" w:space="0"/>
            </w:tcBorders>
            <w:shd w:val="clear" w:color="auto" w:fill="auto"/>
            <w:vAlign w:val="center"/>
          </w:tcPr>
          <w:p w14:paraId="0D94FC1E">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16</w:t>
            </w:r>
          </w:p>
        </w:tc>
      </w:tr>
      <w:tr w14:paraId="41CF7971">
        <w:tblPrEx>
          <w:tblCellMar>
            <w:top w:w="0" w:type="dxa"/>
            <w:left w:w="108" w:type="dxa"/>
            <w:bottom w:w="0" w:type="dxa"/>
            <w:right w:w="108" w:type="dxa"/>
          </w:tblCellMar>
        </w:tblPrEx>
        <w:trPr>
          <w:trHeight w:val="300" w:hRule="atLeast"/>
          <w:jc w:val="center"/>
        </w:trPr>
        <w:tc>
          <w:tcPr>
            <w:tcW w:w="1520" w:type="dxa"/>
            <w:tcBorders>
              <w:top w:val="nil"/>
              <w:left w:val="single" w:color="auto" w:sz="4" w:space="0"/>
              <w:bottom w:val="single" w:color="auto" w:sz="4" w:space="0"/>
              <w:right w:val="single" w:color="auto" w:sz="4" w:space="0"/>
            </w:tcBorders>
            <w:shd w:val="clear" w:color="auto" w:fill="auto"/>
            <w:vAlign w:val="center"/>
          </w:tcPr>
          <w:p w14:paraId="2CD73780">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江西</w:t>
            </w:r>
          </w:p>
        </w:tc>
        <w:tc>
          <w:tcPr>
            <w:tcW w:w="1600" w:type="dxa"/>
            <w:tcBorders>
              <w:top w:val="nil"/>
              <w:left w:val="nil"/>
              <w:bottom w:val="single" w:color="auto" w:sz="4" w:space="0"/>
              <w:right w:val="single" w:color="auto" w:sz="4" w:space="0"/>
            </w:tcBorders>
            <w:shd w:val="clear" w:color="auto" w:fill="auto"/>
            <w:vAlign w:val="center"/>
          </w:tcPr>
          <w:p w14:paraId="5778FE9E">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5.439</w:t>
            </w:r>
          </w:p>
        </w:tc>
        <w:tc>
          <w:tcPr>
            <w:tcW w:w="1660" w:type="dxa"/>
            <w:tcBorders>
              <w:top w:val="nil"/>
              <w:left w:val="nil"/>
              <w:bottom w:val="single" w:color="auto" w:sz="4" w:space="0"/>
              <w:right w:val="single" w:color="auto" w:sz="4" w:space="0"/>
            </w:tcBorders>
            <w:shd w:val="clear" w:color="auto" w:fill="auto"/>
            <w:vAlign w:val="center"/>
          </w:tcPr>
          <w:p w14:paraId="57CCDA6C">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5.93</w:t>
            </w:r>
          </w:p>
        </w:tc>
        <w:tc>
          <w:tcPr>
            <w:tcW w:w="1680" w:type="dxa"/>
            <w:tcBorders>
              <w:top w:val="nil"/>
              <w:left w:val="nil"/>
              <w:bottom w:val="single" w:color="auto" w:sz="4" w:space="0"/>
              <w:right w:val="single" w:color="auto" w:sz="4" w:space="0"/>
            </w:tcBorders>
            <w:shd w:val="clear" w:color="auto" w:fill="auto"/>
            <w:vAlign w:val="center"/>
          </w:tcPr>
          <w:p w14:paraId="68E45812">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5.4</w:t>
            </w:r>
          </w:p>
        </w:tc>
        <w:tc>
          <w:tcPr>
            <w:tcW w:w="1780" w:type="dxa"/>
            <w:tcBorders>
              <w:top w:val="nil"/>
              <w:left w:val="nil"/>
              <w:bottom w:val="single" w:color="auto" w:sz="4" w:space="0"/>
              <w:right w:val="single" w:color="auto" w:sz="4" w:space="0"/>
            </w:tcBorders>
            <w:shd w:val="clear" w:color="auto" w:fill="auto"/>
            <w:vAlign w:val="center"/>
          </w:tcPr>
          <w:p w14:paraId="1B138787">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4.8</w:t>
            </w:r>
          </w:p>
        </w:tc>
        <w:tc>
          <w:tcPr>
            <w:tcW w:w="1520" w:type="dxa"/>
            <w:tcBorders>
              <w:top w:val="nil"/>
              <w:left w:val="nil"/>
              <w:bottom w:val="single" w:color="auto" w:sz="4" w:space="0"/>
              <w:right w:val="single" w:color="auto" w:sz="4" w:space="0"/>
            </w:tcBorders>
            <w:shd w:val="clear" w:color="auto" w:fill="auto"/>
            <w:vAlign w:val="center"/>
          </w:tcPr>
          <w:p w14:paraId="5743097A">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25</w:t>
            </w:r>
          </w:p>
        </w:tc>
      </w:tr>
      <w:tr w14:paraId="59524526">
        <w:tblPrEx>
          <w:tblCellMar>
            <w:top w:w="0" w:type="dxa"/>
            <w:left w:w="108" w:type="dxa"/>
            <w:bottom w:w="0" w:type="dxa"/>
            <w:right w:w="108" w:type="dxa"/>
          </w:tblCellMar>
        </w:tblPrEx>
        <w:trPr>
          <w:trHeight w:val="329" w:hRule="atLeast"/>
          <w:jc w:val="center"/>
        </w:trPr>
        <w:tc>
          <w:tcPr>
            <w:tcW w:w="1520" w:type="dxa"/>
            <w:tcBorders>
              <w:top w:val="nil"/>
              <w:left w:val="single" w:color="auto" w:sz="4" w:space="0"/>
              <w:bottom w:val="single" w:color="auto" w:sz="4" w:space="0"/>
              <w:right w:val="single" w:color="auto" w:sz="4" w:space="0"/>
            </w:tcBorders>
            <w:shd w:val="clear" w:color="auto" w:fill="auto"/>
            <w:vAlign w:val="center"/>
          </w:tcPr>
          <w:p w14:paraId="4F72C203">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重庆</w:t>
            </w:r>
          </w:p>
        </w:tc>
        <w:tc>
          <w:tcPr>
            <w:tcW w:w="1600" w:type="dxa"/>
            <w:tcBorders>
              <w:top w:val="nil"/>
              <w:left w:val="nil"/>
              <w:bottom w:val="single" w:color="auto" w:sz="4" w:space="0"/>
              <w:right w:val="single" w:color="auto" w:sz="4" w:space="0"/>
            </w:tcBorders>
            <w:shd w:val="clear" w:color="auto" w:fill="auto"/>
            <w:vAlign w:val="center"/>
          </w:tcPr>
          <w:p w14:paraId="0089BE64">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5.438</w:t>
            </w:r>
          </w:p>
        </w:tc>
        <w:tc>
          <w:tcPr>
            <w:tcW w:w="1660" w:type="dxa"/>
            <w:tcBorders>
              <w:top w:val="nil"/>
              <w:left w:val="nil"/>
              <w:bottom w:val="single" w:color="auto" w:sz="4" w:space="0"/>
              <w:right w:val="single" w:color="auto" w:sz="4" w:space="0"/>
            </w:tcBorders>
            <w:shd w:val="clear" w:color="auto" w:fill="auto"/>
            <w:vAlign w:val="center"/>
          </w:tcPr>
          <w:p w14:paraId="3F59B8E0">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6.56</w:t>
            </w:r>
          </w:p>
        </w:tc>
        <w:tc>
          <w:tcPr>
            <w:tcW w:w="1680" w:type="dxa"/>
            <w:tcBorders>
              <w:top w:val="nil"/>
              <w:left w:val="nil"/>
              <w:bottom w:val="single" w:color="auto" w:sz="4" w:space="0"/>
              <w:right w:val="single" w:color="auto" w:sz="4" w:space="0"/>
            </w:tcBorders>
            <w:shd w:val="clear" w:color="auto" w:fill="auto"/>
            <w:vAlign w:val="center"/>
          </w:tcPr>
          <w:p w14:paraId="70164C34">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5.5</w:t>
            </w:r>
          </w:p>
        </w:tc>
        <w:tc>
          <w:tcPr>
            <w:tcW w:w="1780" w:type="dxa"/>
            <w:tcBorders>
              <w:top w:val="nil"/>
              <w:left w:val="nil"/>
              <w:bottom w:val="single" w:color="auto" w:sz="4" w:space="0"/>
              <w:right w:val="single" w:color="auto" w:sz="4" w:space="0"/>
            </w:tcBorders>
            <w:shd w:val="clear" w:color="auto" w:fill="auto"/>
            <w:vAlign w:val="center"/>
          </w:tcPr>
          <w:p w14:paraId="22766299">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3.6</w:t>
            </w:r>
          </w:p>
        </w:tc>
        <w:tc>
          <w:tcPr>
            <w:tcW w:w="1520" w:type="dxa"/>
            <w:tcBorders>
              <w:top w:val="nil"/>
              <w:left w:val="nil"/>
              <w:bottom w:val="single" w:color="auto" w:sz="4" w:space="0"/>
              <w:right w:val="single" w:color="auto" w:sz="4" w:space="0"/>
            </w:tcBorders>
            <w:shd w:val="clear" w:color="auto" w:fill="auto"/>
            <w:vAlign w:val="center"/>
          </w:tcPr>
          <w:p w14:paraId="32B15D3A">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40</w:t>
            </w:r>
          </w:p>
        </w:tc>
      </w:tr>
      <w:tr w14:paraId="7492B899">
        <w:tblPrEx>
          <w:tblCellMar>
            <w:top w:w="0" w:type="dxa"/>
            <w:left w:w="108" w:type="dxa"/>
            <w:bottom w:w="0" w:type="dxa"/>
            <w:right w:w="108" w:type="dxa"/>
          </w:tblCellMar>
        </w:tblPrEx>
        <w:trPr>
          <w:trHeight w:val="300" w:hRule="atLeast"/>
          <w:jc w:val="center"/>
        </w:trPr>
        <w:tc>
          <w:tcPr>
            <w:tcW w:w="1520" w:type="dxa"/>
            <w:tcBorders>
              <w:top w:val="nil"/>
              <w:left w:val="single" w:color="auto" w:sz="4" w:space="0"/>
              <w:bottom w:val="single" w:color="auto" w:sz="4" w:space="0"/>
              <w:right w:val="single" w:color="auto" w:sz="4" w:space="0"/>
            </w:tcBorders>
            <w:shd w:val="clear" w:color="auto" w:fill="auto"/>
            <w:vAlign w:val="center"/>
          </w:tcPr>
          <w:p w14:paraId="44339CCB">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福建</w:t>
            </w:r>
          </w:p>
        </w:tc>
        <w:tc>
          <w:tcPr>
            <w:tcW w:w="1600" w:type="dxa"/>
            <w:tcBorders>
              <w:top w:val="nil"/>
              <w:left w:val="nil"/>
              <w:bottom w:val="single" w:color="auto" w:sz="4" w:space="0"/>
              <w:right w:val="single" w:color="auto" w:sz="4" w:space="0"/>
            </w:tcBorders>
            <w:shd w:val="clear" w:color="auto" w:fill="auto"/>
            <w:vAlign w:val="center"/>
          </w:tcPr>
          <w:p w14:paraId="0B12F75C">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5.385</w:t>
            </w:r>
          </w:p>
        </w:tc>
        <w:tc>
          <w:tcPr>
            <w:tcW w:w="1660" w:type="dxa"/>
            <w:tcBorders>
              <w:top w:val="nil"/>
              <w:left w:val="nil"/>
              <w:bottom w:val="single" w:color="auto" w:sz="4" w:space="0"/>
              <w:right w:val="single" w:color="auto" w:sz="4" w:space="0"/>
            </w:tcBorders>
            <w:shd w:val="clear" w:color="auto" w:fill="auto"/>
            <w:vAlign w:val="center"/>
          </w:tcPr>
          <w:p w14:paraId="71A82F34">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6</w:t>
            </w:r>
          </w:p>
        </w:tc>
        <w:tc>
          <w:tcPr>
            <w:tcW w:w="1680" w:type="dxa"/>
            <w:tcBorders>
              <w:top w:val="nil"/>
              <w:left w:val="nil"/>
              <w:bottom w:val="single" w:color="auto" w:sz="4" w:space="0"/>
              <w:right w:val="single" w:color="auto" w:sz="4" w:space="0"/>
            </w:tcBorders>
            <w:shd w:val="clear" w:color="auto" w:fill="auto"/>
            <w:vAlign w:val="center"/>
          </w:tcPr>
          <w:p w14:paraId="5C27D33A">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5.25</w:t>
            </w:r>
          </w:p>
        </w:tc>
        <w:tc>
          <w:tcPr>
            <w:tcW w:w="1780" w:type="dxa"/>
            <w:tcBorders>
              <w:top w:val="nil"/>
              <w:left w:val="nil"/>
              <w:bottom w:val="single" w:color="auto" w:sz="4" w:space="0"/>
              <w:right w:val="single" w:color="auto" w:sz="4" w:space="0"/>
            </w:tcBorders>
            <w:shd w:val="clear" w:color="auto" w:fill="auto"/>
            <w:vAlign w:val="center"/>
          </w:tcPr>
          <w:p w14:paraId="7EDF434A">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4.8</w:t>
            </w:r>
          </w:p>
        </w:tc>
        <w:tc>
          <w:tcPr>
            <w:tcW w:w="1520" w:type="dxa"/>
            <w:tcBorders>
              <w:top w:val="nil"/>
              <w:left w:val="nil"/>
              <w:bottom w:val="single" w:color="auto" w:sz="4" w:space="0"/>
              <w:right w:val="single" w:color="auto" w:sz="4" w:space="0"/>
            </w:tcBorders>
            <w:shd w:val="clear" w:color="auto" w:fill="auto"/>
            <w:vAlign w:val="center"/>
          </w:tcPr>
          <w:p w14:paraId="56256B50">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36</w:t>
            </w:r>
          </w:p>
        </w:tc>
      </w:tr>
      <w:tr w14:paraId="2FE5832A">
        <w:tblPrEx>
          <w:tblCellMar>
            <w:top w:w="0" w:type="dxa"/>
            <w:left w:w="108" w:type="dxa"/>
            <w:bottom w:w="0" w:type="dxa"/>
            <w:right w:w="108" w:type="dxa"/>
          </w:tblCellMar>
        </w:tblPrEx>
        <w:trPr>
          <w:trHeight w:val="300" w:hRule="atLeast"/>
          <w:jc w:val="center"/>
        </w:trPr>
        <w:tc>
          <w:tcPr>
            <w:tcW w:w="1520" w:type="dxa"/>
            <w:tcBorders>
              <w:top w:val="nil"/>
              <w:left w:val="single" w:color="auto" w:sz="4" w:space="0"/>
              <w:bottom w:val="single" w:color="auto" w:sz="4" w:space="0"/>
              <w:right w:val="single" w:color="auto" w:sz="4" w:space="0"/>
            </w:tcBorders>
            <w:shd w:val="clear" w:color="auto" w:fill="auto"/>
            <w:vAlign w:val="center"/>
          </w:tcPr>
          <w:p w14:paraId="3BC0ABEF">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内蒙古</w:t>
            </w:r>
          </w:p>
        </w:tc>
        <w:tc>
          <w:tcPr>
            <w:tcW w:w="1600" w:type="dxa"/>
            <w:tcBorders>
              <w:top w:val="nil"/>
              <w:left w:val="nil"/>
              <w:bottom w:val="single" w:color="auto" w:sz="4" w:space="0"/>
              <w:right w:val="single" w:color="auto" w:sz="4" w:space="0"/>
            </w:tcBorders>
            <w:shd w:val="clear" w:color="auto" w:fill="auto"/>
            <w:vAlign w:val="center"/>
          </w:tcPr>
          <w:p w14:paraId="6990CE75">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5.23</w:t>
            </w:r>
          </w:p>
        </w:tc>
        <w:tc>
          <w:tcPr>
            <w:tcW w:w="1660" w:type="dxa"/>
            <w:tcBorders>
              <w:top w:val="nil"/>
              <w:left w:val="nil"/>
              <w:bottom w:val="single" w:color="auto" w:sz="4" w:space="0"/>
              <w:right w:val="single" w:color="auto" w:sz="4" w:space="0"/>
            </w:tcBorders>
            <w:shd w:val="clear" w:color="auto" w:fill="auto"/>
            <w:vAlign w:val="center"/>
          </w:tcPr>
          <w:p w14:paraId="734D4826">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5.9</w:t>
            </w:r>
          </w:p>
        </w:tc>
        <w:tc>
          <w:tcPr>
            <w:tcW w:w="1680" w:type="dxa"/>
            <w:tcBorders>
              <w:top w:val="nil"/>
              <w:left w:val="nil"/>
              <w:bottom w:val="single" w:color="auto" w:sz="4" w:space="0"/>
              <w:right w:val="single" w:color="auto" w:sz="4" w:space="0"/>
            </w:tcBorders>
            <w:shd w:val="clear" w:color="auto" w:fill="auto"/>
            <w:vAlign w:val="center"/>
          </w:tcPr>
          <w:p w14:paraId="76D5DE5A">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5.4</w:t>
            </w:r>
          </w:p>
        </w:tc>
        <w:tc>
          <w:tcPr>
            <w:tcW w:w="1780" w:type="dxa"/>
            <w:tcBorders>
              <w:top w:val="nil"/>
              <w:left w:val="nil"/>
              <w:bottom w:val="single" w:color="auto" w:sz="4" w:space="0"/>
              <w:right w:val="single" w:color="auto" w:sz="4" w:space="0"/>
            </w:tcBorders>
            <w:shd w:val="clear" w:color="auto" w:fill="auto"/>
            <w:vAlign w:val="center"/>
          </w:tcPr>
          <w:p w14:paraId="05C008FA">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3.8</w:t>
            </w:r>
          </w:p>
        </w:tc>
        <w:tc>
          <w:tcPr>
            <w:tcW w:w="1520" w:type="dxa"/>
            <w:tcBorders>
              <w:top w:val="nil"/>
              <w:left w:val="nil"/>
              <w:bottom w:val="single" w:color="auto" w:sz="4" w:space="0"/>
              <w:right w:val="single" w:color="auto" w:sz="4" w:space="0"/>
            </w:tcBorders>
            <w:shd w:val="clear" w:color="auto" w:fill="auto"/>
            <w:vAlign w:val="center"/>
          </w:tcPr>
          <w:p w14:paraId="3325100D">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21</w:t>
            </w:r>
          </w:p>
        </w:tc>
      </w:tr>
      <w:tr w14:paraId="15547870">
        <w:tblPrEx>
          <w:tblCellMar>
            <w:top w:w="0" w:type="dxa"/>
            <w:left w:w="108" w:type="dxa"/>
            <w:bottom w:w="0" w:type="dxa"/>
            <w:right w:w="108" w:type="dxa"/>
          </w:tblCellMar>
        </w:tblPrEx>
        <w:trPr>
          <w:trHeight w:val="300" w:hRule="atLeast"/>
          <w:jc w:val="center"/>
        </w:trPr>
        <w:tc>
          <w:tcPr>
            <w:tcW w:w="1520" w:type="dxa"/>
            <w:tcBorders>
              <w:top w:val="nil"/>
              <w:left w:val="single" w:color="auto" w:sz="4" w:space="0"/>
              <w:bottom w:val="single" w:color="auto" w:sz="4" w:space="0"/>
              <w:right w:val="single" w:color="auto" w:sz="4" w:space="0"/>
            </w:tcBorders>
            <w:shd w:val="clear" w:color="auto" w:fill="auto"/>
            <w:vAlign w:val="center"/>
          </w:tcPr>
          <w:p w14:paraId="12E59DD4">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安徽</w:t>
            </w:r>
          </w:p>
        </w:tc>
        <w:tc>
          <w:tcPr>
            <w:tcW w:w="1600" w:type="dxa"/>
            <w:tcBorders>
              <w:top w:val="nil"/>
              <w:left w:val="nil"/>
              <w:bottom w:val="single" w:color="auto" w:sz="4" w:space="0"/>
              <w:right w:val="single" w:color="auto" w:sz="4" w:space="0"/>
            </w:tcBorders>
            <w:shd w:val="clear" w:color="auto" w:fill="auto"/>
            <w:vAlign w:val="center"/>
          </w:tcPr>
          <w:p w14:paraId="0DE49101">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5.151</w:t>
            </w:r>
          </w:p>
        </w:tc>
        <w:tc>
          <w:tcPr>
            <w:tcW w:w="1660" w:type="dxa"/>
            <w:tcBorders>
              <w:top w:val="nil"/>
              <w:left w:val="nil"/>
              <w:bottom w:val="single" w:color="auto" w:sz="4" w:space="0"/>
              <w:right w:val="single" w:color="auto" w:sz="4" w:space="0"/>
            </w:tcBorders>
            <w:shd w:val="clear" w:color="auto" w:fill="auto"/>
            <w:vAlign w:val="center"/>
          </w:tcPr>
          <w:p w14:paraId="149B95AE">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5.37</w:t>
            </w:r>
          </w:p>
        </w:tc>
        <w:tc>
          <w:tcPr>
            <w:tcW w:w="1680" w:type="dxa"/>
            <w:tcBorders>
              <w:top w:val="nil"/>
              <w:left w:val="nil"/>
              <w:bottom w:val="single" w:color="auto" w:sz="4" w:space="0"/>
              <w:right w:val="single" w:color="auto" w:sz="4" w:space="0"/>
            </w:tcBorders>
            <w:shd w:val="clear" w:color="auto" w:fill="auto"/>
            <w:vAlign w:val="center"/>
          </w:tcPr>
          <w:p w14:paraId="2FC9DE2C">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5.4</w:t>
            </w:r>
          </w:p>
        </w:tc>
        <w:tc>
          <w:tcPr>
            <w:tcW w:w="1780" w:type="dxa"/>
            <w:tcBorders>
              <w:top w:val="nil"/>
              <w:left w:val="nil"/>
              <w:bottom w:val="single" w:color="auto" w:sz="4" w:space="0"/>
              <w:right w:val="single" w:color="auto" w:sz="4" w:space="0"/>
            </w:tcBorders>
            <w:shd w:val="clear" w:color="auto" w:fill="auto"/>
            <w:vAlign w:val="center"/>
          </w:tcPr>
          <w:p w14:paraId="6E5D0D08">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4.2</w:t>
            </w:r>
          </w:p>
        </w:tc>
        <w:tc>
          <w:tcPr>
            <w:tcW w:w="1520" w:type="dxa"/>
            <w:tcBorders>
              <w:top w:val="nil"/>
              <w:left w:val="nil"/>
              <w:bottom w:val="single" w:color="auto" w:sz="4" w:space="0"/>
              <w:right w:val="single" w:color="auto" w:sz="4" w:space="0"/>
            </w:tcBorders>
            <w:shd w:val="clear" w:color="auto" w:fill="auto"/>
            <w:vAlign w:val="center"/>
          </w:tcPr>
          <w:p w14:paraId="02C9DDF4">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37</w:t>
            </w:r>
          </w:p>
        </w:tc>
      </w:tr>
      <w:tr w14:paraId="65BA8A76">
        <w:trPr>
          <w:trHeight w:val="300" w:hRule="atLeast"/>
          <w:jc w:val="center"/>
        </w:trPr>
        <w:tc>
          <w:tcPr>
            <w:tcW w:w="1520" w:type="dxa"/>
            <w:tcBorders>
              <w:top w:val="nil"/>
              <w:left w:val="single" w:color="auto" w:sz="4" w:space="0"/>
              <w:bottom w:val="single" w:color="auto" w:sz="4" w:space="0"/>
              <w:right w:val="single" w:color="auto" w:sz="4" w:space="0"/>
            </w:tcBorders>
            <w:shd w:val="clear" w:color="auto" w:fill="auto"/>
            <w:vAlign w:val="center"/>
          </w:tcPr>
          <w:p w14:paraId="649D2D44">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山东</w:t>
            </w:r>
          </w:p>
        </w:tc>
        <w:tc>
          <w:tcPr>
            <w:tcW w:w="1600" w:type="dxa"/>
            <w:tcBorders>
              <w:top w:val="nil"/>
              <w:left w:val="nil"/>
              <w:bottom w:val="single" w:color="auto" w:sz="4" w:space="0"/>
              <w:right w:val="single" w:color="auto" w:sz="4" w:space="0"/>
            </w:tcBorders>
            <w:shd w:val="clear" w:color="auto" w:fill="auto"/>
            <w:vAlign w:val="center"/>
          </w:tcPr>
          <w:p w14:paraId="7CDE6C9B">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4.985</w:t>
            </w:r>
          </w:p>
        </w:tc>
        <w:tc>
          <w:tcPr>
            <w:tcW w:w="1660" w:type="dxa"/>
            <w:tcBorders>
              <w:top w:val="nil"/>
              <w:left w:val="nil"/>
              <w:bottom w:val="single" w:color="auto" w:sz="4" w:space="0"/>
              <w:right w:val="single" w:color="auto" w:sz="4" w:space="0"/>
            </w:tcBorders>
            <w:shd w:val="clear" w:color="auto" w:fill="auto"/>
            <w:vAlign w:val="center"/>
          </w:tcPr>
          <w:p w14:paraId="7BF96D84">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6.7</w:t>
            </w:r>
          </w:p>
        </w:tc>
        <w:tc>
          <w:tcPr>
            <w:tcW w:w="1680" w:type="dxa"/>
            <w:tcBorders>
              <w:top w:val="nil"/>
              <w:left w:val="nil"/>
              <w:bottom w:val="single" w:color="auto" w:sz="4" w:space="0"/>
              <w:right w:val="single" w:color="auto" w:sz="4" w:space="0"/>
            </w:tcBorders>
            <w:shd w:val="clear" w:color="auto" w:fill="auto"/>
            <w:vAlign w:val="center"/>
          </w:tcPr>
          <w:p w14:paraId="2AEB60DB">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4.75</w:t>
            </w:r>
          </w:p>
        </w:tc>
        <w:tc>
          <w:tcPr>
            <w:tcW w:w="1780" w:type="dxa"/>
            <w:tcBorders>
              <w:top w:val="nil"/>
              <w:left w:val="nil"/>
              <w:bottom w:val="single" w:color="auto" w:sz="4" w:space="0"/>
              <w:right w:val="single" w:color="auto" w:sz="4" w:space="0"/>
            </w:tcBorders>
            <w:shd w:val="clear" w:color="auto" w:fill="auto"/>
            <w:vAlign w:val="center"/>
          </w:tcPr>
          <w:p w14:paraId="22EF8DCC">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3</w:t>
            </w:r>
          </w:p>
        </w:tc>
        <w:tc>
          <w:tcPr>
            <w:tcW w:w="1520" w:type="dxa"/>
            <w:tcBorders>
              <w:top w:val="nil"/>
              <w:left w:val="nil"/>
              <w:bottom w:val="single" w:color="auto" w:sz="4" w:space="0"/>
              <w:right w:val="single" w:color="auto" w:sz="4" w:space="0"/>
            </w:tcBorders>
            <w:shd w:val="clear" w:color="auto" w:fill="auto"/>
            <w:vAlign w:val="center"/>
          </w:tcPr>
          <w:p w14:paraId="5B1F9596">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42</w:t>
            </w:r>
          </w:p>
        </w:tc>
      </w:tr>
      <w:tr w14:paraId="333584B2">
        <w:tblPrEx>
          <w:tblCellMar>
            <w:top w:w="0" w:type="dxa"/>
            <w:left w:w="108" w:type="dxa"/>
            <w:bottom w:w="0" w:type="dxa"/>
            <w:right w:w="108" w:type="dxa"/>
          </w:tblCellMar>
        </w:tblPrEx>
        <w:trPr>
          <w:trHeight w:val="300" w:hRule="atLeast"/>
          <w:jc w:val="center"/>
        </w:trPr>
        <w:tc>
          <w:tcPr>
            <w:tcW w:w="1520" w:type="dxa"/>
            <w:tcBorders>
              <w:top w:val="nil"/>
              <w:left w:val="single" w:color="auto" w:sz="4" w:space="0"/>
              <w:bottom w:val="single" w:color="auto" w:sz="4" w:space="0"/>
              <w:right w:val="single" w:color="auto" w:sz="4" w:space="0"/>
            </w:tcBorders>
            <w:shd w:val="clear" w:color="auto" w:fill="auto"/>
            <w:vAlign w:val="center"/>
          </w:tcPr>
          <w:p w14:paraId="405EAB15">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湖南</w:t>
            </w:r>
          </w:p>
        </w:tc>
        <w:tc>
          <w:tcPr>
            <w:tcW w:w="1600" w:type="dxa"/>
            <w:tcBorders>
              <w:top w:val="nil"/>
              <w:left w:val="nil"/>
              <w:bottom w:val="single" w:color="auto" w:sz="4" w:space="0"/>
              <w:right w:val="single" w:color="auto" w:sz="4" w:space="0"/>
            </w:tcBorders>
            <w:shd w:val="clear" w:color="auto" w:fill="auto"/>
            <w:vAlign w:val="center"/>
          </w:tcPr>
          <w:p w14:paraId="0AD612C8">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4.769</w:t>
            </w:r>
          </w:p>
        </w:tc>
        <w:tc>
          <w:tcPr>
            <w:tcW w:w="1660" w:type="dxa"/>
            <w:tcBorders>
              <w:top w:val="nil"/>
              <w:left w:val="nil"/>
              <w:bottom w:val="single" w:color="auto" w:sz="4" w:space="0"/>
              <w:right w:val="single" w:color="auto" w:sz="4" w:space="0"/>
            </w:tcBorders>
            <w:shd w:val="clear" w:color="auto" w:fill="auto"/>
            <w:vAlign w:val="center"/>
          </w:tcPr>
          <w:p w14:paraId="519B4771">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5.03</w:t>
            </w:r>
          </w:p>
        </w:tc>
        <w:tc>
          <w:tcPr>
            <w:tcW w:w="1680" w:type="dxa"/>
            <w:tcBorders>
              <w:top w:val="nil"/>
              <w:left w:val="nil"/>
              <w:bottom w:val="single" w:color="auto" w:sz="4" w:space="0"/>
              <w:right w:val="single" w:color="auto" w:sz="4" w:space="0"/>
            </w:tcBorders>
            <w:shd w:val="clear" w:color="auto" w:fill="auto"/>
            <w:vAlign w:val="center"/>
          </w:tcPr>
          <w:p w14:paraId="4D108A26">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5.4</w:t>
            </w:r>
          </w:p>
        </w:tc>
        <w:tc>
          <w:tcPr>
            <w:tcW w:w="1780" w:type="dxa"/>
            <w:tcBorders>
              <w:top w:val="nil"/>
              <w:left w:val="nil"/>
              <w:bottom w:val="single" w:color="auto" w:sz="4" w:space="0"/>
              <w:right w:val="single" w:color="auto" w:sz="4" w:space="0"/>
            </w:tcBorders>
            <w:shd w:val="clear" w:color="auto" w:fill="auto"/>
            <w:vAlign w:val="center"/>
          </w:tcPr>
          <w:p w14:paraId="0E90B451">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2.8</w:t>
            </w:r>
          </w:p>
        </w:tc>
        <w:tc>
          <w:tcPr>
            <w:tcW w:w="1520" w:type="dxa"/>
            <w:tcBorders>
              <w:top w:val="nil"/>
              <w:left w:val="nil"/>
              <w:bottom w:val="single" w:color="auto" w:sz="4" w:space="0"/>
              <w:right w:val="single" w:color="auto" w:sz="4" w:space="0"/>
            </w:tcBorders>
            <w:shd w:val="clear" w:color="auto" w:fill="auto"/>
            <w:vAlign w:val="center"/>
          </w:tcPr>
          <w:p w14:paraId="6062391A">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30</w:t>
            </w:r>
          </w:p>
        </w:tc>
      </w:tr>
      <w:tr w14:paraId="181E2C8E">
        <w:tblPrEx>
          <w:tblCellMar>
            <w:top w:w="0" w:type="dxa"/>
            <w:left w:w="108" w:type="dxa"/>
            <w:bottom w:w="0" w:type="dxa"/>
            <w:right w:w="108" w:type="dxa"/>
          </w:tblCellMar>
        </w:tblPrEx>
        <w:trPr>
          <w:trHeight w:val="300" w:hRule="atLeast"/>
          <w:jc w:val="center"/>
        </w:trPr>
        <w:tc>
          <w:tcPr>
            <w:tcW w:w="1520" w:type="dxa"/>
            <w:tcBorders>
              <w:top w:val="nil"/>
              <w:left w:val="single" w:color="auto" w:sz="4" w:space="0"/>
              <w:bottom w:val="single" w:color="auto" w:sz="4" w:space="0"/>
              <w:right w:val="single" w:color="auto" w:sz="4" w:space="0"/>
            </w:tcBorders>
            <w:shd w:val="clear" w:color="auto" w:fill="auto"/>
            <w:vAlign w:val="center"/>
          </w:tcPr>
          <w:p w14:paraId="273069DF">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宁夏</w:t>
            </w:r>
          </w:p>
        </w:tc>
        <w:tc>
          <w:tcPr>
            <w:tcW w:w="1600" w:type="dxa"/>
            <w:tcBorders>
              <w:top w:val="nil"/>
              <w:left w:val="nil"/>
              <w:bottom w:val="single" w:color="auto" w:sz="4" w:space="0"/>
              <w:right w:val="single" w:color="auto" w:sz="4" w:space="0"/>
            </w:tcBorders>
            <w:shd w:val="clear" w:color="auto" w:fill="auto"/>
            <w:vAlign w:val="center"/>
          </w:tcPr>
          <w:p w14:paraId="075A5540">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4.708</w:t>
            </w:r>
          </w:p>
        </w:tc>
        <w:tc>
          <w:tcPr>
            <w:tcW w:w="1660" w:type="dxa"/>
            <w:tcBorders>
              <w:top w:val="nil"/>
              <w:left w:val="nil"/>
              <w:bottom w:val="single" w:color="auto" w:sz="4" w:space="0"/>
              <w:right w:val="single" w:color="auto" w:sz="4" w:space="0"/>
            </w:tcBorders>
            <w:shd w:val="clear" w:color="auto" w:fill="auto"/>
            <w:vAlign w:val="center"/>
          </w:tcPr>
          <w:p w14:paraId="2F85256F">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3.91</w:t>
            </w:r>
          </w:p>
        </w:tc>
        <w:tc>
          <w:tcPr>
            <w:tcW w:w="1680" w:type="dxa"/>
            <w:tcBorders>
              <w:top w:val="nil"/>
              <w:left w:val="nil"/>
              <w:bottom w:val="single" w:color="auto" w:sz="4" w:space="0"/>
              <w:right w:val="single" w:color="auto" w:sz="4" w:space="0"/>
            </w:tcBorders>
            <w:shd w:val="clear" w:color="auto" w:fill="auto"/>
            <w:vAlign w:val="center"/>
          </w:tcPr>
          <w:p w14:paraId="21F9DB1C">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5.15</w:t>
            </w:r>
          </w:p>
        </w:tc>
        <w:tc>
          <w:tcPr>
            <w:tcW w:w="1780" w:type="dxa"/>
            <w:tcBorders>
              <w:top w:val="nil"/>
              <w:left w:val="nil"/>
              <w:bottom w:val="single" w:color="auto" w:sz="4" w:space="0"/>
              <w:right w:val="single" w:color="auto" w:sz="4" w:space="0"/>
            </w:tcBorders>
            <w:shd w:val="clear" w:color="auto" w:fill="auto"/>
            <w:vAlign w:val="center"/>
          </w:tcPr>
          <w:p w14:paraId="0957751A">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4.8</w:t>
            </w:r>
          </w:p>
        </w:tc>
        <w:tc>
          <w:tcPr>
            <w:tcW w:w="1520" w:type="dxa"/>
            <w:tcBorders>
              <w:top w:val="nil"/>
              <w:left w:val="nil"/>
              <w:bottom w:val="single" w:color="auto" w:sz="4" w:space="0"/>
              <w:right w:val="single" w:color="auto" w:sz="4" w:space="0"/>
            </w:tcBorders>
            <w:shd w:val="clear" w:color="auto" w:fill="auto"/>
            <w:vAlign w:val="center"/>
          </w:tcPr>
          <w:p w14:paraId="7B341533">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2</w:t>
            </w:r>
          </w:p>
        </w:tc>
      </w:tr>
      <w:tr w14:paraId="72F5449B">
        <w:tblPrEx>
          <w:tblCellMar>
            <w:top w:w="0" w:type="dxa"/>
            <w:left w:w="108" w:type="dxa"/>
            <w:bottom w:w="0" w:type="dxa"/>
            <w:right w:w="108" w:type="dxa"/>
          </w:tblCellMar>
        </w:tblPrEx>
        <w:trPr>
          <w:trHeight w:val="300" w:hRule="atLeast"/>
          <w:jc w:val="center"/>
        </w:trPr>
        <w:tc>
          <w:tcPr>
            <w:tcW w:w="1520" w:type="dxa"/>
            <w:tcBorders>
              <w:top w:val="nil"/>
              <w:left w:val="single" w:color="auto" w:sz="4" w:space="0"/>
              <w:bottom w:val="single" w:color="auto" w:sz="4" w:space="0"/>
              <w:right w:val="single" w:color="auto" w:sz="4" w:space="0"/>
            </w:tcBorders>
            <w:shd w:val="clear" w:color="auto" w:fill="auto"/>
            <w:vAlign w:val="center"/>
          </w:tcPr>
          <w:p w14:paraId="58A01422">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山西</w:t>
            </w:r>
          </w:p>
        </w:tc>
        <w:tc>
          <w:tcPr>
            <w:tcW w:w="1600" w:type="dxa"/>
            <w:tcBorders>
              <w:top w:val="nil"/>
              <w:left w:val="nil"/>
              <w:bottom w:val="single" w:color="auto" w:sz="4" w:space="0"/>
              <w:right w:val="single" w:color="auto" w:sz="4" w:space="0"/>
            </w:tcBorders>
            <w:shd w:val="clear" w:color="auto" w:fill="auto"/>
            <w:vAlign w:val="center"/>
          </w:tcPr>
          <w:p w14:paraId="1031404F">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4.615</w:t>
            </w:r>
          </w:p>
        </w:tc>
        <w:tc>
          <w:tcPr>
            <w:tcW w:w="1660" w:type="dxa"/>
            <w:tcBorders>
              <w:top w:val="nil"/>
              <w:left w:val="nil"/>
              <w:bottom w:val="single" w:color="auto" w:sz="4" w:space="0"/>
              <w:right w:val="single" w:color="auto" w:sz="4" w:space="0"/>
            </w:tcBorders>
            <w:shd w:val="clear" w:color="auto" w:fill="auto"/>
            <w:vAlign w:val="center"/>
          </w:tcPr>
          <w:p w14:paraId="4C7CD603">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5.1</w:t>
            </w:r>
          </w:p>
        </w:tc>
        <w:tc>
          <w:tcPr>
            <w:tcW w:w="1680" w:type="dxa"/>
            <w:tcBorders>
              <w:top w:val="nil"/>
              <w:left w:val="nil"/>
              <w:bottom w:val="single" w:color="auto" w:sz="4" w:space="0"/>
              <w:right w:val="single" w:color="auto" w:sz="4" w:space="0"/>
            </w:tcBorders>
            <w:shd w:val="clear" w:color="auto" w:fill="auto"/>
            <w:vAlign w:val="center"/>
          </w:tcPr>
          <w:p w14:paraId="6C2B1D95">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4.65</w:t>
            </w:r>
          </w:p>
        </w:tc>
        <w:tc>
          <w:tcPr>
            <w:tcW w:w="1780" w:type="dxa"/>
            <w:tcBorders>
              <w:top w:val="nil"/>
              <w:left w:val="nil"/>
              <w:bottom w:val="single" w:color="auto" w:sz="4" w:space="0"/>
              <w:right w:val="single" w:color="auto" w:sz="4" w:space="0"/>
            </w:tcBorders>
            <w:shd w:val="clear" w:color="auto" w:fill="auto"/>
            <w:vAlign w:val="center"/>
          </w:tcPr>
          <w:p w14:paraId="4D1ADDEE">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3.8</w:t>
            </w:r>
          </w:p>
        </w:tc>
        <w:tc>
          <w:tcPr>
            <w:tcW w:w="1520" w:type="dxa"/>
            <w:tcBorders>
              <w:top w:val="nil"/>
              <w:left w:val="nil"/>
              <w:bottom w:val="single" w:color="auto" w:sz="4" w:space="0"/>
              <w:right w:val="single" w:color="auto" w:sz="4" w:space="0"/>
            </w:tcBorders>
            <w:shd w:val="clear" w:color="auto" w:fill="auto"/>
            <w:vAlign w:val="center"/>
          </w:tcPr>
          <w:p w14:paraId="1AC0D698">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11</w:t>
            </w:r>
          </w:p>
        </w:tc>
      </w:tr>
      <w:tr w14:paraId="36AF6BB0">
        <w:tblPrEx>
          <w:tblCellMar>
            <w:top w:w="0" w:type="dxa"/>
            <w:left w:w="108" w:type="dxa"/>
            <w:bottom w:w="0" w:type="dxa"/>
            <w:right w:w="108" w:type="dxa"/>
          </w:tblCellMar>
        </w:tblPrEx>
        <w:trPr>
          <w:trHeight w:val="300" w:hRule="atLeast"/>
          <w:jc w:val="center"/>
        </w:trPr>
        <w:tc>
          <w:tcPr>
            <w:tcW w:w="1520" w:type="dxa"/>
            <w:tcBorders>
              <w:top w:val="nil"/>
              <w:left w:val="single" w:color="auto" w:sz="4" w:space="0"/>
              <w:bottom w:val="single" w:color="auto" w:sz="4" w:space="0"/>
              <w:right w:val="single" w:color="auto" w:sz="4" w:space="0"/>
            </w:tcBorders>
            <w:shd w:val="clear" w:color="auto" w:fill="auto"/>
            <w:vAlign w:val="center"/>
          </w:tcPr>
          <w:p w14:paraId="4655E1C6">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河北</w:t>
            </w:r>
          </w:p>
        </w:tc>
        <w:tc>
          <w:tcPr>
            <w:tcW w:w="1600" w:type="dxa"/>
            <w:tcBorders>
              <w:top w:val="nil"/>
              <w:left w:val="nil"/>
              <w:bottom w:val="single" w:color="auto" w:sz="4" w:space="0"/>
              <w:right w:val="single" w:color="auto" w:sz="4" w:space="0"/>
            </w:tcBorders>
            <w:shd w:val="clear" w:color="auto" w:fill="auto"/>
            <w:vAlign w:val="center"/>
          </w:tcPr>
          <w:p w14:paraId="67C33F52">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4.409</w:t>
            </w:r>
          </w:p>
        </w:tc>
        <w:tc>
          <w:tcPr>
            <w:tcW w:w="1660" w:type="dxa"/>
            <w:tcBorders>
              <w:top w:val="nil"/>
              <w:left w:val="nil"/>
              <w:bottom w:val="single" w:color="auto" w:sz="4" w:space="0"/>
              <w:right w:val="single" w:color="auto" w:sz="4" w:space="0"/>
            </w:tcBorders>
            <w:shd w:val="clear" w:color="auto" w:fill="auto"/>
            <w:vAlign w:val="center"/>
          </w:tcPr>
          <w:p w14:paraId="48611730">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6.98</w:t>
            </w:r>
          </w:p>
        </w:tc>
        <w:tc>
          <w:tcPr>
            <w:tcW w:w="1680" w:type="dxa"/>
            <w:tcBorders>
              <w:top w:val="nil"/>
              <w:left w:val="nil"/>
              <w:bottom w:val="single" w:color="auto" w:sz="4" w:space="0"/>
              <w:right w:val="single" w:color="auto" w:sz="4" w:space="0"/>
            </w:tcBorders>
            <w:shd w:val="clear" w:color="auto" w:fill="auto"/>
            <w:vAlign w:val="center"/>
          </w:tcPr>
          <w:p w14:paraId="4FC36394">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3.75</w:t>
            </w:r>
          </w:p>
        </w:tc>
        <w:tc>
          <w:tcPr>
            <w:tcW w:w="1780" w:type="dxa"/>
            <w:tcBorders>
              <w:top w:val="nil"/>
              <w:left w:val="nil"/>
              <w:bottom w:val="single" w:color="auto" w:sz="4" w:space="0"/>
              <w:right w:val="single" w:color="auto" w:sz="4" w:space="0"/>
            </w:tcBorders>
            <w:shd w:val="clear" w:color="auto" w:fill="auto"/>
            <w:vAlign w:val="center"/>
          </w:tcPr>
          <w:p w14:paraId="15D00820">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2.2</w:t>
            </w:r>
          </w:p>
        </w:tc>
        <w:tc>
          <w:tcPr>
            <w:tcW w:w="1520" w:type="dxa"/>
            <w:tcBorders>
              <w:top w:val="nil"/>
              <w:left w:val="nil"/>
              <w:bottom w:val="single" w:color="auto" w:sz="4" w:space="0"/>
              <w:right w:val="single" w:color="auto" w:sz="4" w:space="0"/>
            </w:tcBorders>
            <w:shd w:val="clear" w:color="auto" w:fill="auto"/>
            <w:vAlign w:val="center"/>
          </w:tcPr>
          <w:p w14:paraId="68D4618E">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15</w:t>
            </w:r>
          </w:p>
        </w:tc>
      </w:tr>
      <w:tr w14:paraId="7A514CFC">
        <w:tblPrEx>
          <w:tblCellMar>
            <w:top w:w="0" w:type="dxa"/>
            <w:left w:w="108" w:type="dxa"/>
            <w:bottom w:w="0" w:type="dxa"/>
            <w:right w:w="108" w:type="dxa"/>
          </w:tblCellMar>
        </w:tblPrEx>
        <w:trPr>
          <w:trHeight w:val="300" w:hRule="atLeast"/>
          <w:jc w:val="center"/>
        </w:trPr>
        <w:tc>
          <w:tcPr>
            <w:tcW w:w="1520" w:type="dxa"/>
            <w:tcBorders>
              <w:top w:val="nil"/>
              <w:left w:val="single" w:color="auto" w:sz="4" w:space="0"/>
              <w:bottom w:val="single" w:color="auto" w:sz="4" w:space="0"/>
              <w:right w:val="single" w:color="auto" w:sz="4" w:space="0"/>
            </w:tcBorders>
            <w:shd w:val="clear" w:color="auto" w:fill="auto"/>
            <w:vAlign w:val="center"/>
          </w:tcPr>
          <w:p w14:paraId="02C31662">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吉林</w:t>
            </w:r>
          </w:p>
        </w:tc>
        <w:tc>
          <w:tcPr>
            <w:tcW w:w="1600" w:type="dxa"/>
            <w:tcBorders>
              <w:top w:val="nil"/>
              <w:left w:val="nil"/>
              <w:bottom w:val="single" w:color="auto" w:sz="4" w:space="0"/>
              <w:right w:val="single" w:color="auto" w:sz="4" w:space="0"/>
            </w:tcBorders>
            <w:shd w:val="clear" w:color="auto" w:fill="auto"/>
            <w:vAlign w:val="center"/>
          </w:tcPr>
          <w:p w14:paraId="113E601B">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4.295</w:t>
            </w:r>
          </w:p>
        </w:tc>
        <w:tc>
          <w:tcPr>
            <w:tcW w:w="1660" w:type="dxa"/>
            <w:tcBorders>
              <w:top w:val="nil"/>
              <w:left w:val="nil"/>
              <w:bottom w:val="single" w:color="auto" w:sz="4" w:space="0"/>
              <w:right w:val="single" w:color="auto" w:sz="4" w:space="0"/>
            </w:tcBorders>
            <w:shd w:val="clear" w:color="auto" w:fill="auto"/>
            <w:vAlign w:val="center"/>
          </w:tcPr>
          <w:p w14:paraId="20F9AFA0">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5.1</w:t>
            </w:r>
          </w:p>
        </w:tc>
        <w:tc>
          <w:tcPr>
            <w:tcW w:w="1680" w:type="dxa"/>
            <w:tcBorders>
              <w:top w:val="nil"/>
              <w:left w:val="nil"/>
              <w:bottom w:val="single" w:color="auto" w:sz="4" w:space="0"/>
              <w:right w:val="single" w:color="auto" w:sz="4" w:space="0"/>
            </w:tcBorders>
            <w:shd w:val="clear" w:color="auto" w:fill="auto"/>
            <w:vAlign w:val="center"/>
          </w:tcPr>
          <w:p w14:paraId="25D34001">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4.65</w:t>
            </w:r>
          </w:p>
        </w:tc>
        <w:tc>
          <w:tcPr>
            <w:tcW w:w="1780" w:type="dxa"/>
            <w:tcBorders>
              <w:top w:val="nil"/>
              <w:left w:val="nil"/>
              <w:bottom w:val="single" w:color="auto" w:sz="4" w:space="0"/>
              <w:right w:val="single" w:color="auto" w:sz="4" w:space="0"/>
            </w:tcBorders>
            <w:shd w:val="clear" w:color="auto" w:fill="auto"/>
            <w:vAlign w:val="center"/>
          </w:tcPr>
          <w:p w14:paraId="344B26A7">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2.2</w:t>
            </w:r>
          </w:p>
        </w:tc>
        <w:tc>
          <w:tcPr>
            <w:tcW w:w="1520" w:type="dxa"/>
            <w:tcBorders>
              <w:top w:val="nil"/>
              <w:left w:val="nil"/>
              <w:bottom w:val="single" w:color="auto" w:sz="4" w:space="0"/>
              <w:right w:val="single" w:color="auto" w:sz="4" w:space="0"/>
            </w:tcBorders>
            <w:shd w:val="clear" w:color="auto" w:fill="auto"/>
            <w:vAlign w:val="center"/>
          </w:tcPr>
          <w:p w14:paraId="4216A8AA">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10</w:t>
            </w:r>
          </w:p>
        </w:tc>
      </w:tr>
      <w:tr w14:paraId="551CDCBF">
        <w:tblPrEx>
          <w:tblCellMar>
            <w:top w:w="0" w:type="dxa"/>
            <w:left w:w="108" w:type="dxa"/>
            <w:bottom w:w="0" w:type="dxa"/>
            <w:right w:w="108" w:type="dxa"/>
          </w:tblCellMar>
        </w:tblPrEx>
        <w:trPr>
          <w:trHeight w:val="300" w:hRule="atLeast"/>
          <w:jc w:val="center"/>
        </w:trPr>
        <w:tc>
          <w:tcPr>
            <w:tcW w:w="1520" w:type="dxa"/>
            <w:tcBorders>
              <w:top w:val="nil"/>
              <w:left w:val="single" w:color="auto" w:sz="4" w:space="0"/>
              <w:bottom w:val="single" w:color="auto" w:sz="4" w:space="0"/>
              <w:right w:val="single" w:color="auto" w:sz="4" w:space="0"/>
            </w:tcBorders>
            <w:shd w:val="clear" w:color="auto" w:fill="auto"/>
            <w:vAlign w:val="center"/>
          </w:tcPr>
          <w:p w14:paraId="1C03477A">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新疆</w:t>
            </w:r>
          </w:p>
        </w:tc>
        <w:tc>
          <w:tcPr>
            <w:tcW w:w="1600" w:type="dxa"/>
            <w:tcBorders>
              <w:top w:val="nil"/>
              <w:left w:val="nil"/>
              <w:bottom w:val="single" w:color="auto" w:sz="4" w:space="0"/>
              <w:right w:val="single" w:color="auto" w:sz="4" w:space="0"/>
            </w:tcBorders>
            <w:shd w:val="clear" w:color="auto" w:fill="auto"/>
            <w:vAlign w:val="center"/>
          </w:tcPr>
          <w:p w14:paraId="44D9C466">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4.268</w:t>
            </w:r>
          </w:p>
        </w:tc>
        <w:tc>
          <w:tcPr>
            <w:tcW w:w="1660" w:type="dxa"/>
            <w:tcBorders>
              <w:top w:val="nil"/>
              <w:left w:val="nil"/>
              <w:bottom w:val="single" w:color="auto" w:sz="4" w:space="0"/>
              <w:right w:val="single" w:color="auto" w:sz="4" w:space="0"/>
            </w:tcBorders>
            <w:shd w:val="clear" w:color="auto" w:fill="auto"/>
            <w:vAlign w:val="center"/>
          </w:tcPr>
          <w:p w14:paraId="715055EB">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4.61</w:t>
            </w:r>
          </w:p>
        </w:tc>
        <w:tc>
          <w:tcPr>
            <w:tcW w:w="1680" w:type="dxa"/>
            <w:tcBorders>
              <w:top w:val="nil"/>
              <w:left w:val="nil"/>
              <w:bottom w:val="single" w:color="auto" w:sz="4" w:space="0"/>
              <w:right w:val="single" w:color="auto" w:sz="4" w:space="0"/>
            </w:tcBorders>
            <w:shd w:val="clear" w:color="auto" w:fill="auto"/>
            <w:vAlign w:val="center"/>
          </w:tcPr>
          <w:p w14:paraId="31FD028C">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4.65</w:t>
            </w:r>
          </w:p>
        </w:tc>
        <w:tc>
          <w:tcPr>
            <w:tcW w:w="1780" w:type="dxa"/>
            <w:tcBorders>
              <w:top w:val="nil"/>
              <w:left w:val="nil"/>
              <w:bottom w:val="single" w:color="auto" w:sz="4" w:space="0"/>
              <w:right w:val="single" w:color="auto" w:sz="4" w:space="0"/>
            </w:tcBorders>
            <w:shd w:val="clear" w:color="auto" w:fill="auto"/>
            <w:vAlign w:val="center"/>
          </w:tcPr>
          <w:p w14:paraId="5257772C">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2.8</w:t>
            </w:r>
          </w:p>
        </w:tc>
        <w:tc>
          <w:tcPr>
            <w:tcW w:w="1520" w:type="dxa"/>
            <w:tcBorders>
              <w:top w:val="nil"/>
              <w:left w:val="nil"/>
              <w:bottom w:val="single" w:color="auto" w:sz="4" w:space="0"/>
              <w:right w:val="single" w:color="auto" w:sz="4" w:space="0"/>
            </w:tcBorders>
            <w:shd w:val="clear" w:color="auto" w:fill="auto"/>
            <w:vAlign w:val="center"/>
          </w:tcPr>
          <w:p w14:paraId="0083A350">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17</w:t>
            </w:r>
          </w:p>
        </w:tc>
      </w:tr>
      <w:tr w14:paraId="2F5BC9B0">
        <w:tblPrEx>
          <w:tblCellMar>
            <w:top w:w="0" w:type="dxa"/>
            <w:left w:w="108" w:type="dxa"/>
            <w:bottom w:w="0" w:type="dxa"/>
            <w:right w:w="108" w:type="dxa"/>
          </w:tblCellMar>
        </w:tblPrEx>
        <w:trPr>
          <w:trHeight w:val="300" w:hRule="atLeast"/>
          <w:jc w:val="center"/>
        </w:trPr>
        <w:tc>
          <w:tcPr>
            <w:tcW w:w="1520" w:type="dxa"/>
            <w:tcBorders>
              <w:top w:val="nil"/>
              <w:left w:val="single" w:color="auto" w:sz="4" w:space="0"/>
              <w:bottom w:val="single" w:color="auto" w:sz="4" w:space="0"/>
              <w:right w:val="single" w:color="auto" w:sz="4" w:space="0"/>
            </w:tcBorders>
            <w:shd w:val="clear" w:color="auto" w:fill="auto"/>
            <w:vAlign w:val="center"/>
          </w:tcPr>
          <w:p w14:paraId="4F4D7D6E">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河南</w:t>
            </w:r>
          </w:p>
        </w:tc>
        <w:tc>
          <w:tcPr>
            <w:tcW w:w="1600" w:type="dxa"/>
            <w:tcBorders>
              <w:top w:val="nil"/>
              <w:left w:val="nil"/>
              <w:bottom w:val="single" w:color="auto" w:sz="4" w:space="0"/>
              <w:right w:val="single" w:color="auto" w:sz="4" w:space="0"/>
            </w:tcBorders>
            <w:shd w:val="clear" w:color="auto" w:fill="auto"/>
            <w:vAlign w:val="center"/>
          </w:tcPr>
          <w:p w14:paraId="6AD1B56E">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4.206</w:t>
            </w:r>
          </w:p>
        </w:tc>
        <w:tc>
          <w:tcPr>
            <w:tcW w:w="1660" w:type="dxa"/>
            <w:tcBorders>
              <w:top w:val="nil"/>
              <w:left w:val="nil"/>
              <w:bottom w:val="single" w:color="auto" w:sz="4" w:space="0"/>
              <w:right w:val="single" w:color="auto" w:sz="4" w:space="0"/>
            </w:tcBorders>
            <w:shd w:val="clear" w:color="auto" w:fill="auto"/>
            <w:vAlign w:val="center"/>
          </w:tcPr>
          <w:p w14:paraId="0A2A4050">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5.17</w:t>
            </w:r>
          </w:p>
        </w:tc>
        <w:tc>
          <w:tcPr>
            <w:tcW w:w="1680" w:type="dxa"/>
            <w:tcBorders>
              <w:top w:val="nil"/>
              <w:left w:val="nil"/>
              <w:bottom w:val="single" w:color="auto" w:sz="4" w:space="0"/>
              <w:right w:val="single" w:color="auto" w:sz="4" w:space="0"/>
            </w:tcBorders>
            <w:shd w:val="clear" w:color="auto" w:fill="auto"/>
            <w:vAlign w:val="center"/>
          </w:tcPr>
          <w:p w14:paraId="11F20093">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3.15</w:t>
            </w:r>
          </w:p>
        </w:tc>
        <w:tc>
          <w:tcPr>
            <w:tcW w:w="1780" w:type="dxa"/>
            <w:tcBorders>
              <w:top w:val="nil"/>
              <w:left w:val="nil"/>
              <w:bottom w:val="single" w:color="auto" w:sz="4" w:space="0"/>
              <w:right w:val="single" w:color="auto" w:sz="4" w:space="0"/>
            </w:tcBorders>
            <w:shd w:val="clear" w:color="auto" w:fill="auto"/>
            <w:vAlign w:val="center"/>
          </w:tcPr>
          <w:p w14:paraId="0C0CD422">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5.4</w:t>
            </w:r>
          </w:p>
        </w:tc>
        <w:tc>
          <w:tcPr>
            <w:tcW w:w="1520" w:type="dxa"/>
            <w:tcBorders>
              <w:top w:val="nil"/>
              <w:left w:val="nil"/>
              <w:bottom w:val="single" w:color="auto" w:sz="4" w:space="0"/>
              <w:right w:val="single" w:color="auto" w:sz="4" w:space="0"/>
            </w:tcBorders>
            <w:shd w:val="clear" w:color="auto" w:fill="auto"/>
            <w:vAlign w:val="center"/>
          </w:tcPr>
          <w:p w14:paraId="6332CFD3">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24</w:t>
            </w:r>
          </w:p>
        </w:tc>
      </w:tr>
      <w:tr w14:paraId="1D0E58C1">
        <w:trPr>
          <w:trHeight w:val="300" w:hRule="atLeast"/>
          <w:jc w:val="center"/>
        </w:trPr>
        <w:tc>
          <w:tcPr>
            <w:tcW w:w="1520" w:type="dxa"/>
            <w:tcBorders>
              <w:top w:val="nil"/>
              <w:left w:val="single" w:color="auto" w:sz="4" w:space="0"/>
              <w:bottom w:val="single" w:color="auto" w:sz="4" w:space="0"/>
              <w:right w:val="single" w:color="auto" w:sz="4" w:space="0"/>
            </w:tcBorders>
            <w:shd w:val="clear" w:color="auto" w:fill="auto"/>
            <w:vAlign w:val="center"/>
          </w:tcPr>
          <w:p w14:paraId="6F553E53">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甘肃</w:t>
            </w:r>
          </w:p>
        </w:tc>
        <w:tc>
          <w:tcPr>
            <w:tcW w:w="1600" w:type="dxa"/>
            <w:tcBorders>
              <w:top w:val="nil"/>
              <w:left w:val="nil"/>
              <w:bottom w:val="single" w:color="auto" w:sz="4" w:space="0"/>
              <w:right w:val="single" w:color="auto" w:sz="4" w:space="0"/>
            </w:tcBorders>
            <w:shd w:val="clear" w:color="auto" w:fill="auto"/>
            <w:vAlign w:val="center"/>
          </w:tcPr>
          <w:p w14:paraId="3444EABE">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3.866</w:t>
            </w:r>
          </w:p>
        </w:tc>
        <w:tc>
          <w:tcPr>
            <w:tcW w:w="1660" w:type="dxa"/>
            <w:tcBorders>
              <w:top w:val="nil"/>
              <w:left w:val="nil"/>
              <w:bottom w:val="single" w:color="auto" w:sz="4" w:space="0"/>
              <w:right w:val="single" w:color="auto" w:sz="4" w:space="0"/>
            </w:tcBorders>
            <w:shd w:val="clear" w:color="auto" w:fill="auto"/>
            <w:vAlign w:val="center"/>
          </w:tcPr>
          <w:p w14:paraId="52EE46C6">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2.82</w:t>
            </w:r>
          </w:p>
        </w:tc>
        <w:tc>
          <w:tcPr>
            <w:tcW w:w="1680" w:type="dxa"/>
            <w:tcBorders>
              <w:top w:val="nil"/>
              <w:left w:val="nil"/>
              <w:bottom w:val="single" w:color="auto" w:sz="4" w:space="0"/>
              <w:right w:val="single" w:color="auto" w:sz="4" w:space="0"/>
            </w:tcBorders>
            <w:shd w:val="clear" w:color="auto" w:fill="auto"/>
            <w:vAlign w:val="center"/>
          </w:tcPr>
          <w:p w14:paraId="1A1E0C46">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3</w:t>
            </w:r>
          </w:p>
        </w:tc>
        <w:tc>
          <w:tcPr>
            <w:tcW w:w="1780" w:type="dxa"/>
            <w:tcBorders>
              <w:top w:val="nil"/>
              <w:left w:val="nil"/>
              <w:bottom w:val="single" w:color="auto" w:sz="4" w:space="0"/>
              <w:right w:val="single" w:color="auto" w:sz="4" w:space="0"/>
            </w:tcBorders>
            <w:shd w:val="clear" w:color="auto" w:fill="auto"/>
            <w:vAlign w:val="center"/>
          </w:tcPr>
          <w:p w14:paraId="0DC993F4">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7.6</w:t>
            </w:r>
          </w:p>
        </w:tc>
        <w:tc>
          <w:tcPr>
            <w:tcW w:w="1520" w:type="dxa"/>
            <w:tcBorders>
              <w:top w:val="nil"/>
              <w:left w:val="nil"/>
              <w:bottom w:val="single" w:color="auto" w:sz="4" w:space="0"/>
              <w:right w:val="single" w:color="auto" w:sz="4" w:space="0"/>
            </w:tcBorders>
            <w:shd w:val="clear" w:color="auto" w:fill="auto"/>
            <w:vAlign w:val="center"/>
          </w:tcPr>
          <w:p w14:paraId="093DA5CD">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5</w:t>
            </w:r>
          </w:p>
        </w:tc>
      </w:tr>
      <w:tr w14:paraId="23DEF6A6">
        <w:tblPrEx>
          <w:tblCellMar>
            <w:top w:w="0" w:type="dxa"/>
            <w:left w:w="108" w:type="dxa"/>
            <w:bottom w:w="0" w:type="dxa"/>
            <w:right w:w="108" w:type="dxa"/>
          </w:tblCellMar>
        </w:tblPrEx>
        <w:trPr>
          <w:trHeight w:val="300" w:hRule="atLeast"/>
          <w:jc w:val="center"/>
        </w:trPr>
        <w:tc>
          <w:tcPr>
            <w:tcW w:w="1520" w:type="dxa"/>
            <w:tcBorders>
              <w:top w:val="nil"/>
              <w:left w:val="single" w:color="auto" w:sz="4" w:space="0"/>
              <w:bottom w:val="single" w:color="auto" w:sz="4" w:space="0"/>
              <w:right w:val="single" w:color="auto" w:sz="4" w:space="0"/>
            </w:tcBorders>
            <w:shd w:val="clear" w:color="auto" w:fill="auto"/>
            <w:vAlign w:val="center"/>
          </w:tcPr>
          <w:p w14:paraId="4A6FAF31">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云南</w:t>
            </w:r>
          </w:p>
        </w:tc>
        <w:tc>
          <w:tcPr>
            <w:tcW w:w="1600" w:type="dxa"/>
            <w:tcBorders>
              <w:top w:val="nil"/>
              <w:left w:val="nil"/>
              <w:bottom w:val="single" w:color="auto" w:sz="4" w:space="0"/>
              <w:right w:val="single" w:color="auto" w:sz="4" w:space="0"/>
            </w:tcBorders>
            <w:shd w:val="clear" w:color="auto" w:fill="auto"/>
            <w:vAlign w:val="center"/>
          </w:tcPr>
          <w:p w14:paraId="39A0C4CA">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3.75</w:t>
            </w:r>
          </w:p>
        </w:tc>
        <w:tc>
          <w:tcPr>
            <w:tcW w:w="1660" w:type="dxa"/>
            <w:tcBorders>
              <w:top w:val="nil"/>
              <w:left w:val="nil"/>
              <w:bottom w:val="single" w:color="auto" w:sz="4" w:space="0"/>
              <w:right w:val="single" w:color="auto" w:sz="4" w:space="0"/>
            </w:tcBorders>
            <w:shd w:val="clear" w:color="auto" w:fill="auto"/>
            <w:vAlign w:val="center"/>
          </w:tcPr>
          <w:p w14:paraId="67AA58FD">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3.45</w:t>
            </w:r>
          </w:p>
        </w:tc>
        <w:tc>
          <w:tcPr>
            <w:tcW w:w="1680" w:type="dxa"/>
            <w:tcBorders>
              <w:top w:val="nil"/>
              <w:left w:val="nil"/>
              <w:bottom w:val="single" w:color="auto" w:sz="4" w:space="0"/>
              <w:right w:val="single" w:color="auto" w:sz="4" w:space="0"/>
            </w:tcBorders>
            <w:shd w:val="clear" w:color="auto" w:fill="auto"/>
            <w:vAlign w:val="center"/>
          </w:tcPr>
          <w:p w14:paraId="0D24D96D">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3.75</w:t>
            </w:r>
          </w:p>
        </w:tc>
        <w:tc>
          <w:tcPr>
            <w:tcW w:w="1780" w:type="dxa"/>
            <w:tcBorders>
              <w:top w:val="nil"/>
              <w:left w:val="nil"/>
              <w:bottom w:val="single" w:color="auto" w:sz="4" w:space="0"/>
              <w:right w:val="single" w:color="auto" w:sz="4" w:space="0"/>
            </w:tcBorders>
            <w:shd w:val="clear" w:color="auto" w:fill="auto"/>
            <w:vAlign w:val="center"/>
          </w:tcPr>
          <w:p w14:paraId="59B5D335">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4.2</w:t>
            </w:r>
          </w:p>
        </w:tc>
        <w:tc>
          <w:tcPr>
            <w:tcW w:w="1520" w:type="dxa"/>
            <w:tcBorders>
              <w:top w:val="nil"/>
              <w:left w:val="nil"/>
              <w:bottom w:val="single" w:color="auto" w:sz="4" w:space="0"/>
              <w:right w:val="single" w:color="auto" w:sz="4" w:space="0"/>
            </w:tcBorders>
            <w:shd w:val="clear" w:color="auto" w:fill="auto"/>
            <w:vAlign w:val="center"/>
          </w:tcPr>
          <w:p w14:paraId="2F748354">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22</w:t>
            </w:r>
          </w:p>
        </w:tc>
      </w:tr>
      <w:tr w14:paraId="7C594967">
        <w:trPr>
          <w:trHeight w:val="300" w:hRule="atLeast"/>
          <w:jc w:val="center"/>
        </w:trPr>
        <w:tc>
          <w:tcPr>
            <w:tcW w:w="1520" w:type="dxa"/>
            <w:tcBorders>
              <w:top w:val="nil"/>
              <w:left w:val="single" w:color="auto" w:sz="4" w:space="0"/>
              <w:bottom w:val="single" w:color="auto" w:sz="4" w:space="0"/>
              <w:right w:val="single" w:color="auto" w:sz="4" w:space="0"/>
            </w:tcBorders>
            <w:shd w:val="clear" w:color="auto" w:fill="auto"/>
            <w:vAlign w:val="center"/>
          </w:tcPr>
          <w:p w14:paraId="3BA8FC92">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广西</w:t>
            </w:r>
          </w:p>
        </w:tc>
        <w:tc>
          <w:tcPr>
            <w:tcW w:w="1600" w:type="dxa"/>
            <w:tcBorders>
              <w:top w:val="nil"/>
              <w:left w:val="nil"/>
              <w:bottom w:val="single" w:color="auto" w:sz="4" w:space="0"/>
              <w:right w:val="single" w:color="auto" w:sz="4" w:space="0"/>
            </w:tcBorders>
            <w:shd w:val="clear" w:color="auto" w:fill="auto"/>
            <w:vAlign w:val="center"/>
          </w:tcPr>
          <w:p w14:paraId="5CEE44B4">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3.621</w:t>
            </w:r>
          </w:p>
        </w:tc>
        <w:tc>
          <w:tcPr>
            <w:tcW w:w="1660" w:type="dxa"/>
            <w:tcBorders>
              <w:top w:val="nil"/>
              <w:left w:val="nil"/>
              <w:bottom w:val="single" w:color="auto" w:sz="4" w:space="0"/>
              <w:right w:val="single" w:color="auto" w:sz="4" w:space="0"/>
            </w:tcBorders>
            <w:shd w:val="clear" w:color="auto" w:fill="auto"/>
            <w:vAlign w:val="center"/>
          </w:tcPr>
          <w:p w14:paraId="3BCE9B29">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3.87</w:t>
            </w:r>
          </w:p>
        </w:tc>
        <w:tc>
          <w:tcPr>
            <w:tcW w:w="1680" w:type="dxa"/>
            <w:tcBorders>
              <w:top w:val="nil"/>
              <w:left w:val="nil"/>
              <w:bottom w:val="single" w:color="auto" w:sz="4" w:space="0"/>
              <w:right w:val="single" w:color="auto" w:sz="4" w:space="0"/>
            </w:tcBorders>
            <w:shd w:val="clear" w:color="auto" w:fill="auto"/>
            <w:vAlign w:val="center"/>
          </w:tcPr>
          <w:p w14:paraId="002351B5">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3</w:t>
            </w:r>
          </w:p>
        </w:tc>
        <w:tc>
          <w:tcPr>
            <w:tcW w:w="1780" w:type="dxa"/>
            <w:tcBorders>
              <w:top w:val="nil"/>
              <w:left w:val="nil"/>
              <w:bottom w:val="single" w:color="auto" w:sz="4" w:space="0"/>
              <w:right w:val="single" w:color="auto" w:sz="4" w:space="0"/>
            </w:tcBorders>
            <w:shd w:val="clear" w:color="auto" w:fill="auto"/>
            <w:vAlign w:val="center"/>
          </w:tcPr>
          <w:p w14:paraId="6602501D">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4.8</w:t>
            </w:r>
          </w:p>
        </w:tc>
        <w:tc>
          <w:tcPr>
            <w:tcW w:w="1520" w:type="dxa"/>
            <w:tcBorders>
              <w:top w:val="nil"/>
              <w:left w:val="nil"/>
              <w:bottom w:val="single" w:color="auto" w:sz="4" w:space="0"/>
              <w:right w:val="single" w:color="auto" w:sz="4" w:space="0"/>
            </w:tcBorders>
            <w:shd w:val="clear" w:color="auto" w:fill="auto"/>
            <w:vAlign w:val="center"/>
          </w:tcPr>
          <w:p w14:paraId="01C84DB2">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17</w:t>
            </w:r>
          </w:p>
        </w:tc>
      </w:tr>
      <w:tr w14:paraId="7DF33EB0">
        <w:tblPrEx>
          <w:tblCellMar>
            <w:top w:w="0" w:type="dxa"/>
            <w:left w:w="108" w:type="dxa"/>
            <w:bottom w:w="0" w:type="dxa"/>
            <w:right w:w="108" w:type="dxa"/>
          </w:tblCellMar>
        </w:tblPrEx>
        <w:trPr>
          <w:trHeight w:val="300" w:hRule="atLeast"/>
          <w:jc w:val="center"/>
        </w:trPr>
        <w:tc>
          <w:tcPr>
            <w:tcW w:w="1520" w:type="dxa"/>
            <w:tcBorders>
              <w:top w:val="nil"/>
              <w:left w:val="single" w:color="auto" w:sz="4" w:space="0"/>
              <w:bottom w:val="single" w:color="auto" w:sz="4" w:space="0"/>
              <w:right w:val="single" w:color="auto" w:sz="4" w:space="0"/>
            </w:tcBorders>
            <w:shd w:val="clear" w:color="auto" w:fill="auto"/>
            <w:vAlign w:val="center"/>
          </w:tcPr>
          <w:p w14:paraId="0861E6EA">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海南</w:t>
            </w:r>
          </w:p>
        </w:tc>
        <w:tc>
          <w:tcPr>
            <w:tcW w:w="1600" w:type="dxa"/>
            <w:tcBorders>
              <w:top w:val="nil"/>
              <w:left w:val="nil"/>
              <w:bottom w:val="single" w:color="auto" w:sz="4" w:space="0"/>
              <w:right w:val="single" w:color="auto" w:sz="4" w:space="0"/>
            </w:tcBorders>
            <w:shd w:val="clear" w:color="auto" w:fill="auto"/>
            <w:vAlign w:val="center"/>
          </w:tcPr>
          <w:p w14:paraId="2EE4582E">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3.591</w:t>
            </w:r>
          </w:p>
        </w:tc>
        <w:tc>
          <w:tcPr>
            <w:tcW w:w="1660" w:type="dxa"/>
            <w:tcBorders>
              <w:top w:val="nil"/>
              <w:left w:val="nil"/>
              <w:bottom w:val="single" w:color="auto" w:sz="4" w:space="0"/>
              <w:right w:val="single" w:color="auto" w:sz="4" w:space="0"/>
            </w:tcBorders>
            <w:shd w:val="clear" w:color="auto" w:fill="auto"/>
            <w:vAlign w:val="center"/>
          </w:tcPr>
          <w:p w14:paraId="0917A6E5">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3.62</w:t>
            </w:r>
          </w:p>
        </w:tc>
        <w:tc>
          <w:tcPr>
            <w:tcW w:w="1680" w:type="dxa"/>
            <w:tcBorders>
              <w:top w:val="nil"/>
              <w:left w:val="nil"/>
              <w:bottom w:val="single" w:color="auto" w:sz="4" w:space="0"/>
              <w:right w:val="single" w:color="auto" w:sz="4" w:space="0"/>
            </w:tcBorders>
            <w:shd w:val="clear" w:color="auto" w:fill="auto"/>
            <w:vAlign w:val="center"/>
          </w:tcPr>
          <w:p w14:paraId="6B6A4BEC">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3.25</w:t>
            </w:r>
          </w:p>
        </w:tc>
        <w:tc>
          <w:tcPr>
            <w:tcW w:w="1780" w:type="dxa"/>
            <w:tcBorders>
              <w:top w:val="nil"/>
              <w:left w:val="nil"/>
              <w:bottom w:val="single" w:color="auto" w:sz="4" w:space="0"/>
              <w:right w:val="single" w:color="auto" w:sz="4" w:space="0"/>
            </w:tcBorders>
            <w:shd w:val="clear" w:color="auto" w:fill="auto"/>
            <w:vAlign w:val="center"/>
          </w:tcPr>
          <w:p w14:paraId="67EF876E">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4.4</w:t>
            </w:r>
          </w:p>
        </w:tc>
        <w:tc>
          <w:tcPr>
            <w:tcW w:w="1520" w:type="dxa"/>
            <w:tcBorders>
              <w:top w:val="nil"/>
              <w:left w:val="nil"/>
              <w:bottom w:val="single" w:color="auto" w:sz="4" w:space="0"/>
              <w:right w:val="single" w:color="auto" w:sz="4" w:space="0"/>
            </w:tcBorders>
            <w:shd w:val="clear" w:color="auto" w:fill="auto"/>
            <w:vAlign w:val="center"/>
          </w:tcPr>
          <w:p w14:paraId="6B2B79F9">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2</w:t>
            </w:r>
          </w:p>
        </w:tc>
      </w:tr>
      <w:tr w14:paraId="2762D402">
        <w:tblPrEx>
          <w:tblCellMar>
            <w:top w:w="0" w:type="dxa"/>
            <w:left w:w="108" w:type="dxa"/>
            <w:bottom w:w="0" w:type="dxa"/>
            <w:right w:w="108" w:type="dxa"/>
          </w:tblCellMar>
        </w:tblPrEx>
        <w:trPr>
          <w:trHeight w:val="300" w:hRule="atLeast"/>
          <w:jc w:val="center"/>
        </w:trPr>
        <w:tc>
          <w:tcPr>
            <w:tcW w:w="1520" w:type="dxa"/>
            <w:tcBorders>
              <w:top w:val="nil"/>
              <w:left w:val="single" w:color="auto" w:sz="4" w:space="0"/>
              <w:bottom w:val="single" w:color="auto" w:sz="4" w:space="0"/>
              <w:right w:val="single" w:color="auto" w:sz="4" w:space="0"/>
            </w:tcBorders>
            <w:shd w:val="clear" w:color="auto" w:fill="auto"/>
            <w:vAlign w:val="center"/>
          </w:tcPr>
          <w:p w14:paraId="77B8E23E">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黑龙江</w:t>
            </w:r>
          </w:p>
        </w:tc>
        <w:tc>
          <w:tcPr>
            <w:tcW w:w="1600" w:type="dxa"/>
            <w:tcBorders>
              <w:top w:val="nil"/>
              <w:left w:val="nil"/>
              <w:bottom w:val="single" w:color="auto" w:sz="4" w:space="0"/>
              <w:right w:val="single" w:color="auto" w:sz="4" w:space="0"/>
            </w:tcBorders>
            <w:shd w:val="clear" w:color="auto" w:fill="auto"/>
            <w:vAlign w:val="center"/>
          </w:tcPr>
          <w:p w14:paraId="0ACC4B8E">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3.504</w:t>
            </w:r>
          </w:p>
        </w:tc>
        <w:tc>
          <w:tcPr>
            <w:tcW w:w="1660" w:type="dxa"/>
            <w:tcBorders>
              <w:top w:val="nil"/>
              <w:left w:val="nil"/>
              <w:bottom w:val="single" w:color="auto" w:sz="4" w:space="0"/>
              <w:right w:val="single" w:color="auto" w:sz="4" w:space="0"/>
            </w:tcBorders>
            <w:shd w:val="clear" w:color="auto" w:fill="auto"/>
            <w:vAlign w:val="center"/>
          </w:tcPr>
          <w:p w14:paraId="5A7B30C5">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4.68</w:t>
            </w:r>
          </w:p>
        </w:tc>
        <w:tc>
          <w:tcPr>
            <w:tcW w:w="1680" w:type="dxa"/>
            <w:tcBorders>
              <w:top w:val="nil"/>
              <w:left w:val="nil"/>
              <w:bottom w:val="single" w:color="auto" w:sz="4" w:space="0"/>
              <w:right w:val="single" w:color="auto" w:sz="4" w:space="0"/>
            </w:tcBorders>
            <w:shd w:val="clear" w:color="auto" w:fill="auto"/>
            <w:vAlign w:val="center"/>
          </w:tcPr>
          <w:p w14:paraId="430AD985">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3</w:t>
            </w:r>
          </w:p>
        </w:tc>
        <w:tc>
          <w:tcPr>
            <w:tcW w:w="1780" w:type="dxa"/>
            <w:tcBorders>
              <w:top w:val="nil"/>
              <w:left w:val="nil"/>
              <w:bottom w:val="single" w:color="auto" w:sz="4" w:space="0"/>
              <w:right w:val="single" w:color="auto" w:sz="4" w:space="0"/>
            </w:tcBorders>
            <w:shd w:val="clear" w:color="auto" w:fill="auto"/>
            <w:vAlign w:val="center"/>
          </w:tcPr>
          <w:p w14:paraId="1247A8FF">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3</w:t>
            </w:r>
          </w:p>
        </w:tc>
        <w:tc>
          <w:tcPr>
            <w:tcW w:w="1520" w:type="dxa"/>
            <w:tcBorders>
              <w:top w:val="nil"/>
              <w:left w:val="nil"/>
              <w:bottom w:val="single" w:color="auto" w:sz="4" w:space="0"/>
              <w:right w:val="single" w:color="auto" w:sz="4" w:space="0"/>
            </w:tcBorders>
            <w:shd w:val="clear" w:color="auto" w:fill="auto"/>
            <w:vAlign w:val="center"/>
          </w:tcPr>
          <w:p w14:paraId="622B04C5">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19</w:t>
            </w:r>
          </w:p>
        </w:tc>
      </w:tr>
      <w:tr w14:paraId="48C60452">
        <w:tblPrEx>
          <w:tblCellMar>
            <w:top w:w="0" w:type="dxa"/>
            <w:left w:w="108" w:type="dxa"/>
            <w:bottom w:w="0" w:type="dxa"/>
            <w:right w:w="108" w:type="dxa"/>
          </w:tblCellMar>
        </w:tblPrEx>
        <w:trPr>
          <w:trHeight w:val="300" w:hRule="atLeast"/>
          <w:jc w:val="center"/>
        </w:trPr>
        <w:tc>
          <w:tcPr>
            <w:tcW w:w="1520" w:type="dxa"/>
            <w:tcBorders>
              <w:top w:val="nil"/>
              <w:left w:val="single" w:color="auto" w:sz="4" w:space="0"/>
              <w:bottom w:val="single" w:color="auto" w:sz="4" w:space="0"/>
              <w:right w:val="single" w:color="auto" w:sz="4" w:space="0"/>
            </w:tcBorders>
            <w:shd w:val="clear" w:color="auto" w:fill="auto"/>
            <w:vAlign w:val="center"/>
          </w:tcPr>
          <w:p w14:paraId="156C0D6C">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青海</w:t>
            </w:r>
          </w:p>
        </w:tc>
        <w:tc>
          <w:tcPr>
            <w:tcW w:w="1600" w:type="dxa"/>
            <w:tcBorders>
              <w:top w:val="nil"/>
              <w:left w:val="nil"/>
              <w:bottom w:val="single" w:color="auto" w:sz="4" w:space="0"/>
              <w:right w:val="single" w:color="auto" w:sz="4" w:space="0"/>
            </w:tcBorders>
            <w:shd w:val="clear" w:color="auto" w:fill="auto"/>
            <w:vAlign w:val="center"/>
          </w:tcPr>
          <w:p w14:paraId="6D4BA0A7">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3.441</w:t>
            </w:r>
          </w:p>
        </w:tc>
        <w:tc>
          <w:tcPr>
            <w:tcW w:w="1660" w:type="dxa"/>
            <w:tcBorders>
              <w:top w:val="nil"/>
              <w:left w:val="nil"/>
              <w:bottom w:val="single" w:color="auto" w:sz="4" w:space="0"/>
              <w:right w:val="single" w:color="auto" w:sz="4" w:space="0"/>
            </w:tcBorders>
            <w:shd w:val="clear" w:color="auto" w:fill="auto"/>
            <w:vAlign w:val="center"/>
          </w:tcPr>
          <w:p w14:paraId="095F1E42">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2.12</w:t>
            </w:r>
          </w:p>
        </w:tc>
        <w:tc>
          <w:tcPr>
            <w:tcW w:w="1680" w:type="dxa"/>
            <w:tcBorders>
              <w:top w:val="nil"/>
              <w:left w:val="nil"/>
              <w:bottom w:val="single" w:color="auto" w:sz="4" w:space="0"/>
              <w:right w:val="single" w:color="auto" w:sz="4" w:space="0"/>
            </w:tcBorders>
            <w:shd w:val="clear" w:color="auto" w:fill="auto"/>
            <w:vAlign w:val="center"/>
          </w:tcPr>
          <w:p w14:paraId="2118798F">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2.25</w:t>
            </w:r>
          </w:p>
        </w:tc>
        <w:tc>
          <w:tcPr>
            <w:tcW w:w="1780" w:type="dxa"/>
            <w:tcBorders>
              <w:top w:val="nil"/>
              <w:left w:val="nil"/>
              <w:bottom w:val="single" w:color="auto" w:sz="4" w:space="0"/>
              <w:right w:val="single" w:color="auto" w:sz="4" w:space="0"/>
            </w:tcBorders>
            <w:shd w:val="clear" w:color="auto" w:fill="auto"/>
            <w:vAlign w:val="center"/>
          </w:tcPr>
          <w:p w14:paraId="42FC238A">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8.4</w:t>
            </w:r>
          </w:p>
        </w:tc>
        <w:tc>
          <w:tcPr>
            <w:tcW w:w="1520" w:type="dxa"/>
            <w:tcBorders>
              <w:top w:val="nil"/>
              <w:left w:val="nil"/>
              <w:bottom w:val="single" w:color="auto" w:sz="4" w:space="0"/>
              <w:right w:val="single" w:color="auto" w:sz="4" w:space="0"/>
            </w:tcBorders>
            <w:shd w:val="clear" w:color="auto" w:fill="auto"/>
            <w:vAlign w:val="center"/>
          </w:tcPr>
          <w:p w14:paraId="5DEC2EA3">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4</w:t>
            </w:r>
          </w:p>
        </w:tc>
      </w:tr>
      <w:tr w14:paraId="168CBF2F">
        <w:tblPrEx>
          <w:tblCellMar>
            <w:top w:w="0" w:type="dxa"/>
            <w:left w:w="108" w:type="dxa"/>
            <w:bottom w:w="0" w:type="dxa"/>
            <w:right w:w="108" w:type="dxa"/>
          </w:tblCellMar>
        </w:tblPrEx>
        <w:trPr>
          <w:trHeight w:val="300" w:hRule="atLeast"/>
          <w:jc w:val="center"/>
        </w:trPr>
        <w:tc>
          <w:tcPr>
            <w:tcW w:w="1520" w:type="dxa"/>
            <w:tcBorders>
              <w:top w:val="nil"/>
              <w:left w:val="single" w:color="auto" w:sz="4" w:space="0"/>
              <w:bottom w:val="single" w:color="auto" w:sz="4" w:space="0"/>
              <w:right w:val="single" w:color="auto" w:sz="4" w:space="0"/>
            </w:tcBorders>
            <w:shd w:val="clear" w:color="auto" w:fill="auto"/>
            <w:vAlign w:val="center"/>
          </w:tcPr>
          <w:p w14:paraId="6FA0A736">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贵州</w:t>
            </w:r>
          </w:p>
        </w:tc>
        <w:tc>
          <w:tcPr>
            <w:tcW w:w="1600" w:type="dxa"/>
            <w:tcBorders>
              <w:top w:val="nil"/>
              <w:left w:val="nil"/>
              <w:bottom w:val="single" w:color="auto" w:sz="4" w:space="0"/>
              <w:right w:val="single" w:color="auto" w:sz="4" w:space="0"/>
            </w:tcBorders>
            <w:shd w:val="clear" w:color="auto" w:fill="auto"/>
            <w:vAlign w:val="center"/>
          </w:tcPr>
          <w:p w14:paraId="013BB244">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3.241</w:t>
            </w:r>
          </w:p>
        </w:tc>
        <w:tc>
          <w:tcPr>
            <w:tcW w:w="1660" w:type="dxa"/>
            <w:tcBorders>
              <w:top w:val="nil"/>
              <w:left w:val="nil"/>
              <w:bottom w:val="single" w:color="auto" w:sz="4" w:space="0"/>
              <w:right w:val="single" w:color="auto" w:sz="4" w:space="0"/>
            </w:tcBorders>
            <w:shd w:val="clear" w:color="auto" w:fill="auto"/>
            <w:vAlign w:val="center"/>
          </w:tcPr>
          <w:p w14:paraId="6A3280B1">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2.82</w:t>
            </w:r>
          </w:p>
        </w:tc>
        <w:tc>
          <w:tcPr>
            <w:tcW w:w="1680" w:type="dxa"/>
            <w:tcBorders>
              <w:top w:val="nil"/>
              <w:left w:val="nil"/>
              <w:bottom w:val="single" w:color="auto" w:sz="4" w:space="0"/>
              <w:right w:val="single" w:color="auto" w:sz="4" w:space="0"/>
            </w:tcBorders>
            <w:shd w:val="clear" w:color="auto" w:fill="auto"/>
            <w:vAlign w:val="center"/>
          </w:tcPr>
          <w:p w14:paraId="2E7FE3AA">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3.75</w:t>
            </w:r>
          </w:p>
        </w:tc>
        <w:tc>
          <w:tcPr>
            <w:tcW w:w="1780" w:type="dxa"/>
            <w:tcBorders>
              <w:top w:val="nil"/>
              <w:left w:val="nil"/>
              <w:bottom w:val="single" w:color="auto" w:sz="4" w:space="0"/>
              <w:right w:val="single" w:color="auto" w:sz="4" w:space="0"/>
            </w:tcBorders>
            <w:shd w:val="clear" w:color="auto" w:fill="auto"/>
            <w:vAlign w:val="center"/>
          </w:tcPr>
          <w:p w14:paraId="7B4DBC22">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2.6</w:t>
            </w:r>
          </w:p>
        </w:tc>
        <w:tc>
          <w:tcPr>
            <w:tcW w:w="1520" w:type="dxa"/>
            <w:tcBorders>
              <w:top w:val="nil"/>
              <w:left w:val="nil"/>
              <w:bottom w:val="single" w:color="auto" w:sz="4" w:space="0"/>
              <w:right w:val="single" w:color="auto" w:sz="4" w:space="0"/>
            </w:tcBorders>
            <w:shd w:val="clear" w:color="auto" w:fill="auto"/>
            <w:vAlign w:val="center"/>
          </w:tcPr>
          <w:p w14:paraId="70375A36">
            <w:pPr>
              <w:adjustRightInd/>
              <w:snapToGrid/>
              <w:spacing w:after="0"/>
              <w:jc w:val="center"/>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1</w:t>
            </w:r>
          </w:p>
        </w:tc>
      </w:tr>
    </w:tbl>
    <w:p w14:paraId="308F2167">
      <w:pPr>
        <w:tabs>
          <w:tab w:val="left" w:pos="1140"/>
        </w:tabs>
        <w:spacing w:after="0"/>
        <w:ind w:firstLine="378" w:firstLineChars="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资料来源：陈志勇，庄佳强.地方政府信用评级方法比较及在我国的应用[J].财政研究，2014，(07):25-28.</w:t>
      </w:r>
    </w:p>
    <w:p w14:paraId="7E013026">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此外，闫明、顾炜宇（2014），郭玉清、袁静、李永宁（2015），温来成、刘洪芳（2016）等也从经济学视角对地方政府信用状况进行过有益的探讨。闫明、顾炜宇（2014）在传统地方政府信用评级框架的基础上，进一步细化了地方政府经济行为和财力分析的指标。作者将地方政府财政收入状况区分为一般性预算收入与政府性基金收入，并分别建立指标体系进行分析，同时将政府的治理能力以及财政资金和债务管理能力纳入评价体系。作者通过AHP层次分析法确立指标的权重，进而通过聚类分析得到地方政府的信用评级结果。主要信用评级指标如表</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rPr>
        <w:t>所示：</w:t>
      </w:r>
    </w:p>
    <w:p w14:paraId="0EA129CE">
      <w:pPr>
        <w:tabs>
          <w:tab w:val="left" w:pos="1140"/>
        </w:tabs>
        <w:spacing w:after="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表</w:t>
      </w: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 xml:space="preserve"> 闫明、顾炜宇等对地方政府信用研究的评级指标</w:t>
      </w:r>
    </w:p>
    <w:tbl>
      <w:tblPr>
        <w:tblStyle w:val="3"/>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440"/>
        <w:gridCol w:w="2020"/>
        <w:gridCol w:w="2260"/>
        <w:gridCol w:w="1418"/>
      </w:tblGrid>
      <w:tr w14:paraId="7F55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shd w:val="clear" w:color="auto" w:fill="auto"/>
            <w:vAlign w:val="center"/>
          </w:tcPr>
          <w:p w14:paraId="57CD6B06">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序号</w:t>
            </w:r>
          </w:p>
        </w:tc>
        <w:tc>
          <w:tcPr>
            <w:tcW w:w="2440" w:type="dxa"/>
            <w:shd w:val="clear" w:color="auto" w:fill="auto"/>
            <w:vAlign w:val="center"/>
          </w:tcPr>
          <w:p w14:paraId="7E8F9EF1">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一级指标</w:t>
            </w:r>
          </w:p>
        </w:tc>
        <w:tc>
          <w:tcPr>
            <w:tcW w:w="2020" w:type="dxa"/>
            <w:shd w:val="clear" w:color="auto" w:fill="auto"/>
            <w:vAlign w:val="center"/>
          </w:tcPr>
          <w:p w14:paraId="66D1749E">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二级指标</w:t>
            </w:r>
          </w:p>
        </w:tc>
        <w:tc>
          <w:tcPr>
            <w:tcW w:w="2260" w:type="dxa"/>
            <w:shd w:val="clear" w:color="auto" w:fill="auto"/>
            <w:vAlign w:val="center"/>
          </w:tcPr>
          <w:p w14:paraId="0C73AEFD">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三级指标</w:t>
            </w:r>
          </w:p>
        </w:tc>
        <w:tc>
          <w:tcPr>
            <w:tcW w:w="1418" w:type="dxa"/>
            <w:shd w:val="clear" w:color="auto" w:fill="auto"/>
            <w:vAlign w:val="center"/>
          </w:tcPr>
          <w:p w14:paraId="4D0CCE5D">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备注</w:t>
            </w:r>
          </w:p>
        </w:tc>
      </w:tr>
      <w:tr w14:paraId="15E0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80" w:type="dxa"/>
            <w:shd w:val="clear" w:color="auto" w:fill="auto"/>
            <w:vAlign w:val="center"/>
          </w:tcPr>
          <w:p w14:paraId="1665E5EF">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2440" w:type="dxa"/>
            <w:shd w:val="clear" w:color="auto" w:fill="auto"/>
            <w:vAlign w:val="center"/>
          </w:tcPr>
          <w:p w14:paraId="5E32B719">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一、宏观经济影响因素</w:t>
            </w:r>
          </w:p>
        </w:tc>
        <w:tc>
          <w:tcPr>
            <w:tcW w:w="2020" w:type="dxa"/>
            <w:shd w:val="clear" w:color="auto" w:fill="auto"/>
            <w:vAlign w:val="center"/>
          </w:tcPr>
          <w:p w14:paraId="5AA7198A">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宏观经济政策</w:t>
            </w:r>
          </w:p>
        </w:tc>
        <w:tc>
          <w:tcPr>
            <w:tcW w:w="2260" w:type="dxa"/>
            <w:shd w:val="clear" w:color="auto" w:fill="auto"/>
            <w:vAlign w:val="center"/>
          </w:tcPr>
          <w:p w14:paraId="578BACB5">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货币政策</w:t>
            </w:r>
          </w:p>
        </w:tc>
        <w:tc>
          <w:tcPr>
            <w:tcW w:w="1418" w:type="dxa"/>
            <w:shd w:val="clear" w:color="auto" w:fill="auto"/>
            <w:noWrap/>
            <w:vAlign w:val="bottom"/>
          </w:tcPr>
          <w:p w14:paraId="246D72F9">
            <w:pPr>
              <w:adjustRightInd/>
              <w:snapToGrid/>
              <w:spacing w:after="0"/>
              <w:jc w:val="center"/>
              <w:rPr>
                <w:rFonts w:hint="eastAsia" w:ascii="仿宋_GB2312" w:hAnsi="仿宋_GB2312" w:eastAsia="仿宋_GB2312" w:cs="仿宋_GB2312"/>
                <w:color w:val="000000"/>
                <w:sz w:val="28"/>
                <w:szCs w:val="28"/>
              </w:rPr>
            </w:pPr>
          </w:p>
        </w:tc>
      </w:tr>
      <w:tr w14:paraId="7F10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shd w:val="clear" w:color="auto" w:fill="auto"/>
            <w:vAlign w:val="center"/>
          </w:tcPr>
          <w:p w14:paraId="605E9F0B">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2440" w:type="dxa"/>
            <w:shd w:val="clear" w:color="auto" w:fill="auto"/>
            <w:vAlign w:val="center"/>
          </w:tcPr>
          <w:p w14:paraId="29085079">
            <w:pPr>
              <w:adjustRightInd/>
              <w:snapToGrid/>
              <w:spacing w:after="0"/>
              <w:jc w:val="center"/>
              <w:rPr>
                <w:rFonts w:hint="eastAsia" w:ascii="仿宋_GB2312" w:hAnsi="仿宋_GB2312" w:eastAsia="仿宋_GB2312" w:cs="仿宋_GB2312"/>
                <w:color w:val="000000"/>
                <w:sz w:val="28"/>
                <w:szCs w:val="28"/>
              </w:rPr>
            </w:pPr>
          </w:p>
        </w:tc>
        <w:tc>
          <w:tcPr>
            <w:tcW w:w="2020" w:type="dxa"/>
            <w:shd w:val="clear" w:color="auto" w:fill="auto"/>
            <w:noWrap/>
            <w:vAlign w:val="bottom"/>
          </w:tcPr>
          <w:p w14:paraId="3F0405E1">
            <w:pPr>
              <w:adjustRightInd/>
              <w:snapToGrid/>
              <w:spacing w:after="0"/>
              <w:jc w:val="center"/>
              <w:rPr>
                <w:rFonts w:hint="eastAsia" w:ascii="仿宋_GB2312" w:hAnsi="仿宋_GB2312" w:eastAsia="仿宋_GB2312" w:cs="仿宋_GB2312"/>
                <w:color w:val="000000"/>
                <w:sz w:val="28"/>
                <w:szCs w:val="28"/>
              </w:rPr>
            </w:pPr>
          </w:p>
        </w:tc>
        <w:tc>
          <w:tcPr>
            <w:tcW w:w="2260" w:type="dxa"/>
            <w:shd w:val="clear" w:color="auto" w:fill="auto"/>
            <w:vAlign w:val="center"/>
          </w:tcPr>
          <w:p w14:paraId="18624D00">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财政政策</w:t>
            </w:r>
          </w:p>
        </w:tc>
        <w:tc>
          <w:tcPr>
            <w:tcW w:w="1418" w:type="dxa"/>
            <w:shd w:val="clear" w:color="auto" w:fill="auto"/>
            <w:noWrap/>
            <w:vAlign w:val="bottom"/>
          </w:tcPr>
          <w:p w14:paraId="0E30BEB0">
            <w:pPr>
              <w:adjustRightInd/>
              <w:snapToGrid/>
              <w:spacing w:after="0"/>
              <w:jc w:val="center"/>
              <w:rPr>
                <w:rFonts w:hint="eastAsia" w:ascii="仿宋_GB2312" w:hAnsi="仿宋_GB2312" w:eastAsia="仿宋_GB2312" w:cs="仿宋_GB2312"/>
                <w:color w:val="000000"/>
                <w:sz w:val="28"/>
                <w:szCs w:val="28"/>
              </w:rPr>
            </w:pPr>
          </w:p>
        </w:tc>
      </w:tr>
      <w:tr w14:paraId="10091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80" w:type="dxa"/>
            <w:shd w:val="clear" w:color="auto" w:fill="auto"/>
            <w:vAlign w:val="center"/>
          </w:tcPr>
          <w:p w14:paraId="273E8E19">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p>
        </w:tc>
        <w:tc>
          <w:tcPr>
            <w:tcW w:w="2440" w:type="dxa"/>
            <w:shd w:val="clear" w:color="auto" w:fill="auto"/>
            <w:vAlign w:val="center"/>
          </w:tcPr>
          <w:p w14:paraId="25DE0B42">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二、基本财政体制</w:t>
            </w:r>
          </w:p>
        </w:tc>
        <w:tc>
          <w:tcPr>
            <w:tcW w:w="2020" w:type="dxa"/>
            <w:shd w:val="clear" w:color="auto" w:fill="auto"/>
            <w:vAlign w:val="center"/>
          </w:tcPr>
          <w:p w14:paraId="5262A2F7">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基本税收制度</w:t>
            </w:r>
          </w:p>
        </w:tc>
        <w:tc>
          <w:tcPr>
            <w:tcW w:w="2260" w:type="dxa"/>
            <w:shd w:val="clear" w:color="auto" w:fill="auto"/>
            <w:vAlign w:val="center"/>
          </w:tcPr>
          <w:p w14:paraId="2D12BC37">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分税体制稳定性</w:t>
            </w:r>
          </w:p>
        </w:tc>
        <w:tc>
          <w:tcPr>
            <w:tcW w:w="1418" w:type="dxa"/>
            <w:shd w:val="clear" w:color="auto" w:fill="auto"/>
            <w:noWrap/>
            <w:vAlign w:val="bottom"/>
          </w:tcPr>
          <w:p w14:paraId="42CB65B1">
            <w:pPr>
              <w:adjustRightInd/>
              <w:snapToGrid/>
              <w:spacing w:after="0"/>
              <w:jc w:val="center"/>
              <w:rPr>
                <w:rFonts w:hint="eastAsia" w:ascii="仿宋_GB2312" w:hAnsi="仿宋_GB2312" w:eastAsia="仿宋_GB2312" w:cs="仿宋_GB2312"/>
                <w:color w:val="000000"/>
                <w:sz w:val="28"/>
                <w:szCs w:val="28"/>
              </w:rPr>
            </w:pPr>
          </w:p>
        </w:tc>
      </w:tr>
      <w:tr w14:paraId="77F5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shd w:val="clear" w:color="auto" w:fill="auto"/>
            <w:vAlign w:val="center"/>
          </w:tcPr>
          <w:p w14:paraId="48C64E06">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w:t>
            </w:r>
          </w:p>
        </w:tc>
        <w:tc>
          <w:tcPr>
            <w:tcW w:w="2440" w:type="dxa"/>
            <w:shd w:val="clear" w:color="auto" w:fill="auto"/>
            <w:vAlign w:val="center"/>
          </w:tcPr>
          <w:p w14:paraId="7AAC13C5">
            <w:pPr>
              <w:adjustRightInd/>
              <w:snapToGrid/>
              <w:spacing w:after="0"/>
              <w:jc w:val="center"/>
              <w:rPr>
                <w:rFonts w:hint="eastAsia" w:ascii="仿宋_GB2312" w:hAnsi="仿宋_GB2312" w:eastAsia="仿宋_GB2312" w:cs="仿宋_GB2312"/>
                <w:color w:val="000000"/>
                <w:sz w:val="28"/>
                <w:szCs w:val="28"/>
              </w:rPr>
            </w:pPr>
          </w:p>
        </w:tc>
        <w:tc>
          <w:tcPr>
            <w:tcW w:w="2020" w:type="dxa"/>
            <w:shd w:val="clear" w:color="auto" w:fill="auto"/>
            <w:vAlign w:val="center"/>
          </w:tcPr>
          <w:p w14:paraId="367F535E">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转移支付制度</w:t>
            </w:r>
          </w:p>
        </w:tc>
        <w:tc>
          <w:tcPr>
            <w:tcW w:w="2260" w:type="dxa"/>
            <w:shd w:val="clear" w:color="auto" w:fill="auto"/>
            <w:vAlign w:val="center"/>
          </w:tcPr>
          <w:p w14:paraId="4DAE1F14">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转移支付制度稳定性</w:t>
            </w:r>
          </w:p>
        </w:tc>
        <w:tc>
          <w:tcPr>
            <w:tcW w:w="1418" w:type="dxa"/>
            <w:shd w:val="clear" w:color="auto" w:fill="auto"/>
            <w:noWrap/>
            <w:vAlign w:val="bottom"/>
          </w:tcPr>
          <w:p w14:paraId="2BEB2B9E">
            <w:pPr>
              <w:adjustRightInd/>
              <w:snapToGrid/>
              <w:spacing w:after="0"/>
              <w:jc w:val="center"/>
              <w:rPr>
                <w:rFonts w:hint="eastAsia" w:ascii="仿宋_GB2312" w:hAnsi="仿宋_GB2312" w:eastAsia="仿宋_GB2312" w:cs="仿宋_GB2312"/>
                <w:color w:val="000000"/>
                <w:sz w:val="28"/>
                <w:szCs w:val="28"/>
              </w:rPr>
            </w:pPr>
          </w:p>
        </w:tc>
      </w:tr>
      <w:tr w14:paraId="709F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80" w:type="dxa"/>
            <w:shd w:val="clear" w:color="auto" w:fill="auto"/>
            <w:vAlign w:val="center"/>
          </w:tcPr>
          <w:p w14:paraId="0F422C72">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p>
        </w:tc>
        <w:tc>
          <w:tcPr>
            <w:tcW w:w="2440" w:type="dxa"/>
            <w:shd w:val="clear" w:color="auto" w:fill="auto"/>
            <w:vAlign w:val="center"/>
          </w:tcPr>
          <w:p w14:paraId="78AFBA19">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三、地区经济发展状况</w:t>
            </w:r>
          </w:p>
        </w:tc>
        <w:tc>
          <w:tcPr>
            <w:tcW w:w="2020" w:type="dxa"/>
            <w:shd w:val="clear" w:color="auto" w:fill="auto"/>
            <w:vAlign w:val="center"/>
          </w:tcPr>
          <w:p w14:paraId="08834320">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资源禀赋</w:t>
            </w:r>
          </w:p>
        </w:tc>
        <w:tc>
          <w:tcPr>
            <w:tcW w:w="2260" w:type="dxa"/>
            <w:shd w:val="clear" w:color="auto" w:fill="auto"/>
            <w:vAlign w:val="center"/>
          </w:tcPr>
          <w:p w14:paraId="2EB2E7C9">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平均受教育程度</w:t>
            </w:r>
          </w:p>
        </w:tc>
        <w:tc>
          <w:tcPr>
            <w:tcW w:w="1418" w:type="dxa"/>
            <w:shd w:val="clear" w:color="auto" w:fill="auto"/>
            <w:noWrap/>
            <w:vAlign w:val="bottom"/>
          </w:tcPr>
          <w:p w14:paraId="2072D699">
            <w:pPr>
              <w:adjustRightInd/>
              <w:snapToGrid/>
              <w:spacing w:after="0"/>
              <w:jc w:val="center"/>
              <w:rPr>
                <w:rFonts w:hint="eastAsia" w:ascii="仿宋_GB2312" w:hAnsi="仿宋_GB2312" w:eastAsia="仿宋_GB2312" w:cs="仿宋_GB2312"/>
                <w:color w:val="000000"/>
                <w:sz w:val="28"/>
                <w:szCs w:val="28"/>
              </w:rPr>
            </w:pPr>
          </w:p>
        </w:tc>
      </w:tr>
      <w:tr w14:paraId="3BD73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80" w:type="dxa"/>
            <w:shd w:val="clear" w:color="auto" w:fill="auto"/>
            <w:vAlign w:val="center"/>
          </w:tcPr>
          <w:p w14:paraId="30B7A9F6">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w:t>
            </w:r>
          </w:p>
        </w:tc>
        <w:tc>
          <w:tcPr>
            <w:tcW w:w="2440" w:type="dxa"/>
            <w:shd w:val="clear" w:color="auto" w:fill="auto"/>
            <w:vAlign w:val="center"/>
          </w:tcPr>
          <w:p w14:paraId="11001B03">
            <w:pPr>
              <w:adjustRightInd/>
              <w:snapToGrid/>
              <w:spacing w:after="0"/>
              <w:jc w:val="center"/>
              <w:rPr>
                <w:rFonts w:hint="eastAsia" w:ascii="仿宋_GB2312" w:hAnsi="仿宋_GB2312" w:eastAsia="仿宋_GB2312" w:cs="仿宋_GB2312"/>
                <w:color w:val="000000"/>
                <w:sz w:val="28"/>
                <w:szCs w:val="28"/>
              </w:rPr>
            </w:pPr>
          </w:p>
        </w:tc>
        <w:tc>
          <w:tcPr>
            <w:tcW w:w="2020" w:type="dxa"/>
            <w:shd w:val="clear" w:color="auto" w:fill="auto"/>
            <w:noWrap/>
            <w:vAlign w:val="bottom"/>
          </w:tcPr>
          <w:p w14:paraId="4C18F0FF">
            <w:pPr>
              <w:adjustRightInd/>
              <w:snapToGrid/>
              <w:spacing w:after="0"/>
              <w:jc w:val="center"/>
              <w:rPr>
                <w:rFonts w:hint="eastAsia" w:ascii="仿宋_GB2312" w:hAnsi="仿宋_GB2312" w:eastAsia="仿宋_GB2312" w:cs="仿宋_GB2312"/>
                <w:color w:val="000000"/>
                <w:sz w:val="28"/>
                <w:szCs w:val="28"/>
              </w:rPr>
            </w:pPr>
          </w:p>
        </w:tc>
        <w:tc>
          <w:tcPr>
            <w:tcW w:w="2260" w:type="dxa"/>
            <w:shd w:val="clear" w:color="auto" w:fill="auto"/>
            <w:vAlign w:val="center"/>
          </w:tcPr>
          <w:p w14:paraId="73E2353C">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Ｒ＆D 投入占 GDP 的比重</w:t>
            </w:r>
          </w:p>
        </w:tc>
        <w:tc>
          <w:tcPr>
            <w:tcW w:w="1418" w:type="dxa"/>
            <w:shd w:val="clear" w:color="auto" w:fill="auto"/>
            <w:noWrap/>
            <w:vAlign w:val="bottom"/>
          </w:tcPr>
          <w:p w14:paraId="48212D64">
            <w:pPr>
              <w:adjustRightInd/>
              <w:snapToGrid/>
              <w:spacing w:after="0"/>
              <w:jc w:val="center"/>
              <w:rPr>
                <w:rFonts w:hint="eastAsia" w:ascii="仿宋_GB2312" w:hAnsi="仿宋_GB2312" w:eastAsia="仿宋_GB2312" w:cs="仿宋_GB2312"/>
                <w:color w:val="000000"/>
                <w:sz w:val="28"/>
                <w:szCs w:val="28"/>
              </w:rPr>
            </w:pPr>
          </w:p>
        </w:tc>
      </w:tr>
      <w:tr w14:paraId="1FB79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80" w:type="dxa"/>
            <w:shd w:val="clear" w:color="auto" w:fill="auto"/>
            <w:vAlign w:val="center"/>
          </w:tcPr>
          <w:p w14:paraId="49CECF91">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w:t>
            </w:r>
          </w:p>
        </w:tc>
        <w:tc>
          <w:tcPr>
            <w:tcW w:w="2440" w:type="dxa"/>
            <w:shd w:val="clear" w:color="auto" w:fill="auto"/>
            <w:vAlign w:val="center"/>
          </w:tcPr>
          <w:p w14:paraId="1DFDD6F4">
            <w:pPr>
              <w:adjustRightInd/>
              <w:snapToGrid/>
              <w:spacing w:after="0"/>
              <w:jc w:val="center"/>
              <w:rPr>
                <w:rFonts w:hint="eastAsia" w:ascii="仿宋_GB2312" w:hAnsi="仿宋_GB2312" w:eastAsia="仿宋_GB2312" w:cs="仿宋_GB2312"/>
                <w:color w:val="000000"/>
                <w:sz w:val="28"/>
                <w:szCs w:val="28"/>
              </w:rPr>
            </w:pPr>
          </w:p>
        </w:tc>
        <w:tc>
          <w:tcPr>
            <w:tcW w:w="2020" w:type="dxa"/>
            <w:shd w:val="clear" w:color="auto" w:fill="auto"/>
            <w:vAlign w:val="center"/>
          </w:tcPr>
          <w:p w14:paraId="2E2C09FC">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地区经济发展状况</w:t>
            </w:r>
          </w:p>
        </w:tc>
        <w:tc>
          <w:tcPr>
            <w:tcW w:w="2260" w:type="dxa"/>
            <w:shd w:val="clear" w:color="auto" w:fill="auto"/>
            <w:vAlign w:val="center"/>
          </w:tcPr>
          <w:p w14:paraId="6A87DCFD">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地区 GDP 规模与增速</w:t>
            </w:r>
          </w:p>
        </w:tc>
        <w:tc>
          <w:tcPr>
            <w:tcW w:w="1418" w:type="dxa"/>
            <w:shd w:val="clear" w:color="auto" w:fill="auto"/>
            <w:noWrap/>
            <w:vAlign w:val="bottom"/>
          </w:tcPr>
          <w:p w14:paraId="7935CAF2">
            <w:pPr>
              <w:adjustRightInd/>
              <w:snapToGrid/>
              <w:spacing w:after="0"/>
              <w:jc w:val="center"/>
              <w:rPr>
                <w:rFonts w:hint="eastAsia" w:ascii="仿宋_GB2312" w:hAnsi="仿宋_GB2312" w:eastAsia="仿宋_GB2312" w:cs="仿宋_GB2312"/>
                <w:color w:val="000000"/>
                <w:sz w:val="28"/>
                <w:szCs w:val="28"/>
              </w:rPr>
            </w:pPr>
          </w:p>
        </w:tc>
      </w:tr>
      <w:tr w14:paraId="3434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0" w:type="dxa"/>
            <w:shd w:val="clear" w:color="auto" w:fill="auto"/>
            <w:vAlign w:val="center"/>
          </w:tcPr>
          <w:p w14:paraId="61D47102">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w:t>
            </w:r>
          </w:p>
        </w:tc>
        <w:tc>
          <w:tcPr>
            <w:tcW w:w="2440" w:type="dxa"/>
            <w:shd w:val="clear" w:color="auto" w:fill="auto"/>
            <w:vAlign w:val="center"/>
          </w:tcPr>
          <w:p w14:paraId="2E0043D4">
            <w:pPr>
              <w:adjustRightInd/>
              <w:snapToGrid/>
              <w:spacing w:after="0"/>
              <w:jc w:val="center"/>
              <w:rPr>
                <w:rFonts w:hint="eastAsia" w:ascii="仿宋_GB2312" w:hAnsi="仿宋_GB2312" w:eastAsia="仿宋_GB2312" w:cs="仿宋_GB2312"/>
                <w:color w:val="000000"/>
                <w:sz w:val="28"/>
                <w:szCs w:val="28"/>
              </w:rPr>
            </w:pPr>
          </w:p>
        </w:tc>
        <w:tc>
          <w:tcPr>
            <w:tcW w:w="2020" w:type="dxa"/>
            <w:shd w:val="clear" w:color="auto" w:fill="auto"/>
            <w:noWrap/>
            <w:vAlign w:val="bottom"/>
          </w:tcPr>
          <w:p w14:paraId="5B36D748">
            <w:pPr>
              <w:adjustRightInd/>
              <w:snapToGrid/>
              <w:spacing w:after="0"/>
              <w:jc w:val="center"/>
              <w:rPr>
                <w:rFonts w:hint="eastAsia" w:ascii="仿宋_GB2312" w:hAnsi="仿宋_GB2312" w:eastAsia="仿宋_GB2312" w:cs="仿宋_GB2312"/>
                <w:color w:val="000000"/>
                <w:sz w:val="28"/>
                <w:szCs w:val="28"/>
              </w:rPr>
            </w:pPr>
          </w:p>
        </w:tc>
        <w:tc>
          <w:tcPr>
            <w:tcW w:w="2260" w:type="dxa"/>
            <w:shd w:val="clear" w:color="auto" w:fill="auto"/>
            <w:vAlign w:val="center"/>
          </w:tcPr>
          <w:p w14:paraId="61EDD8FE">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地区固定资产投资规模与增速</w:t>
            </w:r>
          </w:p>
        </w:tc>
        <w:tc>
          <w:tcPr>
            <w:tcW w:w="1418" w:type="dxa"/>
            <w:shd w:val="clear" w:color="auto" w:fill="auto"/>
            <w:noWrap/>
            <w:vAlign w:val="bottom"/>
          </w:tcPr>
          <w:p w14:paraId="7CAA816E">
            <w:pPr>
              <w:adjustRightInd/>
              <w:snapToGrid/>
              <w:spacing w:after="0"/>
              <w:jc w:val="center"/>
              <w:rPr>
                <w:rFonts w:hint="eastAsia" w:ascii="仿宋_GB2312" w:hAnsi="仿宋_GB2312" w:eastAsia="仿宋_GB2312" w:cs="仿宋_GB2312"/>
                <w:color w:val="000000"/>
                <w:sz w:val="28"/>
                <w:szCs w:val="28"/>
              </w:rPr>
            </w:pPr>
          </w:p>
        </w:tc>
      </w:tr>
      <w:tr w14:paraId="598FF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shd w:val="clear" w:color="auto" w:fill="auto"/>
            <w:vAlign w:val="center"/>
          </w:tcPr>
          <w:p w14:paraId="55A6E4F1">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w:t>
            </w:r>
          </w:p>
        </w:tc>
        <w:tc>
          <w:tcPr>
            <w:tcW w:w="2440" w:type="dxa"/>
            <w:shd w:val="clear" w:color="auto" w:fill="auto"/>
            <w:vAlign w:val="center"/>
          </w:tcPr>
          <w:p w14:paraId="7EA9C2EB">
            <w:pPr>
              <w:adjustRightInd/>
              <w:snapToGrid/>
              <w:spacing w:after="0"/>
              <w:jc w:val="center"/>
              <w:rPr>
                <w:rFonts w:hint="eastAsia" w:ascii="仿宋_GB2312" w:hAnsi="仿宋_GB2312" w:eastAsia="仿宋_GB2312" w:cs="仿宋_GB2312"/>
                <w:color w:val="000000"/>
                <w:sz w:val="28"/>
                <w:szCs w:val="28"/>
              </w:rPr>
            </w:pPr>
          </w:p>
        </w:tc>
        <w:tc>
          <w:tcPr>
            <w:tcW w:w="2020" w:type="dxa"/>
            <w:shd w:val="clear" w:color="auto" w:fill="auto"/>
            <w:vAlign w:val="center"/>
          </w:tcPr>
          <w:p w14:paraId="51A7BB9D">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地区产业结构</w:t>
            </w:r>
          </w:p>
        </w:tc>
        <w:tc>
          <w:tcPr>
            <w:tcW w:w="2260" w:type="dxa"/>
            <w:shd w:val="clear" w:color="auto" w:fill="auto"/>
            <w:vAlign w:val="center"/>
          </w:tcPr>
          <w:p w14:paraId="2AD554D2">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三次产业结构</w:t>
            </w:r>
          </w:p>
        </w:tc>
        <w:tc>
          <w:tcPr>
            <w:tcW w:w="1418" w:type="dxa"/>
            <w:shd w:val="clear" w:color="auto" w:fill="auto"/>
            <w:noWrap/>
            <w:vAlign w:val="bottom"/>
          </w:tcPr>
          <w:p w14:paraId="5523CD83">
            <w:pPr>
              <w:adjustRightInd/>
              <w:snapToGrid/>
              <w:spacing w:after="0"/>
              <w:jc w:val="center"/>
              <w:rPr>
                <w:rFonts w:hint="eastAsia" w:ascii="仿宋_GB2312" w:hAnsi="仿宋_GB2312" w:eastAsia="仿宋_GB2312" w:cs="仿宋_GB2312"/>
                <w:color w:val="000000"/>
                <w:sz w:val="28"/>
                <w:szCs w:val="28"/>
              </w:rPr>
            </w:pPr>
          </w:p>
        </w:tc>
      </w:tr>
      <w:tr w14:paraId="37127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shd w:val="clear" w:color="auto" w:fill="auto"/>
            <w:vAlign w:val="center"/>
          </w:tcPr>
          <w:p w14:paraId="020B785D">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w:t>
            </w:r>
          </w:p>
        </w:tc>
        <w:tc>
          <w:tcPr>
            <w:tcW w:w="2440" w:type="dxa"/>
            <w:shd w:val="clear" w:color="auto" w:fill="auto"/>
            <w:vAlign w:val="center"/>
          </w:tcPr>
          <w:p w14:paraId="0D152AEE">
            <w:pPr>
              <w:adjustRightInd/>
              <w:snapToGrid/>
              <w:spacing w:after="0"/>
              <w:jc w:val="center"/>
              <w:rPr>
                <w:rFonts w:hint="eastAsia" w:ascii="仿宋_GB2312" w:hAnsi="仿宋_GB2312" w:eastAsia="仿宋_GB2312" w:cs="仿宋_GB2312"/>
                <w:color w:val="000000"/>
                <w:sz w:val="28"/>
                <w:szCs w:val="28"/>
              </w:rPr>
            </w:pPr>
          </w:p>
        </w:tc>
        <w:tc>
          <w:tcPr>
            <w:tcW w:w="2020" w:type="dxa"/>
            <w:shd w:val="clear" w:color="auto" w:fill="auto"/>
            <w:vAlign w:val="center"/>
          </w:tcPr>
          <w:p w14:paraId="001CA736">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地区金融环境</w:t>
            </w:r>
          </w:p>
        </w:tc>
        <w:tc>
          <w:tcPr>
            <w:tcW w:w="2260" w:type="dxa"/>
            <w:shd w:val="clear" w:color="auto" w:fill="auto"/>
            <w:vAlign w:val="center"/>
          </w:tcPr>
          <w:p w14:paraId="6647764E">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地区存贷款规模</w:t>
            </w:r>
          </w:p>
        </w:tc>
        <w:tc>
          <w:tcPr>
            <w:tcW w:w="1418" w:type="dxa"/>
            <w:shd w:val="clear" w:color="auto" w:fill="auto"/>
            <w:noWrap/>
            <w:vAlign w:val="bottom"/>
          </w:tcPr>
          <w:p w14:paraId="5E928C05">
            <w:pPr>
              <w:adjustRightInd/>
              <w:snapToGrid/>
              <w:spacing w:after="0"/>
              <w:jc w:val="center"/>
              <w:rPr>
                <w:rFonts w:hint="eastAsia" w:ascii="仿宋_GB2312" w:hAnsi="仿宋_GB2312" w:eastAsia="仿宋_GB2312" w:cs="仿宋_GB2312"/>
                <w:color w:val="000000"/>
                <w:sz w:val="28"/>
                <w:szCs w:val="28"/>
              </w:rPr>
            </w:pPr>
          </w:p>
        </w:tc>
      </w:tr>
      <w:tr w14:paraId="47F6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shd w:val="clear" w:color="auto" w:fill="auto"/>
            <w:vAlign w:val="center"/>
          </w:tcPr>
          <w:p w14:paraId="5B40F3CE">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w:t>
            </w:r>
          </w:p>
        </w:tc>
        <w:tc>
          <w:tcPr>
            <w:tcW w:w="2440" w:type="dxa"/>
            <w:shd w:val="clear" w:color="auto" w:fill="auto"/>
            <w:vAlign w:val="center"/>
          </w:tcPr>
          <w:p w14:paraId="65D603B8">
            <w:pPr>
              <w:adjustRightInd/>
              <w:snapToGrid/>
              <w:spacing w:after="0"/>
              <w:jc w:val="center"/>
              <w:rPr>
                <w:rFonts w:hint="eastAsia" w:ascii="仿宋_GB2312" w:hAnsi="仿宋_GB2312" w:eastAsia="仿宋_GB2312" w:cs="仿宋_GB2312"/>
                <w:color w:val="000000"/>
                <w:sz w:val="28"/>
                <w:szCs w:val="28"/>
              </w:rPr>
            </w:pPr>
          </w:p>
        </w:tc>
        <w:tc>
          <w:tcPr>
            <w:tcW w:w="2020" w:type="dxa"/>
            <w:shd w:val="clear" w:color="auto" w:fill="auto"/>
            <w:noWrap/>
            <w:vAlign w:val="bottom"/>
          </w:tcPr>
          <w:p w14:paraId="5E599A89">
            <w:pPr>
              <w:adjustRightInd/>
              <w:snapToGrid/>
              <w:spacing w:after="0"/>
              <w:jc w:val="center"/>
              <w:rPr>
                <w:rFonts w:hint="eastAsia" w:ascii="仿宋_GB2312" w:hAnsi="仿宋_GB2312" w:eastAsia="仿宋_GB2312" w:cs="仿宋_GB2312"/>
                <w:color w:val="000000"/>
                <w:sz w:val="28"/>
                <w:szCs w:val="28"/>
              </w:rPr>
            </w:pPr>
          </w:p>
        </w:tc>
        <w:tc>
          <w:tcPr>
            <w:tcW w:w="2260" w:type="dxa"/>
            <w:shd w:val="clear" w:color="auto" w:fill="auto"/>
            <w:vAlign w:val="center"/>
          </w:tcPr>
          <w:p w14:paraId="2E8A5ACE">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地区存贷比例</w:t>
            </w:r>
          </w:p>
        </w:tc>
        <w:tc>
          <w:tcPr>
            <w:tcW w:w="1418" w:type="dxa"/>
            <w:shd w:val="clear" w:color="auto" w:fill="auto"/>
            <w:noWrap/>
            <w:vAlign w:val="bottom"/>
          </w:tcPr>
          <w:p w14:paraId="0CCA4CEF">
            <w:pPr>
              <w:adjustRightInd/>
              <w:snapToGrid/>
              <w:spacing w:after="0"/>
              <w:jc w:val="center"/>
              <w:rPr>
                <w:rFonts w:hint="eastAsia" w:ascii="仿宋_GB2312" w:hAnsi="仿宋_GB2312" w:eastAsia="仿宋_GB2312" w:cs="仿宋_GB2312"/>
                <w:color w:val="000000"/>
                <w:sz w:val="28"/>
                <w:szCs w:val="28"/>
              </w:rPr>
            </w:pPr>
          </w:p>
        </w:tc>
      </w:tr>
      <w:tr w14:paraId="01A72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80" w:type="dxa"/>
            <w:shd w:val="clear" w:color="auto" w:fill="auto"/>
            <w:vAlign w:val="center"/>
          </w:tcPr>
          <w:p w14:paraId="4664D11D">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w:t>
            </w:r>
          </w:p>
        </w:tc>
        <w:tc>
          <w:tcPr>
            <w:tcW w:w="2440" w:type="dxa"/>
            <w:shd w:val="clear" w:color="auto" w:fill="auto"/>
            <w:vAlign w:val="center"/>
          </w:tcPr>
          <w:p w14:paraId="24B7187C">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四、地方政府治理状况</w:t>
            </w:r>
          </w:p>
        </w:tc>
        <w:tc>
          <w:tcPr>
            <w:tcW w:w="2020" w:type="dxa"/>
            <w:shd w:val="clear" w:color="auto" w:fill="auto"/>
            <w:vAlign w:val="center"/>
          </w:tcPr>
          <w:p w14:paraId="1F330372">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治理水平</w:t>
            </w:r>
          </w:p>
        </w:tc>
        <w:tc>
          <w:tcPr>
            <w:tcW w:w="2260" w:type="dxa"/>
            <w:shd w:val="clear" w:color="auto" w:fill="auto"/>
            <w:vAlign w:val="center"/>
          </w:tcPr>
          <w:p w14:paraId="03180150">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地方政府级次</w:t>
            </w:r>
          </w:p>
        </w:tc>
        <w:tc>
          <w:tcPr>
            <w:tcW w:w="1418" w:type="dxa"/>
            <w:shd w:val="clear" w:color="auto" w:fill="auto"/>
            <w:noWrap/>
            <w:vAlign w:val="bottom"/>
          </w:tcPr>
          <w:p w14:paraId="4AF705D2">
            <w:pPr>
              <w:adjustRightInd/>
              <w:snapToGrid/>
              <w:spacing w:after="0"/>
              <w:jc w:val="center"/>
              <w:rPr>
                <w:rFonts w:hint="eastAsia" w:ascii="仿宋_GB2312" w:hAnsi="仿宋_GB2312" w:eastAsia="仿宋_GB2312" w:cs="仿宋_GB2312"/>
                <w:color w:val="000000"/>
                <w:sz w:val="28"/>
                <w:szCs w:val="28"/>
              </w:rPr>
            </w:pPr>
          </w:p>
        </w:tc>
      </w:tr>
      <w:tr w14:paraId="7915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shd w:val="clear" w:color="auto" w:fill="auto"/>
            <w:vAlign w:val="center"/>
          </w:tcPr>
          <w:p w14:paraId="046E8C7E">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13</w:t>
            </w:r>
          </w:p>
        </w:tc>
        <w:tc>
          <w:tcPr>
            <w:tcW w:w="2440" w:type="dxa"/>
            <w:shd w:val="clear" w:color="auto" w:fill="auto"/>
            <w:vAlign w:val="center"/>
          </w:tcPr>
          <w:p w14:paraId="201082B6">
            <w:pPr>
              <w:adjustRightInd/>
              <w:snapToGrid/>
              <w:spacing w:after="0"/>
              <w:jc w:val="center"/>
              <w:rPr>
                <w:rFonts w:hint="eastAsia" w:ascii="仿宋_GB2312" w:hAnsi="仿宋_GB2312" w:eastAsia="仿宋_GB2312" w:cs="仿宋_GB2312"/>
                <w:color w:val="000000"/>
                <w:sz w:val="28"/>
                <w:szCs w:val="28"/>
              </w:rPr>
            </w:pPr>
          </w:p>
        </w:tc>
        <w:tc>
          <w:tcPr>
            <w:tcW w:w="2020" w:type="dxa"/>
            <w:shd w:val="clear" w:color="auto" w:fill="auto"/>
            <w:vAlign w:val="center"/>
          </w:tcPr>
          <w:p w14:paraId="34734349">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公共产品投融资模式</w:t>
            </w:r>
          </w:p>
        </w:tc>
        <w:tc>
          <w:tcPr>
            <w:tcW w:w="2260" w:type="dxa"/>
            <w:shd w:val="clear" w:color="auto" w:fill="auto"/>
            <w:vAlign w:val="center"/>
          </w:tcPr>
          <w:p w14:paraId="44E926CA">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多元化水平</w:t>
            </w:r>
          </w:p>
        </w:tc>
        <w:tc>
          <w:tcPr>
            <w:tcW w:w="1418" w:type="dxa"/>
            <w:shd w:val="clear" w:color="auto" w:fill="auto"/>
            <w:noWrap/>
            <w:vAlign w:val="bottom"/>
          </w:tcPr>
          <w:p w14:paraId="3F81FEB8">
            <w:pPr>
              <w:adjustRightInd/>
              <w:snapToGrid/>
              <w:spacing w:after="0"/>
              <w:jc w:val="center"/>
              <w:rPr>
                <w:rFonts w:hint="eastAsia" w:ascii="仿宋_GB2312" w:hAnsi="仿宋_GB2312" w:eastAsia="仿宋_GB2312" w:cs="仿宋_GB2312"/>
                <w:color w:val="000000"/>
                <w:sz w:val="28"/>
                <w:szCs w:val="28"/>
              </w:rPr>
            </w:pPr>
          </w:p>
        </w:tc>
      </w:tr>
      <w:tr w14:paraId="6044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jc w:val="center"/>
        </w:trPr>
        <w:tc>
          <w:tcPr>
            <w:tcW w:w="1080" w:type="dxa"/>
            <w:shd w:val="clear" w:color="auto" w:fill="auto"/>
            <w:vAlign w:val="center"/>
          </w:tcPr>
          <w:p w14:paraId="4EBCE908">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w:t>
            </w:r>
          </w:p>
        </w:tc>
        <w:tc>
          <w:tcPr>
            <w:tcW w:w="2440" w:type="dxa"/>
            <w:shd w:val="clear" w:color="auto" w:fill="auto"/>
            <w:vAlign w:val="center"/>
          </w:tcPr>
          <w:p w14:paraId="4044C214">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五、地方政府预算管理制度</w:t>
            </w:r>
          </w:p>
        </w:tc>
        <w:tc>
          <w:tcPr>
            <w:tcW w:w="2020" w:type="dxa"/>
            <w:shd w:val="clear" w:color="auto" w:fill="auto"/>
            <w:vAlign w:val="center"/>
          </w:tcPr>
          <w:p w14:paraId="28D661DE">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地方财政收入</w:t>
            </w:r>
          </w:p>
        </w:tc>
        <w:tc>
          <w:tcPr>
            <w:tcW w:w="2260" w:type="dxa"/>
            <w:shd w:val="clear" w:color="auto" w:fill="auto"/>
            <w:vAlign w:val="center"/>
          </w:tcPr>
          <w:p w14:paraId="43754B01">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一般预算收入 ( 税收收入规模</w:t>
            </w:r>
            <w:r>
              <w:rPr>
                <w:rFonts w:hint="eastAsia" w:ascii="仿宋_GB2312" w:hAnsi="仿宋_GB2312" w:eastAsia="仿宋_GB2312" w:cs="仿宋_GB2312"/>
                <w:color w:val="000000"/>
                <w:sz w:val="28"/>
                <w:szCs w:val="28"/>
                <w:lang w:eastAsia="zh-CN"/>
              </w:rPr>
              <w:t>）</w:t>
            </w:r>
          </w:p>
        </w:tc>
        <w:tc>
          <w:tcPr>
            <w:tcW w:w="1418" w:type="dxa"/>
            <w:shd w:val="clear" w:color="auto" w:fill="auto"/>
            <w:noWrap/>
            <w:vAlign w:val="bottom"/>
          </w:tcPr>
          <w:p w14:paraId="05CB388A">
            <w:pPr>
              <w:adjustRightInd/>
              <w:snapToGrid/>
              <w:spacing w:after="0"/>
              <w:jc w:val="center"/>
              <w:rPr>
                <w:rFonts w:hint="eastAsia" w:ascii="仿宋_GB2312" w:hAnsi="仿宋_GB2312" w:eastAsia="仿宋_GB2312" w:cs="仿宋_GB2312"/>
                <w:color w:val="000000"/>
                <w:sz w:val="28"/>
                <w:szCs w:val="28"/>
              </w:rPr>
            </w:pPr>
          </w:p>
        </w:tc>
      </w:tr>
      <w:tr w14:paraId="61AA4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shd w:val="clear" w:color="auto" w:fill="auto"/>
            <w:vAlign w:val="center"/>
          </w:tcPr>
          <w:p w14:paraId="4563C06F">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w:t>
            </w:r>
          </w:p>
        </w:tc>
        <w:tc>
          <w:tcPr>
            <w:tcW w:w="2440" w:type="dxa"/>
            <w:shd w:val="clear" w:color="auto" w:fill="auto"/>
            <w:vAlign w:val="center"/>
          </w:tcPr>
          <w:p w14:paraId="1EDA3592">
            <w:pPr>
              <w:adjustRightInd/>
              <w:snapToGrid/>
              <w:spacing w:after="0"/>
              <w:jc w:val="center"/>
              <w:rPr>
                <w:rFonts w:hint="eastAsia" w:ascii="仿宋_GB2312" w:hAnsi="仿宋_GB2312" w:eastAsia="仿宋_GB2312" w:cs="仿宋_GB2312"/>
                <w:color w:val="000000"/>
                <w:sz w:val="28"/>
                <w:szCs w:val="28"/>
              </w:rPr>
            </w:pPr>
          </w:p>
        </w:tc>
        <w:tc>
          <w:tcPr>
            <w:tcW w:w="2020" w:type="dxa"/>
            <w:shd w:val="clear" w:color="auto" w:fill="auto"/>
            <w:noWrap/>
            <w:vAlign w:val="bottom"/>
          </w:tcPr>
          <w:p w14:paraId="3445F450">
            <w:pPr>
              <w:adjustRightInd/>
              <w:snapToGrid/>
              <w:spacing w:after="0"/>
              <w:jc w:val="center"/>
              <w:rPr>
                <w:rFonts w:hint="eastAsia" w:ascii="仿宋_GB2312" w:hAnsi="仿宋_GB2312" w:eastAsia="仿宋_GB2312" w:cs="仿宋_GB2312"/>
                <w:color w:val="000000"/>
                <w:sz w:val="28"/>
                <w:szCs w:val="28"/>
              </w:rPr>
            </w:pPr>
          </w:p>
        </w:tc>
        <w:tc>
          <w:tcPr>
            <w:tcW w:w="2260" w:type="dxa"/>
            <w:shd w:val="clear" w:color="auto" w:fill="auto"/>
            <w:vAlign w:val="center"/>
          </w:tcPr>
          <w:p w14:paraId="7ABA6578">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转移支付收入</w:t>
            </w:r>
          </w:p>
        </w:tc>
        <w:tc>
          <w:tcPr>
            <w:tcW w:w="1418" w:type="dxa"/>
            <w:shd w:val="clear" w:color="auto" w:fill="auto"/>
            <w:noWrap/>
            <w:vAlign w:val="bottom"/>
          </w:tcPr>
          <w:p w14:paraId="5BD3A693">
            <w:pPr>
              <w:adjustRightInd/>
              <w:snapToGrid/>
              <w:spacing w:after="0"/>
              <w:jc w:val="center"/>
              <w:rPr>
                <w:rFonts w:hint="eastAsia" w:ascii="仿宋_GB2312" w:hAnsi="仿宋_GB2312" w:eastAsia="仿宋_GB2312" w:cs="仿宋_GB2312"/>
                <w:color w:val="000000"/>
                <w:sz w:val="28"/>
                <w:szCs w:val="28"/>
              </w:rPr>
            </w:pPr>
          </w:p>
        </w:tc>
      </w:tr>
      <w:tr w14:paraId="708B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shd w:val="clear" w:color="auto" w:fill="auto"/>
            <w:vAlign w:val="center"/>
          </w:tcPr>
          <w:p w14:paraId="5CF9801F">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w:t>
            </w:r>
          </w:p>
        </w:tc>
        <w:tc>
          <w:tcPr>
            <w:tcW w:w="2440" w:type="dxa"/>
            <w:shd w:val="clear" w:color="auto" w:fill="auto"/>
            <w:vAlign w:val="center"/>
          </w:tcPr>
          <w:p w14:paraId="6AB4FAC1">
            <w:pPr>
              <w:adjustRightInd/>
              <w:snapToGrid/>
              <w:spacing w:after="0"/>
              <w:jc w:val="center"/>
              <w:rPr>
                <w:rFonts w:hint="eastAsia" w:ascii="仿宋_GB2312" w:hAnsi="仿宋_GB2312" w:eastAsia="仿宋_GB2312" w:cs="仿宋_GB2312"/>
                <w:color w:val="000000"/>
                <w:sz w:val="28"/>
                <w:szCs w:val="28"/>
              </w:rPr>
            </w:pPr>
          </w:p>
        </w:tc>
        <w:tc>
          <w:tcPr>
            <w:tcW w:w="2020" w:type="dxa"/>
            <w:shd w:val="clear" w:color="auto" w:fill="auto"/>
            <w:noWrap/>
            <w:vAlign w:val="bottom"/>
          </w:tcPr>
          <w:p w14:paraId="3C04A19E">
            <w:pPr>
              <w:adjustRightInd/>
              <w:snapToGrid/>
              <w:spacing w:after="0"/>
              <w:jc w:val="center"/>
              <w:rPr>
                <w:rFonts w:hint="eastAsia" w:ascii="仿宋_GB2312" w:hAnsi="仿宋_GB2312" w:eastAsia="仿宋_GB2312" w:cs="仿宋_GB2312"/>
                <w:color w:val="000000"/>
                <w:sz w:val="28"/>
                <w:szCs w:val="28"/>
              </w:rPr>
            </w:pPr>
          </w:p>
        </w:tc>
        <w:tc>
          <w:tcPr>
            <w:tcW w:w="2260" w:type="dxa"/>
            <w:shd w:val="clear" w:color="auto" w:fill="auto"/>
            <w:vAlign w:val="center"/>
          </w:tcPr>
          <w:p w14:paraId="18B90CA2">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基金收入</w:t>
            </w:r>
          </w:p>
        </w:tc>
        <w:tc>
          <w:tcPr>
            <w:tcW w:w="1418" w:type="dxa"/>
            <w:shd w:val="clear" w:color="auto" w:fill="auto"/>
            <w:noWrap/>
            <w:vAlign w:val="bottom"/>
          </w:tcPr>
          <w:p w14:paraId="0E265B5A">
            <w:pPr>
              <w:adjustRightInd/>
              <w:snapToGrid/>
              <w:spacing w:after="0"/>
              <w:jc w:val="center"/>
              <w:rPr>
                <w:rFonts w:hint="eastAsia" w:ascii="仿宋_GB2312" w:hAnsi="仿宋_GB2312" w:eastAsia="仿宋_GB2312" w:cs="仿宋_GB2312"/>
                <w:color w:val="000000"/>
                <w:sz w:val="28"/>
                <w:szCs w:val="28"/>
              </w:rPr>
            </w:pPr>
          </w:p>
        </w:tc>
      </w:tr>
      <w:tr w14:paraId="1AD37026">
        <w:tblPrEx>
          <w:tblCellMar>
            <w:top w:w="0" w:type="dxa"/>
            <w:left w:w="108" w:type="dxa"/>
            <w:bottom w:w="0" w:type="dxa"/>
            <w:right w:w="108" w:type="dxa"/>
          </w:tblCellMar>
        </w:tblPrEx>
        <w:trPr>
          <w:trHeight w:val="420" w:hRule="atLeast"/>
          <w:jc w:val="center"/>
        </w:trPr>
        <w:tc>
          <w:tcPr>
            <w:tcW w:w="1080" w:type="dxa"/>
            <w:shd w:val="clear" w:color="auto" w:fill="auto"/>
            <w:vAlign w:val="center"/>
          </w:tcPr>
          <w:p w14:paraId="28C40F81">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17</w:t>
            </w:r>
          </w:p>
        </w:tc>
        <w:tc>
          <w:tcPr>
            <w:tcW w:w="2440" w:type="dxa"/>
            <w:shd w:val="clear" w:color="auto" w:fill="auto"/>
            <w:vAlign w:val="center"/>
          </w:tcPr>
          <w:p w14:paraId="049388D4">
            <w:pPr>
              <w:adjustRightInd/>
              <w:snapToGrid/>
              <w:spacing w:after="0"/>
              <w:jc w:val="center"/>
              <w:rPr>
                <w:rFonts w:hint="eastAsia" w:ascii="仿宋_GB2312" w:hAnsi="仿宋_GB2312" w:eastAsia="仿宋_GB2312" w:cs="仿宋_GB2312"/>
                <w:color w:val="000000"/>
                <w:sz w:val="28"/>
                <w:szCs w:val="28"/>
              </w:rPr>
            </w:pPr>
          </w:p>
        </w:tc>
        <w:tc>
          <w:tcPr>
            <w:tcW w:w="2020" w:type="dxa"/>
            <w:shd w:val="clear" w:color="auto" w:fill="auto"/>
            <w:vAlign w:val="center"/>
          </w:tcPr>
          <w:p w14:paraId="2AF4F300">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地方财政支出</w:t>
            </w:r>
          </w:p>
        </w:tc>
        <w:tc>
          <w:tcPr>
            <w:tcW w:w="2260" w:type="dxa"/>
            <w:shd w:val="clear" w:color="auto" w:fill="auto"/>
            <w:vAlign w:val="center"/>
          </w:tcPr>
          <w:p w14:paraId="121B1381">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经常性支出占比</w:t>
            </w:r>
          </w:p>
        </w:tc>
        <w:tc>
          <w:tcPr>
            <w:tcW w:w="1418" w:type="dxa"/>
            <w:shd w:val="clear" w:color="auto" w:fill="auto"/>
            <w:noWrap/>
            <w:vAlign w:val="bottom"/>
          </w:tcPr>
          <w:p w14:paraId="33C800CC">
            <w:pPr>
              <w:adjustRightInd/>
              <w:snapToGrid/>
              <w:spacing w:after="0"/>
              <w:jc w:val="center"/>
              <w:rPr>
                <w:rFonts w:hint="eastAsia" w:ascii="仿宋_GB2312" w:hAnsi="仿宋_GB2312" w:eastAsia="仿宋_GB2312" w:cs="仿宋_GB2312"/>
                <w:color w:val="000000"/>
                <w:sz w:val="28"/>
                <w:szCs w:val="28"/>
              </w:rPr>
            </w:pPr>
          </w:p>
        </w:tc>
      </w:tr>
      <w:tr w14:paraId="37F70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shd w:val="clear" w:color="auto" w:fill="auto"/>
            <w:vAlign w:val="center"/>
          </w:tcPr>
          <w:p w14:paraId="3C8213B5">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w:t>
            </w:r>
          </w:p>
        </w:tc>
        <w:tc>
          <w:tcPr>
            <w:tcW w:w="2440" w:type="dxa"/>
            <w:shd w:val="clear" w:color="auto" w:fill="auto"/>
            <w:vAlign w:val="center"/>
          </w:tcPr>
          <w:p w14:paraId="653ADF8B">
            <w:pPr>
              <w:adjustRightInd/>
              <w:snapToGrid/>
              <w:spacing w:after="0"/>
              <w:jc w:val="center"/>
              <w:rPr>
                <w:rFonts w:hint="eastAsia" w:ascii="仿宋_GB2312" w:hAnsi="仿宋_GB2312" w:eastAsia="仿宋_GB2312" w:cs="仿宋_GB2312"/>
                <w:color w:val="000000"/>
                <w:sz w:val="28"/>
                <w:szCs w:val="28"/>
              </w:rPr>
            </w:pPr>
          </w:p>
        </w:tc>
        <w:tc>
          <w:tcPr>
            <w:tcW w:w="2020" w:type="dxa"/>
            <w:shd w:val="clear" w:color="auto" w:fill="auto"/>
            <w:noWrap/>
            <w:vAlign w:val="bottom"/>
          </w:tcPr>
          <w:p w14:paraId="1E9EBAB4">
            <w:pPr>
              <w:adjustRightInd/>
              <w:snapToGrid/>
              <w:spacing w:after="0"/>
              <w:jc w:val="center"/>
              <w:rPr>
                <w:rFonts w:hint="eastAsia" w:ascii="仿宋_GB2312" w:hAnsi="仿宋_GB2312" w:eastAsia="仿宋_GB2312" w:cs="仿宋_GB2312"/>
                <w:color w:val="000000"/>
                <w:sz w:val="28"/>
                <w:szCs w:val="28"/>
              </w:rPr>
            </w:pPr>
          </w:p>
        </w:tc>
        <w:tc>
          <w:tcPr>
            <w:tcW w:w="2260" w:type="dxa"/>
            <w:shd w:val="clear" w:color="auto" w:fill="auto"/>
            <w:vAlign w:val="center"/>
          </w:tcPr>
          <w:p w14:paraId="4A6D51BF">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建设性支出占比</w:t>
            </w:r>
          </w:p>
        </w:tc>
        <w:tc>
          <w:tcPr>
            <w:tcW w:w="1418" w:type="dxa"/>
            <w:shd w:val="clear" w:color="auto" w:fill="auto"/>
            <w:noWrap/>
            <w:vAlign w:val="bottom"/>
          </w:tcPr>
          <w:p w14:paraId="5EE5FBBB">
            <w:pPr>
              <w:adjustRightInd/>
              <w:snapToGrid/>
              <w:spacing w:after="0"/>
              <w:jc w:val="center"/>
              <w:rPr>
                <w:rFonts w:hint="eastAsia" w:ascii="仿宋_GB2312" w:hAnsi="仿宋_GB2312" w:eastAsia="仿宋_GB2312" w:cs="仿宋_GB2312"/>
                <w:color w:val="000000"/>
                <w:sz w:val="28"/>
                <w:szCs w:val="28"/>
              </w:rPr>
            </w:pPr>
          </w:p>
        </w:tc>
      </w:tr>
      <w:tr w14:paraId="7EF7A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80" w:type="dxa"/>
            <w:shd w:val="clear" w:color="auto" w:fill="auto"/>
            <w:vAlign w:val="center"/>
          </w:tcPr>
          <w:p w14:paraId="1B85D909">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19</w:t>
            </w:r>
          </w:p>
        </w:tc>
        <w:tc>
          <w:tcPr>
            <w:tcW w:w="2440" w:type="dxa"/>
            <w:shd w:val="clear" w:color="auto" w:fill="auto"/>
            <w:vAlign w:val="center"/>
          </w:tcPr>
          <w:p w14:paraId="78E3F4EC">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六、地方政府债务管理制度</w:t>
            </w:r>
          </w:p>
        </w:tc>
        <w:tc>
          <w:tcPr>
            <w:tcW w:w="2020" w:type="dxa"/>
            <w:shd w:val="clear" w:color="auto" w:fill="auto"/>
            <w:vAlign w:val="center"/>
          </w:tcPr>
          <w:p w14:paraId="5C380CF3">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显性债务</w:t>
            </w:r>
          </w:p>
        </w:tc>
        <w:tc>
          <w:tcPr>
            <w:tcW w:w="2260" w:type="dxa"/>
            <w:shd w:val="clear" w:color="auto" w:fill="auto"/>
            <w:vAlign w:val="center"/>
          </w:tcPr>
          <w:p w14:paraId="6D55B2FF">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国债转贷， 外债规模</w:t>
            </w:r>
          </w:p>
        </w:tc>
        <w:tc>
          <w:tcPr>
            <w:tcW w:w="1418" w:type="dxa"/>
            <w:shd w:val="clear" w:color="auto" w:fill="auto"/>
            <w:noWrap/>
            <w:vAlign w:val="bottom"/>
          </w:tcPr>
          <w:p w14:paraId="0BC0CFFC">
            <w:pPr>
              <w:adjustRightInd/>
              <w:snapToGrid/>
              <w:spacing w:after="0"/>
              <w:jc w:val="center"/>
              <w:rPr>
                <w:rFonts w:hint="eastAsia" w:ascii="仿宋_GB2312" w:hAnsi="仿宋_GB2312" w:eastAsia="仿宋_GB2312" w:cs="仿宋_GB2312"/>
                <w:color w:val="000000"/>
                <w:sz w:val="28"/>
                <w:szCs w:val="28"/>
              </w:rPr>
            </w:pPr>
          </w:p>
        </w:tc>
      </w:tr>
      <w:tr w14:paraId="3E957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shd w:val="clear" w:color="auto" w:fill="auto"/>
            <w:vAlign w:val="center"/>
          </w:tcPr>
          <w:p w14:paraId="7DCF7F05">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w:t>
            </w:r>
          </w:p>
        </w:tc>
        <w:tc>
          <w:tcPr>
            <w:tcW w:w="2440" w:type="dxa"/>
            <w:shd w:val="clear" w:color="auto" w:fill="auto"/>
            <w:vAlign w:val="center"/>
          </w:tcPr>
          <w:p w14:paraId="1C48EE1C">
            <w:pPr>
              <w:adjustRightInd/>
              <w:snapToGrid/>
              <w:spacing w:after="0"/>
              <w:jc w:val="center"/>
              <w:rPr>
                <w:rFonts w:hint="eastAsia" w:ascii="仿宋_GB2312" w:hAnsi="仿宋_GB2312" w:eastAsia="仿宋_GB2312" w:cs="仿宋_GB2312"/>
                <w:color w:val="000000"/>
                <w:sz w:val="28"/>
                <w:szCs w:val="28"/>
              </w:rPr>
            </w:pPr>
          </w:p>
        </w:tc>
        <w:tc>
          <w:tcPr>
            <w:tcW w:w="2020" w:type="dxa"/>
            <w:shd w:val="clear" w:color="auto" w:fill="auto"/>
            <w:vAlign w:val="center"/>
          </w:tcPr>
          <w:p w14:paraId="34E3756D">
            <w:pPr>
              <w:adjustRightInd/>
              <w:snapToGrid/>
              <w:spacing w:after="0"/>
              <w:jc w:val="center"/>
              <w:rPr>
                <w:rFonts w:hint="eastAsia" w:ascii="仿宋_GB2312" w:hAnsi="仿宋_GB2312" w:eastAsia="仿宋_GB2312" w:cs="仿宋_GB2312"/>
                <w:color w:val="000000"/>
                <w:sz w:val="28"/>
                <w:szCs w:val="28"/>
              </w:rPr>
            </w:pPr>
          </w:p>
        </w:tc>
        <w:tc>
          <w:tcPr>
            <w:tcW w:w="2260" w:type="dxa"/>
            <w:shd w:val="clear" w:color="auto" w:fill="auto"/>
            <w:vAlign w:val="center"/>
          </w:tcPr>
          <w:p w14:paraId="151C947E">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地方政府投融资平台</w:t>
            </w:r>
          </w:p>
        </w:tc>
        <w:tc>
          <w:tcPr>
            <w:tcW w:w="1418" w:type="dxa"/>
            <w:shd w:val="clear" w:color="auto" w:fill="auto"/>
            <w:vAlign w:val="center"/>
          </w:tcPr>
          <w:p w14:paraId="04795A9A">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非经营目标</w:t>
            </w:r>
          </w:p>
        </w:tc>
      </w:tr>
      <w:tr w14:paraId="5189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shd w:val="clear" w:color="auto" w:fill="auto"/>
            <w:vAlign w:val="center"/>
          </w:tcPr>
          <w:p w14:paraId="07B35229">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21</w:t>
            </w:r>
          </w:p>
        </w:tc>
        <w:tc>
          <w:tcPr>
            <w:tcW w:w="2440" w:type="dxa"/>
            <w:shd w:val="clear" w:color="auto" w:fill="auto"/>
            <w:vAlign w:val="center"/>
          </w:tcPr>
          <w:p w14:paraId="05639D81">
            <w:pPr>
              <w:adjustRightInd/>
              <w:snapToGrid/>
              <w:spacing w:after="0"/>
              <w:jc w:val="center"/>
              <w:rPr>
                <w:rFonts w:hint="eastAsia" w:ascii="仿宋_GB2312" w:hAnsi="仿宋_GB2312" w:eastAsia="仿宋_GB2312" w:cs="仿宋_GB2312"/>
                <w:color w:val="000000"/>
                <w:sz w:val="28"/>
                <w:szCs w:val="28"/>
              </w:rPr>
            </w:pPr>
          </w:p>
        </w:tc>
        <w:tc>
          <w:tcPr>
            <w:tcW w:w="2020" w:type="dxa"/>
            <w:shd w:val="clear" w:color="auto" w:fill="auto"/>
            <w:vAlign w:val="center"/>
          </w:tcPr>
          <w:p w14:paraId="599E1097">
            <w:pPr>
              <w:adjustRightInd/>
              <w:snapToGrid/>
              <w:spacing w:after="0"/>
              <w:jc w:val="center"/>
              <w:rPr>
                <w:rFonts w:hint="eastAsia" w:ascii="仿宋_GB2312" w:hAnsi="仿宋_GB2312" w:eastAsia="仿宋_GB2312" w:cs="仿宋_GB2312"/>
                <w:color w:val="000000"/>
                <w:sz w:val="28"/>
                <w:szCs w:val="28"/>
              </w:rPr>
            </w:pPr>
          </w:p>
        </w:tc>
        <w:tc>
          <w:tcPr>
            <w:tcW w:w="2260" w:type="dxa"/>
            <w:shd w:val="clear" w:color="auto" w:fill="auto"/>
            <w:vAlign w:val="center"/>
          </w:tcPr>
          <w:p w14:paraId="1FEF4993">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地方政府债券</w:t>
            </w:r>
          </w:p>
        </w:tc>
        <w:tc>
          <w:tcPr>
            <w:tcW w:w="1418" w:type="dxa"/>
            <w:shd w:val="clear" w:color="auto" w:fill="auto"/>
            <w:noWrap/>
            <w:vAlign w:val="bottom"/>
          </w:tcPr>
          <w:p w14:paraId="39E64247">
            <w:pPr>
              <w:adjustRightInd/>
              <w:snapToGrid/>
              <w:spacing w:after="0"/>
              <w:jc w:val="center"/>
              <w:rPr>
                <w:rFonts w:hint="eastAsia" w:ascii="仿宋_GB2312" w:hAnsi="仿宋_GB2312" w:eastAsia="仿宋_GB2312" w:cs="仿宋_GB2312"/>
                <w:color w:val="000000"/>
                <w:sz w:val="28"/>
                <w:szCs w:val="28"/>
              </w:rPr>
            </w:pPr>
          </w:p>
        </w:tc>
      </w:tr>
      <w:tr w14:paraId="7145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shd w:val="clear" w:color="auto" w:fill="auto"/>
            <w:vAlign w:val="center"/>
          </w:tcPr>
          <w:p w14:paraId="1F720E0A">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22</w:t>
            </w:r>
          </w:p>
        </w:tc>
        <w:tc>
          <w:tcPr>
            <w:tcW w:w="2440" w:type="dxa"/>
            <w:shd w:val="clear" w:color="auto" w:fill="auto"/>
            <w:vAlign w:val="center"/>
          </w:tcPr>
          <w:p w14:paraId="7591497B">
            <w:pPr>
              <w:adjustRightInd/>
              <w:snapToGrid/>
              <w:spacing w:after="0"/>
              <w:jc w:val="center"/>
              <w:rPr>
                <w:rFonts w:hint="eastAsia" w:ascii="仿宋_GB2312" w:hAnsi="仿宋_GB2312" w:eastAsia="仿宋_GB2312" w:cs="仿宋_GB2312"/>
                <w:color w:val="000000"/>
                <w:sz w:val="28"/>
                <w:szCs w:val="28"/>
              </w:rPr>
            </w:pPr>
          </w:p>
        </w:tc>
        <w:tc>
          <w:tcPr>
            <w:tcW w:w="2020" w:type="dxa"/>
            <w:shd w:val="clear" w:color="auto" w:fill="auto"/>
            <w:vAlign w:val="center"/>
          </w:tcPr>
          <w:p w14:paraId="61BCE832">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隐性债务</w:t>
            </w:r>
          </w:p>
        </w:tc>
        <w:tc>
          <w:tcPr>
            <w:tcW w:w="2260" w:type="dxa"/>
            <w:shd w:val="clear" w:color="auto" w:fill="auto"/>
            <w:vAlign w:val="center"/>
          </w:tcPr>
          <w:p w14:paraId="2724B163">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社会保障欠账</w:t>
            </w:r>
          </w:p>
        </w:tc>
        <w:tc>
          <w:tcPr>
            <w:tcW w:w="1418" w:type="dxa"/>
            <w:shd w:val="clear" w:color="auto" w:fill="auto"/>
            <w:noWrap/>
            <w:vAlign w:val="bottom"/>
          </w:tcPr>
          <w:p w14:paraId="45B5FA08">
            <w:pPr>
              <w:adjustRightInd/>
              <w:snapToGrid/>
              <w:spacing w:after="0"/>
              <w:jc w:val="center"/>
              <w:rPr>
                <w:rFonts w:hint="eastAsia" w:ascii="仿宋_GB2312" w:hAnsi="仿宋_GB2312" w:eastAsia="仿宋_GB2312" w:cs="仿宋_GB2312"/>
                <w:color w:val="000000"/>
                <w:sz w:val="28"/>
                <w:szCs w:val="28"/>
              </w:rPr>
            </w:pPr>
          </w:p>
        </w:tc>
      </w:tr>
      <w:tr w14:paraId="232A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shd w:val="clear" w:color="auto" w:fill="auto"/>
            <w:vAlign w:val="center"/>
          </w:tcPr>
          <w:p w14:paraId="20E0D2AA">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23</w:t>
            </w:r>
          </w:p>
        </w:tc>
        <w:tc>
          <w:tcPr>
            <w:tcW w:w="2440" w:type="dxa"/>
            <w:shd w:val="clear" w:color="auto" w:fill="auto"/>
            <w:vAlign w:val="center"/>
          </w:tcPr>
          <w:p w14:paraId="6BFE841E">
            <w:pPr>
              <w:adjustRightInd/>
              <w:snapToGrid/>
              <w:spacing w:after="0"/>
              <w:jc w:val="center"/>
              <w:rPr>
                <w:rFonts w:hint="eastAsia" w:ascii="仿宋_GB2312" w:hAnsi="仿宋_GB2312" w:eastAsia="仿宋_GB2312" w:cs="仿宋_GB2312"/>
                <w:color w:val="000000"/>
                <w:sz w:val="28"/>
                <w:szCs w:val="28"/>
              </w:rPr>
            </w:pPr>
          </w:p>
        </w:tc>
        <w:tc>
          <w:tcPr>
            <w:tcW w:w="2020" w:type="dxa"/>
            <w:shd w:val="clear" w:color="auto" w:fill="auto"/>
            <w:vAlign w:val="center"/>
          </w:tcPr>
          <w:p w14:paraId="1E1F743A">
            <w:pPr>
              <w:adjustRightInd/>
              <w:snapToGrid/>
              <w:spacing w:after="0"/>
              <w:jc w:val="center"/>
              <w:rPr>
                <w:rFonts w:hint="eastAsia" w:ascii="仿宋_GB2312" w:hAnsi="仿宋_GB2312" w:eastAsia="仿宋_GB2312" w:cs="仿宋_GB2312"/>
                <w:color w:val="000000"/>
                <w:sz w:val="28"/>
                <w:szCs w:val="28"/>
              </w:rPr>
            </w:pPr>
          </w:p>
        </w:tc>
        <w:tc>
          <w:tcPr>
            <w:tcW w:w="2260" w:type="dxa"/>
            <w:shd w:val="clear" w:color="auto" w:fill="auto"/>
            <w:vAlign w:val="center"/>
          </w:tcPr>
          <w:p w14:paraId="37BA9C54">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自然灾害预备金</w:t>
            </w:r>
          </w:p>
        </w:tc>
        <w:tc>
          <w:tcPr>
            <w:tcW w:w="1418" w:type="dxa"/>
            <w:shd w:val="clear" w:color="auto" w:fill="auto"/>
            <w:noWrap/>
            <w:vAlign w:val="bottom"/>
          </w:tcPr>
          <w:p w14:paraId="0D0C1265">
            <w:pPr>
              <w:adjustRightInd/>
              <w:snapToGrid/>
              <w:spacing w:after="0"/>
              <w:jc w:val="center"/>
              <w:rPr>
                <w:rFonts w:hint="eastAsia" w:ascii="仿宋_GB2312" w:hAnsi="仿宋_GB2312" w:eastAsia="仿宋_GB2312" w:cs="仿宋_GB2312"/>
                <w:color w:val="000000"/>
                <w:sz w:val="28"/>
                <w:szCs w:val="28"/>
              </w:rPr>
            </w:pPr>
          </w:p>
        </w:tc>
      </w:tr>
      <w:tr w14:paraId="46997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shd w:val="clear" w:color="auto" w:fill="auto"/>
            <w:vAlign w:val="center"/>
          </w:tcPr>
          <w:p w14:paraId="2995FBDE">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w:t>
            </w:r>
          </w:p>
        </w:tc>
        <w:tc>
          <w:tcPr>
            <w:tcW w:w="2440" w:type="dxa"/>
            <w:shd w:val="clear" w:color="auto" w:fill="auto"/>
            <w:vAlign w:val="center"/>
          </w:tcPr>
          <w:p w14:paraId="79EC3668">
            <w:pPr>
              <w:adjustRightInd/>
              <w:snapToGrid/>
              <w:spacing w:after="0"/>
              <w:jc w:val="center"/>
              <w:rPr>
                <w:rFonts w:hint="eastAsia" w:ascii="仿宋_GB2312" w:hAnsi="仿宋_GB2312" w:eastAsia="仿宋_GB2312" w:cs="仿宋_GB2312"/>
                <w:color w:val="000000"/>
                <w:sz w:val="28"/>
                <w:szCs w:val="28"/>
              </w:rPr>
            </w:pPr>
          </w:p>
        </w:tc>
        <w:tc>
          <w:tcPr>
            <w:tcW w:w="2020" w:type="dxa"/>
            <w:shd w:val="clear" w:color="auto" w:fill="auto"/>
            <w:vAlign w:val="center"/>
          </w:tcPr>
          <w:p w14:paraId="75F02DE9">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债务负担</w:t>
            </w:r>
          </w:p>
        </w:tc>
        <w:tc>
          <w:tcPr>
            <w:tcW w:w="2260" w:type="dxa"/>
            <w:shd w:val="clear" w:color="auto" w:fill="auto"/>
            <w:vAlign w:val="center"/>
          </w:tcPr>
          <w:p w14:paraId="1A1E46D9">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债务依存度</w:t>
            </w:r>
          </w:p>
        </w:tc>
        <w:tc>
          <w:tcPr>
            <w:tcW w:w="1418" w:type="dxa"/>
            <w:shd w:val="clear" w:color="auto" w:fill="auto"/>
            <w:noWrap/>
            <w:vAlign w:val="bottom"/>
          </w:tcPr>
          <w:p w14:paraId="1690A869">
            <w:pPr>
              <w:adjustRightInd/>
              <w:snapToGrid/>
              <w:spacing w:after="0"/>
              <w:jc w:val="center"/>
              <w:rPr>
                <w:rFonts w:hint="eastAsia" w:ascii="仿宋_GB2312" w:hAnsi="仿宋_GB2312" w:eastAsia="仿宋_GB2312" w:cs="仿宋_GB2312"/>
                <w:color w:val="000000"/>
                <w:sz w:val="28"/>
                <w:szCs w:val="28"/>
              </w:rPr>
            </w:pPr>
          </w:p>
        </w:tc>
      </w:tr>
      <w:tr w14:paraId="499D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shd w:val="clear" w:color="auto" w:fill="auto"/>
            <w:vAlign w:val="center"/>
          </w:tcPr>
          <w:p w14:paraId="07D408D8">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w:t>
            </w:r>
          </w:p>
        </w:tc>
        <w:tc>
          <w:tcPr>
            <w:tcW w:w="2440" w:type="dxa"/>
            <w:shd w:val="clear" w:color="auto" w:fill="auto"/>
            <w:vAlign w:val="center"/>
          </w:tcPr>
          <w:p w14:paraId="6C63F8D1">
            <w:pPr>
              <w:adjustRightInd/>
              <w:snapToGrid/>
              <w:spacing w:after="0"/>
              <w:jc w:val="center"/>
              <w:rPr>
                <w:rFonts w:hint="eastAsia" w:ascii="仿宋_GB2312" w:hAnsi="仿宋_GB2312" w:eastAsia="仿宋_GB2312" w:cs="仿宋_GB2312"/>
                <w:color w:val="000000"/>
                <w:sz w:val="28"/>
                <w:szCs w:val="28"/>
              </w:rPr>
            </w:pPr>
          </w:p>
        </w:tc>
        <w:tc>
          <w:tcPr>
            <w:tcW w:w="2020" w:type="dxa"/>
            <w:shd w:val="clear" w:color="auto" w:fill="auto"/>
            <w:vAlign w:val="center"/>
          </w:tcPr>
          <w:p w14:paraId="524D6C86">
            <w:pPr>
              <w:adjustRightInd/>
              <w:snapToGrid/>
              <w:spacing w:after="0"/>
              <w:jc w:val="center"/>
              <w:rPr>
                <w:rFonts w:hint="eastAsia" w:ascii="仿宋_GB2312" w:hAnsi="仿宋_GB2312" w:eastAsia="仿宋_GB2312" w:cs="仿宋_GB2312"/>
                <w:color w:val="000000"/>
                <w:sz w:val="28"/>
                <w:szCs w:val="28"/>
              </w:rPr>
            </w:pPr>
          </w:p>
        </w:tc>
        <w:tc>
          <w:tcPr>
            <w:tcW w:w="2260" w:type="dxa"/>
            <w:shd w:val="clear" w:color="auto" w:fill="auto"/>
            <w:vAlign w:val="center"/>
          </w:tcPr>
          <w:p w14:paraId="7F494198">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债务负担率</w:t>
            </w:r>
          </w:p>
        </w:tc>
        <w:tc>
          <w:tcPr>
            <w:tcW w:w="1418" w:type="dxa"/>
            <w:shd w:val="clear" w:color="auto" w:fill="auto"/>
            <w:noWrap/>
            <w:vAlign w:val="bottom"/>
          </w:tcPr>
          <w:p w14:paraId="38665A28">
            <w:pPr>
              <w:adjustRightInd/>
              <w:snapToGrid/>
              <w:spacing w:after="0"/>
              <w:jc w:val="center"/>
              <w:rPr>
                <w:rFonts w:hint="eastAsia" w:ascii="仿宋_GB2312" w:hAnsi="仿宋_GB2312" w:eastAsia="仿宋_GB2312" w:cs="仿宋_GB2312"/>
                <w:color w:val="000000"/>
                <w:sz w:val="28"/>
                <w:szCs w:val="28"/>
              </w:rPr>
            </w:pPr>
          </w:p>
        </w:tc>
      </w:tr>
    </w:tbl>
    <w:p w14:paraId="3B483664">
      <w:pPr>
        <w:tabs>
          <w:tab w:val="left" w:pos="1140"/>
        </w:tabs>
        <w:spacing w:after="0"/>
        <w:ind w:firstLine="378" w:firstLineChars="135"/>
        <w:rPr>
          <w:rFonts w:hint="eastAsia" w:ascii="仿宋_GB2312" w:hAnsi="仿宋_GB2312" w:eastAsia="仿宋_GB2312" w:cs="仿宋_GB2312"/>
          <w:sz w:val="30"/>
          <w:szCs w:val="30"/>
        </w:rPr>
      </w:pPr>
      <w:r>
        <w:rPr>
          <w:rFonts w:hint="eastAsia" w:ascii="仿宋_GB2312" w:hAnsi="仿宋_GB2312" w:eastAsia="仿宋_GB2312" w:cs="仿宋_GB2312"/>
          <w:sz w:val="28"/>
          <w:szCs w:val="28"/>
        </w:rPr>
        <w:t>资料来源：闫明，顾炜宇.我国地方政府信用风险评级体系构建:框架与方法[J].中央财经大学学报，2014，(03):47-54.</w:t>
      </w:r>
    </w:p>
    <w:p w14:paraId="5C5B79B6">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郭玉清（2015）等人则认为，对地方政府的信用评估需要将省级政府与省级以下政府间非对称的财权事权分配关系纳入其中，因此，在建立信用评估指标体系环节需要将地方政府的可支配财力作为评价地方政府偿债能力的重要指标。因此，作者在政府财政支出状况二级指标下，设置保障性支出占比、财政支出灵活性以及财政支出自给率三个指标体系。其中，保障性支出占比用社会保障和就业支出占一般性预算收入预算额</w:t>
      </w:r>
      <w:r>
        <w:rPr>
          <w:rFonts w:hint="eastAsia" w:ascii="仿宋_GB2312" w:hAnsi="仿宋_GB2312" w:eastAsia="仿宋_GB2312" w:cs="仿宋_GB2312"/>
          <w:kern w:val="2"/>
          <w:sz w:val="32"/>
          <w:szCs w:val="32"/>
          <w:lang w:eastAsia="zh-CN"/>
        </w:rPr>
        <w:t>反映</w:t>
      </w:r>
      <w:r>
        <w:rPr>
          <w:rFonts w:hint="eastAsia" w:ascii="仿宋_GB2312" w:hAnsi="仿宋_GB2312" w:eastAsia="仿宋_GB2312" w:cs="仿宋_GB2312"/>
          <w:kern w:val="2"/>
          <w:sz w:val="32"/>
          <w:szCs w:val="32"/>
        </w:rPr>
        <w:t>；财政支出灵活性用人员经费支出与办公经费支出之和占一般性预算支出比重反映；财政支出自给率则用一般性预算收入占一般性预算支出表示。</w:t>
      </w:r>
    </w:p>
    <w:p w14:paraId="3C591DB9">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温来成（2016）则认为，传统的设定阈值评估方法通常带有较强的主观性，因此文章在对地方政府信用评估过程中采用相对客观的聚类分析方法，首先在各要素层面进行聚类分析，并根据聚类分析情况进行要素打分，继而根据设定的要素权重进行加权平均，计算得到最终的信用得分。</w:t>
      </w:r>
    </w:p>
    <w:p w14:paraId="41D61D8B">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从政府诚信视角对地方政府信用评级展开分析的比较有代表性的学者有聂新伟（2016）和张弢（2015）。聂新伟从委托——代理理论出发构建地方政府的信用理论框架，并基于此理论阐述了经济信用维度下政府债务风险的形成。他认为：政府行为是否合法、依法是判断政府信用的关键，只有依法治国、依法行政才能体现法律的公平性，也才能更好地体现政府的信用。因此，政府行为的法治化指标是评价政府信用的首要标准，如果没有约束，随着政府权力边界的不断扩张，一旦权力制衡的格局被打破，那么最终会导致政府失信。同时作者认为在挑选地方政府信用评估指标方面，要努力实现维度与层次的多元化、体系化以及可操作化，兼顾测度指标的主观性与客观性。作者对政府信用的测度指标设置如表</w:t>
      </w: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rPr>
        <w:t>所示。</w:t>
      </w:r>
    </w:p>
    <w:p w14:paraId="4E384772">
      <w:pPr>
        <w:tabs>
          <w:tab w:val="left" w:pos="1140"/>
        </w:tabs>
        <w:spacing w:after="0"/>
        <w:jc w:val="cente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表</w:t>
      </w:r>
      <w:r>
        <w:rPr>
          <w:rFonts w:hint="eastAsia" w:ascii="仿宋_GB2312" w:hAnsi="仿宋_GB2312" w:eastAsia="仿宋_GB2312" w:cs="仿宋_GB2312"/>
          <w:b/>
          <w:bCs/>
          <w:sz w:val="28"/>
          <w:szCs w:val="28"/>
          <w:lang w:val="en-US" w:eastAsia="zh-CN"/>
        </w:rPr>
        <w:t>4</w:t>
      </w:r>
      <w:r>
        <w:rPr>
          <w:rFonts w:hint="eastAsia" w:ascii="仿宋_GB2312" w:hAnsi="仿宋_GB2312" w:eastAsia="仿宋_GB2312" w:cs="仿宋_GB2312"/>
          <w:b/>
          <w:bCs/>
          <w:sz w:val="28"/>
          <w:szCs w:val="28"/>
        </w:rPr>
        <w:t xml:space="preserve"> 聂新伟对政府信用的测度指标</w:t>
      </w:r>
    </w:p>
    <w:tbl>
      <w:tblPr>
        <w:tblStyle w:val="3"/>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6"/>
        <w:gridCol w:w="7163"/>
      </w:tblGrid>
      <w:tr w14:paraId="317AD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776" w:type="dxa"/>
            <w:vMerge w:val="restart"/>
            <w:shd w:val="clear" w:color="auto" w:fill="auto"/>
            <w:vAlign w:val="center"/>
          </w:tcPr>
          <w:p w14:paraId="6019B41B">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客观指标</w:t>
            </w:r>
          </w:p>
        </w:tc>
        <w:tc>
          <w:tcPr>
            <w:tcW w:w="7163" w:type="dxa"/>
            <w:shd w:val="clear" w:color="auto" w:fill="auto"/>
            <w:vAlign w:val="center"/>
          </w:tcPr>
          <w:p w14:paraId="551F6BE4">
            <w:pPr>
              <w:adjustRightInd/>
              <w:snapToGrid/>
              <w:spacing w:after="0"/>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社会贫富差距与民生状况，例如基尼系数与城乡居民收入、恩格尔系数、城镇化水平、价格指数等</w:t>
            </w:r>
          </w:p>
        </w:tc>
      </w:tr>
      <w:tr w14:paraId="2261B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6" w:type="dxa"/>
            <w:vMerge w:val="continue"/>
            <w:vAlign w:val="center"/>
          </w:tcPr>
          <w:p w14:paraId="5151F63E">
            <w:pPr>
              <w:adjustRightInd/>
              <w:snapToGrid/>
              <w:spacing w:after="0"/>
              <w:rPr>
                <w:rFonts w:hint="eastAsia" w:ascii="仿宋_GB2312" w:hAnsi="仿宋_GB2312" w:eastAsia="仿宋_GB2312" w:cs="仿宋_GB2312"/>
                <w:color w:val="000000"/>
                <w:sz w:val="28"/>
                <w:szCs w:val="28"/>
              </w:rPr>
            </w:pPr>
          </w:p>
        </w:tc>
        <w:tc>
          <w:tcPr>
            <w:tcW w:w="7163" w:type="dxa"/>
            <w:shd w:val="clear" w:color="auto" w:fill="auto"/>
            <w:vAlign w:val="center"/>
          </w:tcPr>
          <w:p w14:paraId="50608882">
            <w:pPr>
              <w:adjustRightInd/>
              <w:snapToGrid/>
              <w:spacing w:after="0"/>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社会治安环境，犯罪与盗窃事件等</w:t>
            </w:r>
          </w:p>
        </w:tc>
      </w:tr>
      <w:tr w14:paraId="6537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76" w:type="dxa"/>
            <w:vMerge w:val="continue"/>
            <w:vAlign w:val="center"/>
          </w:tcPr>
          <w:p w14:paraId="18CA7BEE">
            <w:pPr>
              <w:adjustRightInd/>
              <w:snapToGrid/>
              <w:spacing w:after="0"/>
              <w:rPr>
                <w:rFonts w:hint="eastAsia" w:ascii="仿宋_GB2312" w:hAnsi="仿宋_GB2312" w:eastAsia="仿宋_GB2312" w:cs="仿宋_GB2312"/>
                <w:color w:val="000000"/>
                <w:sz w:val="28"/>
                <w:szCs w:val="28"/>
              </w:rPr>
            </w:pPr>
          </w:p>
        </w:tc>
        <w:tc>
          <w:tcPr>
            <w:tcW w:w="7163" w:type="dxa"/>
            <w:shd w:val="clear" w:color="auto" w:fill="auto"/>
            <w:vAlign w:val="center"/>
          </w:tcPr>
          <w:p w14:paraId="2B01200C">
            <w:pPr>
              <w:adjustRightInd/>
              <w:snapToGrid/>
              <w:spacing w:after="0"/>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政府财政支出规模与范围（公共服务支出）或财政自给率 =（各级政府收入 /本级支出）</w:t>
            </w:r>
          </w:p>
        </w:tc>
      </w:tr>
      <w:tr w14:paraId="589AF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76" w:type="dxa"/>
            <w:vMerge w:val="continue"/>
            <w:vAlign w:val="center"/>
          </w:tcPr>
          <w:p w14:paraId="0F685F6F">
            <w:pPr>
              <w:adjustRightInd/>
              <w:snapToGrid/>
              <w:spacing w:after="0"/>
              <w:rPr>
                <w:rFonts w:hint="eastAsia" w:ascii="仿宋_GB2312" w:hAnsi="仿宋_GB2312" w:eastAsia="仿宋_GB2312" w:cs="仿宋_GB2312"/>
                <w:color w:val="000000"/>
                <w:sz w:val="28"/>
                <w:szCs w:val="28"/>
              </w:rPr>
            </w:pPr>
          </w:p>
        </w:tc>
        <w:tc>
          <w:tcPr>
            <w:tcW w:w="7163" w:type="dxa"/>
            <w:shd w:val="clear" w:color="auto" w:fill="auto"/>
            <w:vAlign w:val="center"/>
          </w:tcPr>
          <w:p w14:paraId="3221DFFF">
            <w:pPr>
              <w:adjustRightInd/>
              <w:snapToGrid/>
              <w:spacing w:after="0"/>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财政收入增长情况与债务负担水平（增长）：即（地方）城镇固定资产投资变化情况与财税收入变化情况来反映</w:t>
            </w:r>
          </w:p>
        </w:tc>
      </w:tr>
      <w:tr w14:paraId="60A1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776" w:type="dxa"/>
            <w:vMerge w:val="continue"/>
            <w:vAlign w:val="center"/>
          </w:tcPr>
          <w:p w14:paraId="4BD1D456">
            <w:pPr>
              <w:adjustRightInd/>
              <w:snapToGrid/>
              <w:spacing w:after="0"/>
              <w:rPr>
                <w:rFonts w:hint="eastAsia" w:ascii="仿宋_GB2312" w:hAnsi="仿宋_GB2312" w:eastAsia="仿宋_GB2312" w:cs="仿宋_GB2312"/>
                <w:color w:val="000000"/>
                <w:sz w:val="28"/>
                <w:szCs w:val="28"/>
              </w:rPr>
            </w:pPr>
          </w:p>
        </w:tc>
        <w:tc>
          <w:tcPr>
            <w:tcW w:w="7163" w:type="dxa"/>
            <w:shd w:val="clear" w:color="auto" w:fill="auto"/>
            <w:vAlign w:val="center"/>
          </w:tcPr>
          <w:p w14:paraId="4BCBB312">
            <w:pPr>
              <w:adjustRightInd/>
              <w:snapToGrid/>
              <w:spacing w:after="0"/>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行政罚没执法异常（罚没收入变动、 占财政收入的比重）：执法为公还是执法为私</w:t>
            </w:r>
          </w:p>
        </w:tc>
      </w:tr>
      <w:tr w14:paraId="49FF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6" w:type="dxa"/>
            <w:vMerge w:val="continue"/>
            <w:vAlign w:val="center"/>
          </w:tcPr>
          <w:p w14:paraId="30974DCF">
            <w:pPr>
              <w:adjustRightInd/>
              <w:snapToGrid/>
              <w:spacing w:after="0"/>
              <w:rPr>
                <w:rFonts w:hint="eastAsia" w:ascii="仿宋_GB2312" w:hAnsi="仿宋_GB2312" w:eastAsia="仿宋_GB2312" w:cs="仿宋_GB2312"/>
                <w:color w:val="000000"/>
                <w:sz w:val="28"/>
                <w:szCs w:val="28"/>
              </w:rPr>
            </w:pPr>
          </w:p>
        </w:tc>
        <w:tc>
          <w:tcPr>
            <w:tcW w:w="7163" w:type="dxa"/>
            <w:shd w:val="clear" w:color="auto" w:fill="auto"/>
            <w:vAlign w:val="center"/>
          </w:tcPr>
          <w:p w14:paraId="3790D318">
            <w:pPr>
              <w:adjustRightInd/>
              <w:snapToGrid/>
              <w:spacing w:after="0"/>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经济产业政策和市场环境制度建设（引资政策、 民营规模、 管制水平）</w:t>
            </w:r>
          </w:p>
        </w:tc>
      </w:tr>
      <w:tr w14:paraId="05492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6" w:type="dxa"/>
            <w:vMerge w:val="continue"/>
            <w:vAlign w:val="center"/>
          </w:tcPr>
          <w:p w14:paraId="595C41F1">
            <w:pPr>
              <w:adjustRightInd/>
              <w:snapToGrid/>
              <w:spacing w:after="0"/>
              <w:rPr>
                <w:rFonts w:hint="eastAsia" w:ascii="仿宋_GB2312" w:hAnsi="仿宋_GB2312" w:eastAsia="仿宋_GB2312" w:cs="仿宋_GB2312"/>
                <w:color w:val="000000"/>
                <w:sz w:val="28"/>
                <w:szCs w:val="28"/>
              </w:rPr>
            </w:pPr>
          </w:p>
        </w:tc>
        <w:tc>
          <w:tcPr>
            <w:tcW w:w="7163" w:type="dxa"/>
            <w:shd w:val="clear" w:color="auto" w:fill="auto"/>
            <w:vAlign w:val="center"/>
          </w:tcPr>
          <w:p w14:paraId="435A966A">
            <w:pPr>
              <w:adjustRightInd/>
              <w:snapToGrid/>
              <w:spacing w:after="0"/>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腐败曝光情况、 重大责任安全事故曝光</w:t>
            </w:r>
          </w:p>
        </w:tc>
      </w:tr>
      <w:tr w14:paraId="6072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6" w:type="dxa"/>
            <w:vMerge w:val="restart"/>
            <w:shd w:val="clear" w:color="auto" w:fill="auto"/>
            <w:vAlign w:val="center"/>
          </w:tcPr>
          <w:p w14:paraId="638A0E6F">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主观评价（民意测验）</w:t>
            </w:r>
          </w:p>
        </w:tc>
        <w:tc>
          <w:tcPr>
            <w:tcW w:w="7163" w:type="dxa"/>
            <w:shd w:val="clear" w:color="auto" w:fill="auto"/>
            <w:vAlign w:val="center"/>
          </w:tcPr>
          <w:p w14:paraId="4258B707">
            <w:pPr>
              <w:adjustRightInd/>
              <w:snapToGrid/>
              <w:spacing w:after="0"/>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政府的清廉情况，是否存在以权谋私、 违法乱纪、 贪污腐败等</w:t>
            </w:r>
          </w:p>
        </w:tc>
      </w:tr>
      <w:tr w14:paraId="74D0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6" w:type="dxa"/>
            <w:vMerge w:val="continue"/>
            <w:vAlign w:val="center"/>
          </w:tcPr>
          <w:p w14:paraId="1FF1D40F">
            <w:pPr>
              <w:adjustRightInd/>
              <w:snapToGrid/>
              <w:spacing w:after="0"/>
              <w:rPr>
                <w:rFonts w:hint="eastAsia" w:ascii="仿宋_GB2312" w:hAnsi="仿宋_GB2312" w:eastAsia="仿宋_GB2312" w:cs="仿宋_GB2312"/>
                <w:color w:val="000000"/>
                <w:sz w:val="28"/>
                <w:szCs w:val="28"/>
              </w:rPr>
            </w:pPr>
          </w:p>
        </w:tc>
        <w:tc>
          <w:tcPr>
            <w:tcW w:w="7163" w:type="dxa"/>
            <w:shd w:val="clear" w:color="auto" w:fill="auto"/>
            <w:vAlign w:val="center"/>
          </w:tcPr>
          <w:p w14:paraId="1B610A2F">
            <w:pPr>
              <w:adjustRightInd/>
              <w:snapToGrid/>
              <w:spacing w:after="0"/>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政府亲民便民形象，政府服务水平与办事效率是否提升等</w:t>
            </w:r>
          </w:p>
        </w:tc>
      </w:tr>
      <w:tr w14:paraId="3175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76" w:type="dxa"/>
            <w:vMerge w:val="continue"/>
            <w:vAlign w:val="center"/>
          </w:tcPr>
          <w:p w14:paraId="7BC6B3DA">
            <w:pPr>
              <w:adjustRightInd/>
              <w:snapToGrid/>
              <w:spacing w:after="0"/>
              <w:rPr>
                <w:rFonts w:hint="eastAsia" w:ascii="仿宋_GB2312" w:hAnsi="仿宋_GB2312" w:eastAsia="仿宋_GB2312" w:cs="仿宋_GB2312"/>
                <w:color w:val="000000"/>
                <w:sz w:val="28"/>
                <w:szCs w:val="28"/>
              </w:rPr>
            </w:pPr>
          </w:p>
        </w:tc>
        <w:tc>
          <w:tcPr>
            <w:tcW w:w="7163" w:type="dxa"/>
            <w:shd w:val="clear" w:color="auto" w:fill="auto"/>
            <w:vAlign w:val="center"/>
          </w:tcPr>
          <w:p w14:paraId="10EEBA7E">
            <w:pPr>
              <w:adjustRightInd/>
              <w:snapToGrid/>
              <w:spacing w:after="0"/>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当地政府浪费了许多金钱在一些失误的重大项目上或无法想象政府大部分时间会做正确的事情</w:t>
            </w:r>
          </w:p>
        </w:tc>
      </w:tr>
      <w:tr w14:paraId="5BE2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776" w:type="dxa"/>
            <w:vMerge w:val="continue"/>
            <w:vAlign w:val="center"/>
          </w:tcPr>
          <w:p w14:paraId="78C57905">
            <w:pPr>
              <w:adjustRightInd/>
              <w:snapToGrid/>
              <w:spacing w:after="0"/>
              <w:rPr>
                <w:rFonts w:hint="eastAsia" w:ascii="仿宋_GB2312" w:hAnsi="仿宋_GB2312" w:eastAsia="仿宋_GB2312" w:cs="仿宋_GB2312"/>
                <w:color w:val="000000"/>
                <w:sz w:val="28"/>
                <w:szCs w:val="28"/>
              </w:rPr>
            </w:pPr>
          </w:p>
        </w:tc>
        <w:tc>
          <w:tcPr>
            <w:tcW w:w="7163" w:type="dxa"/>
            <w:shd w:val="clear" w:color="auto" w:fill="auto"/>
            <w:vAlign w:val="center"/>
          </w:tcPr>
          <w:p w14:paraId="4AC0A762">
            <w:pPr>
              <w:adjustRightInd/>
              <w:snapToGrid/>
              <w:spacing w:after="0"/>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政府官员并不在乎老百姓想什么——决策是否代表民意和透明度，为民服务的倾向</w:t>
            </w:r>
          </w:p>
        </w:tc>
      </w:tr>
      <w:tr w14:paraId="1890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776" w:type="dxa"/>
            <w:vMerge w:val="continue"/>
            <w:vAlign w:val="center"/>
          </w:tcPr>
          <w:p w14:paraId="0E75F693">
            <w:pPr>
              <w:adjustRightInd/>
              <w:snapToGrid/>
              <w:spacing w:after="0"/>
              <w:rPr>
                <w:rFonts w:hint="eastAsia" w:ascii="仿宋_GB2312" w:hAnsi="仿宋_GB2312" w:eastAsia="仿宋_GB2312" w:cs="仿宋_GB2312"/>
                <w:color w:val="000000"/>
                <w:sz w:val="28"/>
                <w:szCs w:val="28"/>
              </w:rPr>
            </w:pPr>
          </w:p>
        </w:tc>
        <w:tc>
          <w:tcPr>
            <w:tcW w:w="7163" w:type="dxa"/>
            <w:shd w:val="clear" w:color="auto" w:fill="auto"/>
            <w:vAlign w:val="center"/>
          </w:tcPr>
          <w:p w14:paraId="5E8111AF">
            <w:pPr>
              <w:adjustRightInd/>
              <w:snapToGrid/>
              <w:spacing w:after="0"/>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像我这样的人对政府的所作所为没有发言权——民众参与权与决策知情权</w:t>
            </w:r>
          </w:p>
        </w:tc>
      </w:tr>
    </w:tbl>
    <w:p w14:paraId="73067D07">
      <w:pPr>
        <w:tabs>
          <w:tab w:val="left" w:pos="1140"/>
        </w:tabs>
        <w:spacing w:after="0"/>
        <w:ind w:firstLine="378" w:firstLineChars="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资料来源：聂新伟. 政府信用、地方政府债务风险与信用指标体系构建的思路[J]. 财政研究, 2016(3):15-26.</w:t>
      </w:r>
    </w:p>
    <w:p w14:paraId="5AF76C87">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张弢（2015）则主要从分析区域信用环境的角度对地方政府信用指标</w:t>
      </w:r>
      <w:r>
        <w:rPr>
          <w:rFonts w:hint="eastAsia" w:ascii="仿宋_GB2312" w:hAnsi="仿宋_GB2312" w:eastAsia="仿宋_GB2312" w:cs="仿宋_GB2312"/>
          <w:kern w:val="2"/>
          <w:sz w:val="32"/>
          <w:szCs w:val="32"/>
          <w:lang w:eastAsia="zh-CN"/>
        </w:rPr>
        <w:t>进行</w:t>
      </w:r>
      <w:r>
        <w:rPr>
          <w:rFonts w:hint="eastAsia" w:ascii="仿宋_GB2312" w:hAnsi="仿宋_GB2312" w:eastAsia="仿宋_GB2312" w:cs="仿宋_GB2312"/>
          <w:kern w:val="2"/>
          <w:sz w:val="32"/>
          <w:szCs w:val="32"/>
        </w:rPr>
        <w:t>构建，作者认为区域信用指标应包括区域经济、政务诚信、金融体系、商务诚信、社会诚信和司法公信6大部分。其中政务诚信状况包括信用体系、信用财政收支以及信用偿债能力三个方面。对于信用体系指标重点考察的是社会信用制度的完善情况以及社会信用制度的实践情况。在金融业发展状况下，作者设置三个二级指标，金融业发展状况指标设置如表</w:t>
      </w: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rPr>
        <w:t>所示。</w:t>
      </w:r>
    </w:p>
    <w:p w14:paraId="610B61F7">
      <w:pPr>
        <w:tabs>
          <w:tab w:val="left" w:pos="1140"/>
        </w:tabs>
        <w:spacing w:after="0"/>
        <w:jc w:val="cente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表</w:t>
      </w:r>
      <w:r>
        <w:rPr>
          <w:rFonts w:hint="eastAsia" w:ascii="仿宋_GB2312" w:hAnsi="仿宋_GB2312" w:eastAsia="仿宋_GB2312" w:cs="仿宋_GB2312"/>
          <w:b/>
          <w:bCs/>
          <w:sz w:val="28"/>
          <w:szCs w:val="28"/>
          <w:lang w:val="en-US" w:eastAsia="zh-CN"/>
        </w:rPr>
        <w:t>5</w:t>
      </w:r>
      <w:r>
        <w:rPr>
          <w:rFonts w:hint="eastAsia" w:ascii="仿宋_GB2312" w:hAnsi="仿宋_GB2312" w:eastAsia="仿宋_GB2312" w:cs="仿宋_GB2312"/>
          <w:b/>
          <w:bCs/>
          <w:sz w:val="28"/>
          <w:szCs w:val="28"/>
        </w:rPr>
        <w:t xml:space="preserve"> 张弢对金融业发展状况的测度指标</w:t>
      </w:r>
    </w:p>
    <w:tbl>
      <w:tblPr>
        <w:tblStyle w:val="3"/>
        <w:tblW w:w="8874" w:type="dxa"/>
        <w:jc w:val="center"/>
        <w:tblLayout w:type="autofit"/>
        <w:tblCellMar>
          <w:top w:w="0" w:type="dxa"/>
          <w:left w:w="108" w:type="dxa"/>
          <w:bottom w:w="0" w:type="dxa"/>
          <w:right w:w="108" w:type="dxa"/>
        </w:tblCellMar>
      </w:tblPr>
      <w:tblGrid>
        <w:gridCol w:w="1645"/>
        <w:gridCol w:w="1904"/>
        <w:gridCol w:w="5325"/>
      </w:tblGrid>
      <w:tr w14:paraId="44D3CE3F">
        <w:tblPrEx>
          <w:tblCellMar>
            <w:top w:w="0" w:type="dxa"/>
            <w:left w:w="108" w:type="dxa"/>
            <w:bottom w:w="0" w:type="dxa"/>
            <w:right w:w="108" w:type="dxa"/>
          </w:tblCellMar>
        </w:tblPrEx>
        <w:trPr>
          <w:jc w:val="center"/>
        </w:trPr>
        <w:tc>
          <w:tcPr>
            <w:tcW w:w="35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CBA224A">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分类/项目</w:t>
            </w:r>
          </w:p>
        </w:tc>
        <w:tc>
          <w:tcPr>
            <w:tcW w:w="5325" w:type="dxa"/>
            <w:tcBorders>
              <w:top w:val="single" w:color="auto" w:sz="4" w:space="0"/>
              <w:left w:val="nil"/>
              <w:bottom w:val="single" w:color="auto" w:sz="4" w:space="0"/>
              <w:right w:val="single" w:color="auto" w:sz="4" w:space="0"/>
            </w:tcBorders>
            <w:shd w:val="clear" w:color="auto" w:fill="auto"/>
            <w:noWrap/>
            <w:vAlign w:val="center"/>
          </w:tcPr>
          <w:p w14:paraId="5BC23764">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主要指标</w:t>
            </w:r>
          </w:p>
        </w:tc>
      </w:tr>
      <w:tr w14:paraId="4AC9906A">
        <w:tblPrEx>
          <w:tblCellMar>
            <w:top w:w="0" w:type="dxa"/>
            <w:left w:w="108" w:type="dxa"/>
            <w:bottom w:w="0" w:type="dxa"/>
            <w:right w:w="108" w:type="dxa"/>
          </w:tblCellMar>
        </w:tblPrEx>
        <w:trPr>
          <w:jc w:val="center"/>
        </w:trPr>
        <w:tc>
          <w:tcPr>
            <w:tcW w:w="1645" w:type="dxa"/>
            <w:vMerge w:val="restart"/>
            <w:tcBorders>
              <w:top w:val="nil"/>
              <w:left w:val="single" w:color="auto" w:sz="4" w:space="0"/>
              <w:bottom w:val="single" w:color="auto" w:sz="4" w:space="0"/>
              <w:right w:val="single" w:color="auto" w:sz="4" w:space="0"/>
            </w:tcBorders>
            <w:shd w:val="clear" w:color="auto" w:fill="auto"/>
            <w:vAlign w:val="center"/>
          </w:tcPr>
          <w:p w14:paraId="0C9C1557">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金融业发展状况 (50)</w:t>
            </w:r>
          </w:p>
        </w:tc>
        <w:tc>
          <w:tcPr>
            <w:tcW w:w="1904" w:type="dxa"/>
            <w:vMerge w:val="restart"/>
            <w:tcBorders>
              <w:top w:val="nil"/>
              <w:left w:val="single" w:color="auto" w:sz="4" w:space="0"/>
              <w:bottom w:val="single" w:color="auto" w:sz="4" w:space="0"/>
              <w:right w:val="single" w:color="auto" w:sz="4" w:space="0"/>
            </w:tcBorders>
            <w:shd w:val="clear" w:color="auto" w:fill="auto"/>
            <w:vAlign w:val="center"/>
          </w:tcPr>
          <w:p w14:paraId="5AEB64E6">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金融业规模 (20)</w:t>
            </w:r>
          </w:p>
        </w:tc>
        <w:tc>
          <w:tcPr>
            <w:tcW w:w="5325" w:type="dxa"/>
            <w:tcBorders>
              <w:top w:val="nil"/>
              <w:left w:val="nil"/>
              <w:bottom w:val="single" w:color="auto" w:sz="4" w:space="0"/>
              <w:right w:val="single" w:color="auto" w:sz="4" w:space="0"/>
            </w:tcBorders>
            <w:shd w:val="clear" w:color="auto" w:fill="auto"/>
            <w:vAlign w:val="center"/>
          </w:tcPr>
          <w:p w14:paraId="138AB189">
            <w:pPr>
              <w:adjustRightInd/>
              <w:snapToGrid/>
              <w:spacing w:after="0"/>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金融机构资产总额</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lang w:eastAsia="zh-CN"/>
              </w:rPr>
              <w:t>）</w:t>
            </w:r>
          </w:p>
        </w:tc>
      </w:tr>
      <w:tr w14:paraId="2689965B">
        <w:tblPrEx>
          <w:tblCellMar>
            <w:top w:w="0" w:type="dxa"/>
            <w:left w:w="108" w:type="dxa"/>
            <w:bottom w:w="0" w:type="dxa"/>
            <w:right w:w="108" w:type="dxa"/>
          </w:tblCellMar>
        </w:tblPrEx>
        <w:trPr>
          <w:jc w:val="center"/>
        </w:trPr>
        <w:tc>
          <w:tcPr>
            <w:tcW w:w="1645" w:type="dxa"/>
            <w:vMerge w:val="continue"/>
            <w:tcBorders>
              <w:top w:val="nil"/>
              <w:left w:val="single" w:color="auto" w:sz="4" w:space="0"/>
              <w:bottom w:val="single" w:color="auto" w:sz="4" w:space="0"/>
              <w:right w:val="single" w:color="auto" w:sz="4" w:space="0"/>
            </w:tcBorders>
            <w:vAlign w:val="center"/>
          </w:tcPr>
          <w:p w14:paraId="31B5FC77">
            <w:pPr>
              <w:adjustRightInd/>
              <w:snapToGrid/>
              <w:spacing w:after="0"/>
              <w:jc w:val="center"/>
              <w:rPr>
                <w:rFonts w:hint="eastAsia" w:ascii="仿宋_GB2312" w:hAnsi="仿宋_GB2312" w:eastAsia="仿宋_GB2312" w:cs="仿宋_GB2312"/>
                <w:color w:val="000000"/>
                <w:sz w:val="28"/>
                <w:szCs w:val="28"/>
              </w:rPr>
            </w:pPr>
          </w:p>
        </w:tc>
        <w:tc>
          <w:tcPr>
            <w:tcW w:w="1904" w:type="dxa"/>
            <w:vMerge w:val="continue"/>
            <w:tcBorders>
              <w:top w:val="nil"/>
              <w:left w:val="single" w:color="auto" w:sz="4" w:space="0"/>
              <w:bottom w:val="single" w:color="auto" w:sz="4" w:space="0"/>
              <w:right w:val="single" w:color="auto" w:sz="4" w:space="0"/>
            </w:tcBorders>
            <w:vAlign w:val="center"/>
          </w:tcPr>
          <w:p w14:paraId="2DA31F6C">
            <w:pPr>
              <w:adjustRightInd/>
              <w:snapToGrid/>
              <w:spacing w:after="0"/>
              <w:jc w:val="center"/>
              <w:rPr>
                <w:rFonts w:hint="eastAsia" w:ascii="仿宋_GB2312" w:hAnsi="仿宋_GB2312" w:eastAsia="仿宋_GB2312" w:cs="仿宋_GB2312"/>
                <w:color w:val="000000"/>
                <w:sz w:val="28"/>
                <w:szCs w:val="28"/>
              </w:rPr>
            </w:pPr>
          </w:p>
        </w:tc>
        <w:tc>
          <w:tcPr>
            <w:tcW w:w="5325" w:type="dxa"/>
            <w:tcBorders>
              <w:top w:val="nil"/>
              <w:left w:val="nil"/>
              <w:bottom w:val="single" w:color="auto" w:sz="4" w:space="0"/>
              <w:right w:val="single" w:color="auto" w:sz="4" w:space="0"/>
            </w:tcBorders>
            <w:shd w:val="clear" w:color="auto" w:fill="auto"/>
            <w:vAlign w:val="center"/>
          </w:tcPr>
          <w:p w14:paraId="65F942EE">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金融业增加值占 GDP 比重</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lang w:eastAsia="zh-CN"/>
              </w:rPr>
              <w:t>）</w:t>
            </w:r>
          </w:p>
        </w:tc>
      </w:tr>
      <w:tr w14:paraId="60337402">
        <w:tblPrEx>
          <w:tblCellMar>
            <w:top w:w="0" w:type="dxa"/>
            <w:left w:w="108" w:type="dxa"/>
            <w:bottom w:w="0" w:type="dxa"/>
            <w:right w:w="108" w:type="dxa"/>
          </w:tblCellMar>
        </w:tblPrEx>
        <w:trPr>
          <w:jc w:val="center"/>
        </w:trPr>
        <w:tc>
          <w:tcPr>
            <w:tcW w:w="1645" w:type="dxa"/>
            <w:vMerge w:val="continue"/>
            <w:tcBorders>
              <w:top w:val="nil"/>
              <w:left w:val="single" w:color="auto" w:sz="4" w:space="0"/>
              <w:bottom w:val="single" w:color="auto" w:sz="4" w:space="0"/>
              <w:right w:val="single" w:color="auto" w:sz="4" w:space="0"/>
            </w:tcBorders>
            <w:vAlign w:val="center"/>
          </w:tcPr>
          <w:p w14:paraId="0759D822">
            <w:pPr>
              <w:adjustRightInd/>
              <w:snapToGrid/>
              <w:spacing w:after="0"/>
              <w:jc w:val="center"/>
              <w:rPr>
                <w:rFonts w:hint="eastAsia" w:ascii="仿宋_GB2312" w:hAnsi="仿宋_GB2312" w:eastAsia="仿宋_GB2312" w:cs="仿宋_GB2312"/>
                <w:color w:val="000000"/>
                <w:sz w:val="28"/>
                <w:szCs w:val="28"/>
              </w:rPr>
            </w:pPr>
          </w:p>
        </w:tc>
        <w:tc>
          <w:tcPr>
            <w:tcW w:w="1904" w:type="dxa"/>
            <w:vMerge w:val="continue"/>
            <w:tcBorders>
              <w:top w:val="nil"/>
              <w:left w:val="single" w:color="auto" w:sz="4" w:space="0"/>
              <w:bottom w:val="single" w:color="auto" w:sz="4" w:space="0"/>
              <w:right w:val="single" w:color="auto" w:sz="4" w:space="0"/>
            </w:tcBorders>
            <w:vAlign w:val="center"/>
          </w:tcPr>
          <w:p w14:paraId="1CC5573C">
            <w:pPr>
              <w:adjustRightInd/>
              <w:snapToGrid/>
              <w:spacing w:after="0"/>
              <w:jc w:val="center"/>
              <w:rPr>
                <w:rFonts w:hint="eastAsia" w:ascii="仿宋_GB2312" w:hAnsi="仿宋_GB2312" w:eastAsia="仿宋_GB2312" w:cs="仿宋_GB2312"/>
                <w:color w:val="000000"/>
                <w:sz w:val="28"/>
                <w:szCs w:val="28"/>
              </w:rPr>
            </w:pPr>
          </w:p>
        </w:tc>
        <w:tc>
          <w:tcPr>
            <w:tcW w:w="5325" w:type="dxa"/>
            <w:tcBorders>
              <w:top w:val="nil"/>
              <w:left w:val="nil"/>
              <w:bottom w:val="single" w:color="auto" w:sz="4" w:space="0"/>
              <w:right w:val="single" w:color="auto" w:sz="4" w:space="0"/>
            </w:tcBorders>
            <w:shd w:val="clear" w:color="auto" w:fill="auto"/>
            <w:vAlign w:val="center"/>
          </w:tcPr>
          <w:p w14:paraId="59B06C31">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金融深度</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lang w:eastAsia="zh-CN"/>
              </w:rPr>
              <w:t>）</w:t>
            </w:r>
          </w:p>
        </w:tc>
      </w:tr>
      <w:tr w14:paraId="75555006">
        <w:tblPrEx>
          <w:tblCellMar>
            <w:top w:w="0" w:type="dxa"/>
            <w:left w:w="108" w:type="dxa"/>
            <w:bottom w:w="0" w:type="dxa"/>
            <w:right w:w="108" w:type="dxa"/>
          </w:tblCellMar>
        </w:tblPrEx>
        <w:trPr>
          <w:jc w:val="center"/>
        </w:trPr>
        <w:tc>
          <w:tcPr>
            <w:tcW w:w="1645" w:type="dxa"/>
            <w:vMerge w:val="continue"/>
            <w:tcBorders>
              <w:top w:val="nil"/>
              <w:left w:val="single" w:color="auto" w:sz="4" w:space="0"/>
              <w:bottom w:val="single" w:color="auto" w:sz="4" w:space="0"/>
              <w:right w:val="single" w:color="auto" w:sz="4" w:space="0"/>
            </w:tcBorders>
            <w:vAlign w:val="center"/>
          </w:tcPr>
          <w:p w14:paraId="30F65342">
            <w:pPr>
              <w:adjustRightInd/>
              <w:snapToGrid/>
              <w:spacing w:after="0"/>
              <w:jc w:val="center"/>
              <w:rPr>
                <w:rFonts w:hint="eastAsia" w:ascii="仿宋_GB2312" w:hAnsi="仿宋_GB2312" w:eastAsia="仿宋_GB2312" w:cs="仿宋_GB2312"/>
                <w:color w:val="000000"/>
                <w:sz w:val="28"/>
                <w:szCs w:val="28"/>
              </w:rPr>
            </w:pPr>
          </w:p>
        </w:tc>
        <w:tc>
          <w:tcPr>
            <w:tcW w:w="1904" w:type="dxa"/>
            <w:vMerge w:val="continue"/>
            <w:tcBorders>
              <w:top w:val="nil"/>
              <w:left w:val="single" w:color="auto" w:sz="4" w:space="0"/>
              <w:bottom w:val="single" w:color="auto" w:sz="4" w:space="0"/>
              <w:right w:val="single" w:color="auto" w:sz="4" w:space="0"/>
            </w:tcBorders>
            <w:vAlign w:val="center"/>
          </w:tcPr>
          <w:p w14:paraId="74E4DF58">
            <w:pPr>
              <w:adjustRightInd/>
              <w:snapToGrid/>
              <w:spacing w:after="0"/>
              <w:jc w:val="center"/>
              <w:rPr>
                <w:rFonts w:hint="eastAsia" w:ascii="仿宋_GB2312" w:hAnsi="仿宋_GB2312" w:eastAsia="仿宋_GB2312" w:cs="仿宋_GB2312"/>
                <w:color w:val="000000"/>
                <w:sz w:val="28"/>
                <w:szCs w:val="28"/>
              </w:rPr>
            </w:pPr>
          </w:p>
        </w:tc>
        <w:tc>
          <w:tcPr>
            <w:tcW w:w="5325" w:type="dxa"/>
            <w:tcBorders>
              <w:top w:val="nil"/>
              <w:left w:val="nil"/>
              <w:bottom w:val="single" w:color="auto" w:sz="4" w:space="0"/>
              <w:right w:val="single" w:color="auto" w:sz="4" w:space="0"/>
            </w:tcBorders>
            <w:shd w:val="clear" w:color="auto" w:fill="auto"/>
            <w:vAlign w:val="center"/>
          </w:tcPr>
          <w:p w14:paraId="0B59210B">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金融密度</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lang w:eastAsia="zh-CN"/>
              </w:rPr>
              <w:t>）</w:t>
            </w:r>
          </w:p>
        </w:tc>
      </w:tr>
      <w:tr w14:paraId="6A623CBF">
        <w:tblPrEx>
          <w:tblCellMar>
            <w:top w:w="0" w:type="dxa"/>
            <w:left w:w="108" w:type="dxa"/>
            <w:bottom w:w="0" w:type="dxa"/>
            <w:right w:w="108" w:type="dxa"/>
          </w:tblCellMar>
        </w:tblPrEx>
        <w:trPr>
          <w:jc w:val="center"/>
        </w:trPr>
        <w:tc>
          <w:tcPr>
            <w:tcW w:w="1645" w:type="dxa"/>
            <w:vMerge w:val="continue"/>
            <w:tcBorders>
              <w:top w:val="nil"/>
              <w:left w:val="single" w:color="auto" w:sz="4" w:space="0"/>
              <w:bottom w:val="single" w:color="auto" w:sz="4" w:space="0"/>
              <w:right w:val="single" w:color="auto" w:sz="4" w:space="0"/>
            </w:tcBorders>
            <w:vAlign w:val="center"/>
          </w:tcPr>
          <w:p w14:paraId="64EBFCC0">
            <w:pPr>
              <w:adjustRightInd/>
              <w:snapToGrid/>
              <w:spacing w:after="0"/>
              <w:jc w:val="center"/>
              <w:rPr>
                <w:rFonts w:hint="eastAsia" w:ascii="仿宋_GB2312" w:hAnsi="仿宋_GB2312" w:eastAsia="仿宋_GB2312" w:cs="仿宋_GB2312"/>
                <w:color w:val="000000"/>
                <w:sz w:val="28"/>
                <w:szCs w:val="28"/>
              </w:rPr>
            </w:pPr>
          </w:p>
        </w:tc>
        <w:tc>
          <w:tcPr>
            <w:tcW w:w="1904" w:type="dxa"/>
            <w:vMerge w:val="continue"/>
            <w:tcBorders>
              <w:top w:val="nil"/>
              <w:left w:val="single" w:color="auto" w:sz="4" w:space="0"/>
              <w:bottom w:val="single" w:color="auto" w:sz="4" w:space="0"/>
              <w:right w:val="single" w:color="auto" w:sz="4" w:space="0"/>
            </w:tcBorders>
            <w:vAlign w:val="center"/>
          </w:tcPr>
          <w:p w14:paraId="4C4C3448">
            <w:pPr>
              <w:adjustRightInd/>
              <w:snapToGrid/>
              <w:spacing w:after="0"/>
              <w:jc w:val="center"/>
              <w:rPr>
                <w:rFonts w:hint="eastAsia" w:ascii="仿宋_GB2312" w:hAnsi="仿宋_GB2312" w:eastAsia="仿宋_GB2312" w:cs="仿宋_GB2312"/>
                <w:color w:val="000000"/>
                <w:sz w:val="28"/>
                <w:szCs w:val="28"/>
              </w:rPr>
            </w:pPr>
          </w:p>
        </w:tc>
        <w:tc>
          <w:tcPr>
            <w:tcW w:w="5325" w:type="dxa"/>
            <w:tcBorders>
              <w:top w:val="nil"/>
              <w:left w:val="nil"/>
              <w:bottom w:val="single" w:color="auto" w:sz="4" w:space="0"/>
              <w:right w:val="single" w:color="auto" w:sz="4" w:space="0"/>
            </w:tcBorders>
            <w:shd w:val="clear" w:color="auto" w:fill="auto"/>
            <w:vAlign w:val="center"/>
          </w:tcPr>
          <w:p w14:paraId="227E8287">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法人金融机构数量</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lang w:eastAsia="zh-CN"/>
              </w:rPr>
              <w:t>）</w:t>
            </w:r>
          </w:p>
        </w:tc>
      </w:tr>
      <w:tr w14:paraId="41880C0F">
        <w:tblPrEx>
          <w:tblCellMar>
            <w:top w:w="0" w:type="dxa"/>
            <w:left w:w="108" w:type="dxa"/>
            <w:bottom w:w="0" w:type="dxa"/>
            <w:right w:w="108" w:type="dxa"/>
          </w:tblCellMar>
        </w:tblPrEx>
        <w:trPr>
          <w:jc w:val="center"/>
        </w:trPr>
        <w:tc>
          <w:tcPr>
            <w:tcW w:w="1645" w:type="dxa"/>
            <w:vMerge w:val="continue"/>
            <w:tcBorders>
              <w:top w:val="nil"/>
              <w:left w:val="single" w:color="auto" w:sz="4" w:space="0"/>
              <w:bottom w:val="single" w:color="auto" w:sz="4" w:space="0"/>
              <w:right w:val="single" w:color="auto" w:sz="4" w:space="0"/>
            </w:tcBorders>
            <w:vAlign w:val="center"/>
          </w:tcPr>
          <w:p w14:paraId="55C16512">
            <w:pPr>
              <w:adjustRightInd/>
              <w:snapToGrid/>
              <w:spacing w:after="0"/>
              <w:jc w:val="center"/>
              <w:rPr>
                <w:rFonts w:hint="eastAsia" w:ascii="仿宋_GB2312" w:hAnsi="仿宋_GB2312" w:eastAsia="仿宋_GB2312" w:cs="仿宋_GB2312"/>
                <w:color w:val="000000"/>
                <w:sz w:val="28"/>
                <w:szCs w:val="28"/>
              </w:rPr>
            </w:pPr>
          </w:p>
        </w:tc>
        <w:tc>
          <w:tcPr>
            <w:tcW w:w="1904" w:type="dxa"/>
            <w:vMerge w:val="continue"/>
            <w:tcBorders>
              <w:top w:val="nil"/>
              <w:left w:val="single" w:color="auto" w:sz="4" w:space="0"/>
              <w:bottom w:val="single" w:color="auto" w:sz="4" w:space="0"/>
              <w:right w:val="single" w:color="auto" w:sz="4" w:space="0"/>
            </w:tcBorders>
            <w:vAlign w:val="center"/>
          </w:tcPr>
          <w:p w14:paraId="774F3CC7">
            <w:pPr>
              <w:adjustRightInd/>
              <w:snapToGrid/>
              <w:spacing w:after="0"/>
              <w:jc w:val="center"/>
              <w:rPr>
                <w:rFonts w:hint="eastAsia" w:ascii="仿宋_GB2312" w:hAnsi="仿宋_GB2312" w:eastAsia="仿宋_GB2312" w:cs="仿宋_GB2312"/>
                <w:color w:val="000000"/>
                <w:sz w:val="28"/>
                <w:szCs w:val="28"/>
              </w:rPr>
            </w:pPr>
          </w:p>
        </w:tc>
        <w:tc>
          <w:tcPr>
            <w:tcW w:w="5325" w:type="dxa"/>
            <w:tcBorders>
              <w:top w:val="nil"/>
              <w:left w:val="nil"/>
              <w:bottom w:val="single" w:color="auto" w:sz="4" w:space="0"/>
              <w:right w:val="single" w:color="auto" w:sz="4" w:space="0"/>
            </w:tcBorders>
            <w:shd w:val="clear" w:color="auto" w:fill="auto"/>
            <w:vAlign w:val="center"/>
          </w:tcPr>
          <w:p w14:paraId="35DB84F2">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准金融机构数量</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lang w:eastAsia="zh-CN"/>
              </w:rPr>
              <w:t>）</w:t>
            </w:r>
          </w:p>
        </w:tc>
      </w:tr>
      <w:tr w14:paraId="186F8439">
        <w:tblPrEx>
          <w:tblCellMar>
            <w:top w:w="0" w:type="dxa"/>
            <w:left w:w="108" w:type="dxa"/>
            <w:bottom w:w="0" w:type="dxa"/>
            <w:right w:w="108" w:type="dxa"/>
          </w:tblCellMar>
        </w:tblPrEx>
        <w:trPr>
          <w:jc w:val="center"/>
        </w:trPr>
        <w:tc>
          <w:tcPr>
            <w:tcW w:w="1645" w:type="dxa"/>
            <w:vMerge w:val="continue"/>
            <w:tcBorders>
              <w:top w:val="nil"/>
              <w:left w:val="single" w:color="auto" w:sz="4" w:space="0"/>
              <w:bottom w:val="single" w:color="auto" w:sz="4" w:space="0"/>
              <w:right w:val="single" w:color="auto" w:sz="4" w:space="0"/>
            </w:tcBorders>
            <w:vAlign w:val="center"/>
          </w:tcPr>
          <w:p w14:paraId="1B43749E">
            <w:pPr>
              <w:adjustRightInd/>
              <w:snapToGrid/>
              <w:spacing w:after="0"/>
              <w:jc w:val="center"/>
              <w:rPr>
                <w:rFonts w:hint="eastAsia" w:ascii="仿宋_GB2312" w:hAnsi="仿宋_GB2312" w:eastAsia="仿宋_GB2312" w:cs="仿宋_GB2312"/>
                <w:color w:val="000000"/>
                <w:sz w:val="28"/>
                <w:szCs w:val="28"/>
              </w:rPr>
            </w:pPr>
          </w:p>
        </w:tc>
        <w:tc>
          <w:tcPr>
            <w:tcW w:w="1904" w:type="dxa"/>
            <w:vMerge w:val="restart"/>
            <w:tcBorders>
              <w:top w:val="nil"/>
              <w:left w:val="single" w:color="auto" w:sz="4" w:space="0"/>
              <w:bottom w:val="single" w:color="auto" w:sz="4" w:space="0"/>
              <w:right w:val="single" w:color="auto" w:sz="4" w:space="0"/>
            </w:tcBorders>
            <w:shd w:val="clear" w:color="auto" w:fill="auto"/>
            <w:vAlign w:val="center"/>
          </w:tcPr>
          <w:p w14:paraId="05DD8AB9">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社会融资规模 (15)</w:t>
            </w:r>
          </w:p>
        </w:tc>
        <w:tc>
          <w:tcPr>
            <w:tcW w:w="5325" w:type="dxa"/>
            <w:tcBorders>
              <w:top w:val="nil"/>
              <w:left w:val="nil"/>
              <w:bottom w:val="single" w:color="auto" w:sz="4" w:space="0"/>
              <w:right w:val="single" w:color="auto" w:sz="4" w:space="0"/>
            </w:tcBorders>
            <w:shd w:val="clear" w:color="auto" w:fill="auto"/>
            <w:vAlign w:val="center"/>
          </w:tcPr>
          <w:p w14:paraId="1F1F8CF6">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银行年末贷款余额</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lang w:eastAsia="zh-CN"/>
              </w:rPr>
              <w:t>）</w:t>
            </w:r>
          </w:p>
        </w:tc>
      </w:tr>
      <w:tr w14:paraId="431D8E2B">
        <w:tblPrEx>
          <w:tblCellMar>
            <w:top w:w="0" w:type="dxa"/>
            <w:left w:w="108" w:type="dxa"/>
            <w:bottom w:w="0" w:type="dxa"/>
            <w:right w:w="108" w:type="dxa"/>
          </w:tblCellMar>
        </w:tblPrEx>
        <w:trPr>
          <w:jc w:val="center"/>
        </w:trPr>
        <w:tc>
          <w:tcPr>
            <w:tcW w:w="1645" w:type="dxa"/>
            <w:vMerge w:val="continue"/>
            <w:tcBorders>
              <w:top w:val="nil"/>
              <w:left w:val="single" w:color="auto" w:sz="4" w:space="0"/>
              <w:bottom w:val="single" w:color="auto" w:sz="4" w:space="0"/>
              <w:right w:val="single" w:color="auto" w:sz="4" w:space="0"/>
            </w:tcBorders>
            <w:vAlign w:val="center"/>
          </w:tcPr>
          <w:p w14:paraId="093043CB">
            <w:pPr>
              <w:adjustRightInd/>
              <w:snapToGrid/>
              <w:spacing w:after="0"/>
              <w:jc w:val="center"/>
              <w:rPr>
                <w:rFonts w:hint="eastAsia" w:ascii="仿宋_GB2312" w:hAnsi="仿宋_GB2312" w:eastAsia="仿宋_GB2312" w:cs="仿宋_GB2312"/>
                <w:color w:val="000000"/>
                <w:sz w:val="28"/>
                <w:szCs w:val="28"/>
              </w:rPr>
            </w:pPr>
          </w:p>
        </w:tc>
        <w:tc>
          <w:tcPr>
            <w:tcW w:w="1904" w:type="dxa"/>
            <w:vMerge w:val="continue"/>
            <w:tcBorders>
              <w:top w:val="nil"/>
              <w:left w:val="single" w:color="auto" w:sz="4" w:space="0"/>
              <w:bottom w:val="single" w:color="auto" w:sz="4" w:space="0"/>
              <w:right w:val="single" w:color="auto" w:sz="4" w:space="0"/>
            </w:tcBorders>
            <w:vAlign w:val="center"/>
          </w:tcPr>
          <w:p w14:paraId="1BA5885B">
            <w:pPr>
              <w:adjustRightInd/>
              <w:snapToGrid/>
              <w:spacing w:after="0"/>
              <w:jc w:val="center"/>
              <w:rPr>
                <w:rFonts w:hint="eastAsia" w:ascii="仿宋_GB2312" w:hAnsi="仿宋_GB2312" w:eastAsia="仿宋_GB2312" w:cs="仿宋_GB2312"/>
                <w:color w:val="000000"/>
                <w:sz w:val="28"/>
                <w:szCs w:val="28"/>
              </w:rPr>
            </w:pPr>
          </w:p>
        </w:tc>
        <w:tc>
          <w:tcPr>
            <w:tcW w:w="5325" w:type="dxa"/>
            <w:tcBorders>
              <w:top w:val="nil"/>
              <w:left w:val="nil"/>
              <w:bottom w:val="single" w:color="auto" w:sz="4" w:space="0"/>
              <w:right w:val="single" w:color="auto" w:sz="4" w:space="0"/>
            </w:tcBorders>
            <w:shd w:val="clear" w:color="auto" w:fill="auto"/>
            <w:vAlign w:val="center"/>
          </w:tcPr>
          <w:p w14:paraId="386CDB15">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银行年末贷款余额增长</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2.5</w:t>
            </w:r>
            <w:r>
              <w:rPr>
                <w:rFonts w:hint="eastAsia" w:ascii="仿宋_GB2312" w:hAnsi="仿宋_GB2312" w:eastAsia="仿宋_GB2312" w:cs="仿宋_GB2312"/>
                <w:color w:val="000000"/>
                <w:sz w:val="28"/>
                <w:szCs w:val="28"/>
                <w:lang w:eastAsia="zh-CN"/>
              </w:rPr>
              <w:t>）</w:t>
            </w:r>
          </w:p>
        </w:tc>
      </w:tr>
      <w:tr w14:paraId="00448932">
        <w:tblPrEx>
          <w:tblCellMar>
            <w:top w:w="0" w:type="dxa"/>
            <w:left w:w="108" w:type="dxa"/>
            <w:bottom w:w="0" w:type="dxa"/>
            <w:right w:w="108" w:type="dxa"/>
          </w:tblCellMar>
        </w:tblPrEx>
        <w:trPr>
          <w:jc w:val="center"/>
        </w:trPr>
        <w:tc>
          <w:tcPr>
            <w:tcW w:w="1645" w:type="dxa"/>
            <w:vMerge w:val="continue"/>
            <w:tcBorders>
              <w:top w:val="nil"/>
              <w:left w:val="single" w:color="auto" w:sz="4" w:space="0"/>
              <w:bottom w:val="single" w:color="auto" w:sz="4" w:space="0"/>
              <w:right w:val="single" w:color="auto" w:sz="4" w:space="0"/>
            </w:tcBorders>
            <w:vAlign w:val="center"/>
          </w:tcPr>
          <w:p w14:paraId="5FE3E3C8">
            <w:pPr>
              <w:adjustRightInd/>
              <w:snapToGrid/>
              <w:spacing w:after="0"/>
              <w:jc w:val="center"/>
              <w:rPr>
                <w:rFonts w:hint="eastAsia" w:ascii="仿宋_GB2312" w:hAnsi="仿宋_GB2312" w:eastAsia="仿宋_GB2312" w:cs="仿宋_GB2312"/>
                <w:color w:val="000000"/>
                <w:sz w:val="28"/>
                <w:szCs w:val="28"/>
              </w:rPr>
            </w:pPr>
          </w:p>
        </w:tc>
        <w:tc>
          <w:tcPr>
            <w:tcW w:w="1904" w:type="dxa"/>
            <w:vMerge w:val="continue"/>
            <w:tcBorders>
              <w:top w:val="nil"/>
              <w:left w:val="single" w:color="auto" w:sz="4" w:space="0"/>
              <w:bottom w:val="single" w:color="auto" w:sz="4" w:space="0"/>
              <w:right w:val="single" w:color="auto" w:sz="4" w:space="0"/>
            </w:tcBorders>
            <w:vAlign w:val="center"/>
          </w:tcPr>
          <w:p w14:paraId="44A65988">
            <w:pPr>
              <w:adjustRightInd/>
              <w:snapToGrid/>
              <w:spacing w:after="0"/>
              <w:jc w:val="center"/>
              <w:rPr>
                <w:rFonts w:hint="eastAsia" w:ascii="仿宋_GB2312" w:hAnsi="仿宋_GB2312" w:eastAsia="仿宋_GB2312" w:cs="仿宋_GB2312"/>
                <w:color w:val="000000"/>
                <w:sz w:val="28"/>
                <w:szCs w:val="28"/>
              </w:rPr>
            </w:pPr>
          </w:p>
        </w:tc>
        <w:tc>
          <w:tcPr>
            <w:tcW w:w="5325" w:type="dxa"/>
            <w:tcBorders>
              <w:top w:val="nil"/>
              <w:left w:val="nil"/>
              <w:bottom w:val="single" w:color="auto" w:sz="4" w:space="0"/>
              <w:right w:val="single" w:color="auto" w:sz="4" w:space="0"/>
            </w:tcBorders>
            <w:shd w:val="clear" w:color="auto" w:fill="auto"/>
            <w:vAlign w:val="center"/>
          </w:tcPr>
          <w:p w14:paraId="3CC58322">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社会融资总额</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lang w:eastAsia="zh-CN"/>
              </w:rPr>
              <w:t>）</w:t>
            </w:r>
          </w:p>
        </w:tc>
      </w:tr>
      <w:tr w14:paraId="4442EDDF">
        <w:tblPrEx>
          <w:tblCellMar>
            <w:top w:w="0" w:type="dxa"/>
            <w:left w:w="108" w:type="dxa"/>
            <w:bottom w:w="0" w:type="dxa"/>
            <w:right w:w="108" w:type="dxa"/>
          </w:tblCellMar>
        </w:tblPrEx>
        <w:trPr>
          <w:jc w:val="center"/>
        </w:trPr>
        <w:tc>
          <w:tcPr>
            <w:tcW w:w="1645" w:type="dxa"/>
            <w:vMerge w:val="continue"/>
            <w:tcBorders>
              <w:top w:val="nil"/>
              <w:left w:val="single" w:color="auto" w:sz="4" w:space="0"/>
              <w:bottom w:val="single" w:color="auto" w:sz="4" w:space="0"/>
              <w:right w:val="single" w:color="auto" w:sz="4" w:space="0"/>
            </w:tcBorders>
            <w:vAlign w:val="center"/>
          </w:tcPr>
          <w:p w14:paraId="604FEE79">
            <w:pPr>
              <w:adjustRightInd/>
              <w:snapToGrid/>
              <w:spacing w:after="0"/>
              <w:jc w:val="center"/>
              <w:rPr>
                <w:rFonts w:hint="eastAsia" w:ascii="仿宋_GB2312" w:hAnsi="仿宋_GB2312" w:eastAsia="仿宋_GB2312" w:cs="仿宋_GB2312"/>
                <w:color w:val="000000"/>
                <w:sz w:val="28"/>
                <w:szCs w:val="28"/>
              </w:rPr>
            </w:pPr>
          </w:p>
        </w:tc>
        <w:tc>
          <w:tcPr>
            <w:tcW w:w="1904" w:type="dxa"/>
            <w:vMerge w:val="continue"/>
            <w:tcBorders>
              <w:top w:val="nil"/>
              <w:left w:val="single" w:color="auto" w:sz="4" w:space="0"/>
              <w:bottom w:val="single" w:color="auto" w:sz="4" w:space="0"/>
              <w:right w:val="single" w:color="auto" w:sz="4" w:space="0"/>
            </w:tcBorders>
            <w:vAlign w:val="center"/>
          </w:tcPr>
          <w:p w14:paraId="757C7158">
            <w:pPr>
              <w:adjustRightInd/>
              <w:snapToGrid/>
              <w:spacing w:after="0"/>
              <w:jc w:val="center"/>
              <w:rPr>
                <w:rFonts w:hint="eastAsia" w:ascii="仿宋_GB2312" w:hAnsi="仿宋_GB2312" w:eastAsia="仿宋_GB2312" w:cs="仿宋_GB2312"/>
                <w:color w:val="000000"/>
                <w:sz w:val="28"/>
                <w:szCs w:val="28"/>
              </w:rPr>
            </w:pPr>
          </w:p>
        </w:tc>
        <w:tc>
          <w:tcPr>
            <w:tcW w:w="5325" w:type="dxa"/>
            <w:tcBorders>
              <w:top w:val="nil"/>
              <w:left w:val="nil"/>
              <w:bottom w:val="single" w:color="auto" w:sz="4" w:space="0"/>
              <w:right w:val="single" w:color="auto" w:sz="4" w:space="0"/>
            </w:tcBorders>
            <w:shd w:val="clear" w:color="auto" w:fill="auto"/>
            <w:vAlign w:val="center"/>
          </w:tcPr>
          <w:p w14:paraId="42153FF2">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社会融资总额增长率</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2.5</w:t>
            </w:r>
            <w:r>
              <w:rPr>
                <w:rFonts w:hint="eastAsia" w:ascii="仿宋_GB2312" w:hAnsi="仿宋_GB2312" w:eastAsia="仿宋_GB2312" w:cs="仿宋_GB2312"/>
                <w:color w:val="000000"/>
                <w:sz w:val="28"/>
                <w:szCs w:val="28"/>
                <w:lang w:eastAsia="zh-CN"/>
              </w:rPr>
              <w:t>）</w:t>
            </w:r>
          </w:p>
        </w:tc>
      </w:tr>
      <w:tr w14:paraId="5AA19247">
        <w:tblPrEx>
          <w:tblCellMar>
            <w:top w:w="0" w:type="dxa"/>
            <w:left w:w="108" w:type="dxa"/>
            <w:bottom w:w="0" w:type="dxa"/>
            <w:right w:w="108" w:type="dxa"/>
          </w:tblCellMar>
        </w:tblPrEx>
        <w:trPr>
          <w:jc w:val="center"/>
        </w:trPr>
        <w:tc>
          <w:tcPr>
            <w:tcW w:w="1645" w:type="dxa"/>
            <w:vMerge w:val="continue"/>
            <w:tcBorders>
              <w:top w:val="nil"/>
              <w:left w:val="single" w:color="auto" w:sz="4" w:space="0"/>
              <w:bottom w:val="single" w:color="auto" w:sz="4" w:space="0"/>
              <w:right w:val="single" w:color="auto" w:sz="4" w:space="0"/>
            </w:tcBorders>
            <w:vAlign w:val="center"/>
          </w:tcPr>
          <w:p w14:paraId="56AC5E60">
            <w:pPr>
              <w:adjustRightInd/>
              <w:snapToGrid/>
              <w:spacing w:after="0"/>
              <w:jc w:val="center"/>
              <w:rPr>
                <w:rFonts w:hint="eastAsia" w:ascii="仿宋_GB2312" w:hAnsi="仿宋_GB2312" w:eastAsia="仿宋_GB2312" w:cs="仿宋_GB2312"/>
                <w:color w:val="000000"/>
                <w:sz w:val="28"/>
                <w:szCs w:val="28"/>
              </w:rPr>
            </w:pPr>
          </w:p>
        </w:tc>
        <w:tc>
          <w:tcPr>
            <w:tcW w:w="1904" w:type="dxa"/>
            <w:vMerge w:val="restart"/>
            <w:tcBorders>
              <w:top w:val="nil"/>
              <w:left w:val="single" w:color="auto" w:sz="4" w:space="0"/>
              <w:bottom w:val="single" w:color="auto" w:sz="4" w:space="0"/>
              <w:right w:val="single" w:color="auto" w:sz="4" w:space="0"/>
            </w:tcBorders>
            <w:shd w:val="clear" w:color="auto" w:fill="auto"/>
            <w:vAlign w:val="center"/>
          </w:tcPr>
          <w:p w14:paraId="2DAD64F7">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企业与个人信</w:t>
            </w:r>
            <w:r>
              <w:rPr>
                <w:rFonts w:hint="eastAsia" w:ascii="仿宋_GB2312" w:hAnsi="仿宋_GB2312" w:eastAsia="仿宋_GB2312" w:cs="仿宋_GB2312"/>
                <w:color w:val="000000"/>
                <w:sz w:val="28"/>
                <w:szCs w:val="28"/>
                <w:lang w:val="en-US" w:eastAsia="zh-CN"/>
              </w:rPr>
              <w:t>用</w:t>
            </w:r>
            <w:r>
              <w:rPr>
                <w:rFonts w:hint="eastAsia" w:ascii="仿宋_GB2312" w:hAnsi="仿宋_GB2312" w:eastAsia="仿宋_GB2312" w:cs="仿宋_GB2312"/>
                <w:color w:val="000000"/>
                <w:sz w:val="28"/>
                <w:szCs w:val="28"/>
              </w:rPr>
              <w:t>状况</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15</w:t>
            </w:r>
            <w:r>
              <w:rPr>
                <w:rFonts w:hint="eastAsia" w:ascii="仿宋_GB2312" w:hAnsi="仿宋_GB2312" w:eastAsia="仿宋_GB2312" w:cs="仿宋_GB2312"/>
                <w:color w:val="000000"/>
                <w:sz w:val="28"/>
                <w:szCs w:val="28"/>
                <w:lang w:eastAsia="zh-CN"/>
              </w:rPr>
              <w:t>）</w:t>
            </w:r>
          </w:p>
        </w:tc>
        <w:tc>
          <w:tcPr>
            <w:tcW w:w="5325" w:type="dxa"/>
            <w:tcBorders>
              <w:top w:val="nil"/>
              <w:left w:val="nil"/>
              <w:bottom w:val="single" w:color="auto" w:sz="4" w:space="0"/>
              <w:right w:val="single" w:color="auto" w:sz="4" w:space="0"/>
            </w:tcBorders>
            <w:shd w:val="clear" w:color="auto" w:fill="auto"/>
            <w:vAlign w:val="center"/>
          </w:tcPr>
          <w:p w14:paraId="70071445">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人民银行企业信用报告查询量增长率</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lang w:eastAsia="zh-CN"/>
              </w:rPr>
              <w:t>）</w:t>
            </w:r>
          </w:p>
        </w:tc>
      </w:tr>
      <w:tr w14:paraId="0EC430F5">
        <w:tblPrEx>
          <w:tblCellMar>
            <w:top w:w="0" w:type="dxa"/>
            <w:left w:w="108" w:type="dxa"/>
            <w:bottom w:w="0" w:type="dxa"/>
            <w:right w:w="108" w:type="dxa"/>
          </w:tblCellMar>
        </w:tblPrEx>
        <w:trPr>
          <w:jc w:val="center"/>
        </w:trPr>
        <w:tc>
          <w:tcPr>
            <w:tcW w:w="1645" w:type="dxa"/>
            <w:vMerge w:val="continue"/>
            <w:tcBorders>
              <w:top w:val="nil"/>
              <w:left w:val="single" w:color="auto" w:sz="4" w:space="0"/>
              <w:bottom w:val="single" w:color="auto" w:sz="4" w:space="0"/>
              <w:right w:val="single" w:color="auto" w:sz="4" w:space="0"/>
            </w:tcBorders>
            <w:vAlign w:val="center"/>
          </w:tcPr>
          <w:p w14:paraId="03758756">
            <w:pPr>
              <w:adjustRightInd/>
              <w:snapToGrid/>
              <w:spacing w:after="0"/>
              <w:jc w:val="center"/>
              <w:rPr>
                <w:rFonts w:hint="eastAsia" w:ascii="仿宋_GB2312" w:hAnsi="仿宋_GB2312" w:eastAsia="仿宋_GB2312" w:cs="仿宋_GB2312"/>
                <w:color w:val="000000"/>
                <w:sz w:val="28"/>
                <w:szCs w:val="28"/>
              </w:rPr>
            </w:pPr>
          </w:p>
        </w:tc>
        <w:tc>
          <w:tcPr>
            <w:tcW w:w="1904" w:type="dxa"/>
            <w:vMerge w:val="continue"/>
            <w:tcBorders>
              <w:top w:val="nil"/>
              <w:left w:val="single" w:color="auto" w:sz="4" w:space="0"/>
              <w:bottom w:val="single" w:color="auto" w:sz="4" w:space="0"/>
              <w:right w:val="single" w:color="auto" w:sz="4" w:space="0"/>
            </w:tcBorders>
            <w:vAlign w:val="center"/>
          </w:tcPr>
          <w:p w14:paraId="4ED5A40A">
            <w:pPr>
              <w:adjustRightInd/>
              <w:snapToGrid/>
              <w:spacing w:after="0"/>
              <w:jc w:val="center"/>
              <w:rPr>
                <w:rFonts w:hint="eastAsia" w:ascii="仿宋_GB2312" w:hAnsi="仿宋_GB2312" w:eastAsia="仿宋_GB2312" w:cs="仿宋_GB2312"/>
                <w:color w:val="000000"/>
                <w:sz w:val="28"/>
                <w:szCs w:val="28"/>
              </w:rPr>
            </w:pPr>
          </w:p>
        </w:tc>
        <w:tc>
          <w:tcPr>
            <w:tcW w:w="5325" w:type="dxa"/>
            <w:tcBorders>
              <w:top w:val="nil"/>
              <w:left w:val="nil"/>
              <w:bottom w:val="single" w:color="auto" w:sz="4" w:space="0"/>
              <w:right w:val="single" w:color="auto" w:sz="4" w:space="0"/>
            </w:tcBorders>
            <w:shd w:val="clear" w:color="auto" w:fill="auto"/>
            <w:vAlign w:val="center"/>
          </w:tcPr>
          <w:p w14:paraId="7502FD81">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人民银行个人信用报告查询</w:t>
            </w:r>
            <w:r>
              <w:rPr>
                <w:rFonts w:hint="eastAsia" w:ascii="仿宋_GB2312" w:hAnsi="仿宋_GB2312" w:eastAsia="仿宋_GB2312" w:cs="仿宋_GB2312"/>
                <w:color w:val="000000"/>
                <w:sz w:val="28"/>
                <w:szCs w:val="28"/>
              </w:rPr>
              <w:br w:type="textWrapping"/>
            </w:r>
            <w:r>
              <w:rPr>
                <w:rFonts w:hint="eastAsia" w:ascii="仿宋_GB2312" w:hAnsi="仿宋_GB2312" w:eastAsia="仿宋_GB2312" w:cs="仿宋_GB2312"/>
                <w:color w:val="000000"/>
                <w:sz w:val="28"/>
                <w:szCs w:val="28"/>
              </w:rPr>
              <w:t>量增长率</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2.5</w:t>
            </w:r>
            <w:r>
              <w:rPr>
                <w:rFonts w:hint="eastAsia" w:ascii="仿宋_GB2312" w:hAnsi="仿宋_GB2312" w:eastAsia="仿宋_GB2312" w:cs="仿宋_GB2312"/>
                <w:color w:val="000000"/>
                <w:sz w:val="28"/>
                <w:szCs w:val="28"/>
                <w:lang w:eastAsia="zh-CN"/>
              </w:rPr>
              <w:t>）</w:t>
            </w:r>
          </w:p>
        </w:tc>
      </w:tr>
      <w:tr w14:paraId="7E309800">
        <w:tblPrEx>
          <w:tblCellMar>
            <w:top w:w="0" w:type="dxa"/>
            <w:left w:w="108" w:type="dxa"/>
            <w:bottom w:w="0" w:type="dxa"/>
            <w:right w:w="108" w:type="dxa"/>
          </w:tblCellMar>
        </w:tblPrEx>
        <w:trPr>
          <w:jc w:val="center"/>
        </w:trPr>
        <w:tc>
          <w:tcPr>
            <w:tcW w:w="1645" w:type="dxa"/>
            <w:vMerge w:val="continue"/>
            <w:tcBorders>
              <w:top w:val="nil"/>
              <w:left w:val="single" w:color="auto" w:sz="4" w:space="0"/>
              <w:bottom w:val="single" w:color="auto" w:sz="4" w:space="0"/>
              <w:right w:val="single" w:color="auto" w:sz="4" w:space="0"/>
            </w:tcBorders>
            <w:vAlign w:val="center"/>
          </w:tcPr>
          <w:p w14:paraId="1796DA7C">
            <w:pPr>
              <w:adjustRightInd/>
              <w:snapToGrid/>
              <w:spacing w:after="0"/>
              <w:jc w:val="center"/>
              <w:rPr>
                <w:rFonts w:hint="eastAsia" w:ascii="仿宋_GB2312" w:hAnsi="仿宋_GB2312" w:eastAsia="仿宋_GB2312" w:cs="仿宋_GB2312"/>
                <w:color w:val="000000"/>
                <w:sz w:val="28"/>
                <w:szCs w:val="28"/>
              </w:rPr>
            </w:pPr>
          </w:p>
        </w:tc>
        <w:tc>
          <w:tcPr>
            <w:tcW w:w="1904" w:type="dxa"/>
            <w:vMerge w:val="continue"/>
            <w:tcBorders>
              <w:top w:val="nil"/>
              <w:left w:val="single" w:color="auto" w:sz="4" w:space="0"/>
              <w:bottom w:val="single" w:color="auto" w:sz="4" w:space="0"/>
              <w:right w:val="single" w:color="auto" w:sz="4" w:space="0"/>
            </w:tcBorders>
            <w:vAlign w:val="center"/>
          </w:tcPr>
          <w:p w14:paraId="1148725C">
            <w:pPr>
              <w:adjustRightInd/>
              <w:snapToGrid/>
              <w:spacing w:after="0"/>
              <w:jc w:val="center"/>
              <w:rPr>
                <w:rFonts w:hint="eastAsia" w:ascii="仿宋_GB2312" w:hAnsi="仿宋_GB2312" w:eastAsia="仿宋_GB2312" w:cs="仿宋_GB2312"/>
                <w:color w:val="000000"/>
                <w:sz w:val="28"/>
                <w:szCs w:val="28"/>
              </w:rPr>
            </w:pPr>
          </w:p>
        </w:tc>
        <w:tc>
          <w:tcPr>
            <w:tcW w:w="5325" w:type="dxa"/>
            <w:tcBorders>
              <w:top w:val="nil"/>
              <w:left w:val="nil"/>
              <w:bottom w:val="single" w:color="auto" w:sz="4" w:space="0"/>
              <w:right w:val="single" w:color="auto" w:sz="4" w:space="0"/>
            </w:tcBorders>
            <w:shd w:val="clear" w:color="auto" w:fill="auto"/>
            <w:vAlign w:val="center"/>
          </w:tcPr>
          <w:p w14:paraId="2357E673">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银行企业贷款不良率</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lang w:eastAsia="zh-CN"/>
              </w:rPr>
              <w:t>）</w:t>
            </w:r>
          </w:p>
        </w:tc>
      </w:tr>
      <w:tr w14:paraId="35827863">
        <w:tblPrEx>
          <w:tblCellMar>
            <w:top w:w="0" w:type="dxa"/>
            <w:left w:w="108" w:type="dxa"/>
            <w:bottom w:w="0" w:type="dxa"/>
            <w:right w:w="108" w:type="dxa"/>
          </w:tblCellMar>
        </w:tblPrEx>
        <w:trPr>
          <w:jc w:val="center"/>
        </w:trPr>
        <w:tc>
          <w:tcPr>
            <w:tcW w:w="1645" w:type="dxa"/>
            <w:vMerge w:val="continue"/>
            <w:tcBorders>
              <w:top w:val="nil"/>
              <w:left w:val="single" w:color="auto" w:sz="4" w:space="0"/>
              <w:bottom w:val="single" w:color="auto" w:sz="4" w:space="0"/>
              <w:right w:val="single" w:color="auto" w:sz="4" w:space="0"/>
            </w:tcBorders>
            <w:vAlign w:val="center"/>
          </w:tcPr>
          <w:p w14:paraId="29442A1E">
            <w:pPr>
              <w:adjustRightInd/>
              <w:snapToGrid/>
              <w:spacing w:after="0"/>
              <w:jc w:val="center"/>
              <w:rPr>
                <w:rFonts w:hint="eastAsia" w:ascii="仿宋_GB2312" w:hAnsi="仿宋_GB2312" w:eastAsia="仿宋_GB2312" w:cs="仿宋_GB2312"/>
                <w:color w:val="000000"/>
                <w:sz w:val="28"/>
                <w:szCs w:val="28"/>
              </w:rPr>
            </w:pPr>
          </w:p>
        </w:tc>
        <w:tc>
          <w:tcPr>
            <w:tcW w:w="1904" w:type="dxa"/>
            <w:vMerge w:val="continue"/>
            <w:tcBorders>
              <w:top w:val="nil"/>
              <w:left w:val="single" w:color="auto" w:sz="4" w:space="0"/>
              <w:bottom w:val="single" w:color="auto" w:sz="4" w:space="0"/>
              <w:right w:val="single" w:color="auto" w:sz="4" w:space="0"/>
            </w:tcBorders>
            <w:vAlign w:val="center"/>
          </w:tcPr>
          <w:p w14:paraId="37108CF4">
            <w:pPr>
              <w:adjustRightInd/>
              <w:snapToGrid/>
              <w:spacing w:after="0"/>
              <w:jc w:val="center"/>
              <w:rPr>
                <w:rFonts w:hint="eastAsia" w:ascii="仿宋_GB2312" w:hAnsi="仿宋_GB2312" w:eastAsia="仿宋_GB2312" w:cs="仿宋_GB2312"/>
                <w:color w:val="000000"/>
                <w:sz w:val="28"/>
                <w:szCs w:val="28"/>
              </w:rPr>
            </w:pPr>
          </w:p>
        </w:tc>
        <w:tc>
          <w:tcPr>
            <w:tcW w:w="5325" w:type="dxa"/>
            <w:tcBorders>
              <w:top w:val="nil"/>
              <w:left w:val="nil"/>
              <w:bottom w:val="single" w:color="auto" w:sz="4" w:space="0"/>
              <w:right w:val="single" w:color="auto" w:sz="4" w:space="0"/>
            </w:tcBorders>
            <w:shd w:val="clear" w:color="auto" w:fill="auto"/>
            <w:vAlign w:val="center"/>
          </w:tcPr>
          <w:p w14:paraId="10FC2E22">
            <w:pPr>
              <w:adjustRightInd/>
              <w:snapToGrid/>
              <w:spacing w:after="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银行个人贷款损失率</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2.5</w:t>
            </w:r>
            <w:r>
              <w:rPr>
                <w:rFonts w:hint="eastAsia" w:ascii="仿宋_GB2312" w:hAnsi="仿宋_GB2312" w:eastAsia="仿宋_GB2312" w:cs="仿宋_GB2312"/>
                <w:color w:val="000000"/>
                <w:sz w:val="28"/>
                <w:szCs w:val="28"/>
                <w:lang w:eastAsia="zh-CN"/>
              </w:rPr>
              <w:t>）</w:t>
            </w:r>
          </w:p>
        </w:tc>
      </w:tr>
    </w:tbl>
    <w:p w14:paraId="695143FB">
      <w:pPr>
        <w:tabs>
          <w:tab w:val="left" w:pos="1140"/>
        </w:tabs>
        <w:spacing w:after="0"/>
        <w:ind w:firstLine="378" w:firstLineChars="1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资料来源：张弢. 开展区域信用环境评价推动地方信用体系建设[J]. 征信, 2015(9):42-46.</w:t>
      </w:r>
    </w:p>
    <w:p w14:paraId="009FE8CD">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此外，肖瑞卿（2016）构建的地方政府信用指标体系亦有值得借鉴之处。作者在指标设置上分为三个部分进行考察，包括地方政府的管理水平、地方政府财政状况、地方政府牵头的重大项目。其中，对于地方政府的管理水平划分为履职能力与可持续能力两个方面，多层次</w:t>
      </w:r>
      <w:r>
        <w:rPr>
          <w:rFonts w:hint="eastAsia" w:ascii="仿宋_GB2312" w:hAnsi="仿宋_GB2312" w:eastAsia="仿宋_GB2312" w:cs="仿宋_GB2312"/>
          <w:kern w:val="2"/>
          <w:sz w:val="32"/>
          <w:szCs w:val="32"/>
          <w:lang w:eastAsia="zh-CN"/>
        </w:rPr>
        <w:t>地</w:t>
      </w:r>
      <w:r>
        <w:rPr>
          <w:rFonts w:hint="eastAsia" w:ascii="仿宋_GB2312" w:hAnsi="仿宋_GB2312" w:eastAsia="仿宋_GB2312" w:cs="仿宋_GB2312"/>
          <w:kern w:val="2"/>
          <w:sz w:val="32"/>
          <w:szCs w:val="32"/>
        </w:rPr>
        <w:t>分析了政府的市场监督职能、社会管理职能、政府人力资源状况、廉政能力以及行政效率。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6E7801"/>
    <w:rsid w:val="016E7801"/>
    <w:rsid w:val="33A04CF8"/>
    <w:rsid w:val="4AE47015"/>
    <w:rsid w:val="59FB7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kern w:val="0"/>
      <w:sz w:val="2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widowControl w:val="0"/>
      <w:adjustRightInd/>
      <w:snapToGrid/>
      <w:spacing w:after="0"/>
    </w:pPr>
    <w:rPr>
      <w:rFonts w:ascii="Calibri" w:hAnsi="Calibri" w:eastAsia="宋体" w:cs="Times New Roman"/>
      <w:kern w:val="2"/>
      <w:sz w:val="21"/>
    </w:rPr>
  </w:style>
  <w:style w:type="character" w:styleId="5">
    <w:name w:val="annotation reference"/>
    <w:basedOn w:val="4"/>
    <w:unhideWhenUsed/>
    <w:qFormat/>
    <w:uiPriority w:val="99"/>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1395</Words>
  <Characters>1836</Characters>
  <Lines>0</Lines>
  <Paragraphs>0</Paragraphs>
  <TotalTime>4</TotalTime>
  <ScaleCrop>false</ScaleCrop>
  <LinksUpToDate>false</LinksUpToDate>
  <CharactersWithSpaces>1839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2024-12-23T03:49:00Z</dcterms:created>
  <dc:creator>Roman.</dc:creator>
  <cp:lastModifiedBy>User</cp:lastModifiedBy>
  <dcterms:modified xsi:type="dcterms:W3CDTF">2025-10-22T06:56:59Z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CB6EA9D9259D4C1FB979507967DB7704_11</vt:lpwstr>
  </property>
  <property fmtid="{D5CDD505-2E9C-101B-9397-08002B2CF9AE}" pid="4" name="KSOTemplateDocerSaveRecord">
    <vt:lpwstr>eyJoZGlkIjoiMzEwNTM5NzYwMDRjMzkwZTVkZjY2ODkwMGIxNGU0OTUiLCJ1c2VySWQiOiI0MjQ4Mjc2MjgifQ==</vt:lpwstr>
  </property>
</Properties>
</file>