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8428">
      <w:pPr>
        <w:pStyle w:val="3"/>
        <w:spacing w:before="156" w:beforeLines="50" w:after="156" w:afterLines="50" w:line="440" w:lineRule="exact"/>
        <w:jc w:val="center"/>
        <w:rPr>
          <w:rFonts w:hint="eastAsia" w:ascii="黑体" w:hAnsi="Times New Roman" w:eastAsiaTheme="majorEastAsia"/>
          <w:b/>
          <w:lang w:val="en-US" w:eastAsia="zh-CN"/>
        </w:rPr>
      </w:pPr>
      <w:bookmarkStart w:id="0" w:name="_Toc256506308"/>
      <w:r>
        <w:rPr>
          <w:rFonts w:hint="eastAsia" w:ascii="黑体" w:hAnsi="Times New Roman"/>
          <w:b/>
        </w:rPr>
        <w:t>分离交易的可转换公司债券</w:t>
      </w:r>
      <w:bookmarkEnd w:id="0"/>
      <w:r>
        <w:rPr>
          <w:rFonts w:hint="eastAsia" w:ascii="黑体" w:hAnsi="Times New Roman"/>
          <w:b/>
          <w:lang w:val="en-US" w:eastAsia="zh-CN"/>
        </w:rPr>
        <w:t>分析</w:t>
      </w:r>
      <w:bookmarkStart w:id="14" w:name="_GoBack"/>
      <w:bookmarkEnd w:id="14"/>
    </w:p>
    <w:p w14:paraId="2048B4B2">
      <w:pPr>
        <w:pStyle w:val="4"/>
        <w:adjustRightInd w:val="0"/>
        <w:spacing w:before="156" w:beforeLines="50" w:after="156" w:afterLines="50" w:line="440" w:lineRule="exact"/>
        <w:ind w:firstLine="562" w:firstLineChars="200"/>
        <w:jc w:val="left"/>
        <w:rPr>
          <w:rFonts w:ascii="黑体" w:eastAsia="黑体"/>
          <w:b/>
          <w:sz w:val="28"/>
          <w:szCs w:val="28"/>
        </w:rPr>
      </w:pPr>
      <w:bookmarkStart w:id="1" w:name="_Toc256506309"/>
      <w:r>
        <w:rPr>
          <w:rFonts w:hint="eastAsia" w:ascii="黑体" w:eastAsia="黑体"/>
          <w:b/>
          <w:sz w:val="28"/>
          <w:szCs w:val="28"/>
        </w:rPr>
        <w:t>一、 发展概况</w:t>
      </w:r>
      <w:bookmarkEnd w:id="1"/>
    </w:p>
    <w:p w14:paraId="2048D30E">
      <w:pPr>
        <w:spacing w:line="360" w:lineRule="auto"/>
        <w:ind w:firstLine="480" w:firstLineChars="200"/>
        <w:rPr>
          <w:sz w:val="24"/>
        </w:rPr>
      </w:pPr>
      <w:r>
        <w:rPr>
          <w:rFonts w:hint="eastAsia" w:eastAsia="新宋体"/>
          <w:sz w:val="24"/>
        </w:rPr>
        <w:t>认股权和债券分离交易的可转换公司债券（以下简称“</w:t>
      </w:r>
      <w:r>
        <w:rPr>
          <w:sz w:val="24"/>
        </w:rPr>
        <w:t>分离交易的可转换公司债券</w:t>
      </w:r>
      <w:r>
        <w:rPr>
          <w:rFonts w:hint="eastAsia"/>
          <w:sz w:val="24"/>
        </w:rPr>
        <w:t>”）</w:t>
      </w:r>
      <w:r>
        <w:rPr>
          <w:sz w:val="24"/>
        </w:rPr>
        <w:t>是一种附认股权证的公司</w:t>
      </w:r>
      <w:r>
        <w:rPr>
          <w:rFonts w:hint="eastAsia"/>
          <w:sz w:val="24"/>
        </w:rPr>
        <w:t>债券</w:t>
      </w:r>
      <w:r>
        <w:rPr>
          <w:sz w:val="24"/>
        </w:rPr>
        <w:t>，可分离为纯</w:t>
      </w:r>
      <w:r>
        <w:rPr>
          <w:rFonts w:hint="eastAsia"/>
          <w:sz w:val="24"/>
        </w:rPr>
        <w:t>债券</w:t>
      </w:r>
      <w:r>
        <w:rPr>
          <w:sz w:val="24"/>
        </w:rPr>
        <w:t>和认股权证两部分，赋予了上市公司一次发行两次融资的机会。分离交易的可转换公司债券是债券和股票的混合融资品种，它与</w:t>
      </w:r>
      <w:r>
        <w:rPr>
          <w:rFonts w:hint="eastAsia"/>
          <w:sz w:val="24"/>
        </w:rPr>
        <w:t>可转换公司债券</w:t>
      </w:r>
      <w:r>
        <w:rPr>
          <w:sz w:val="24"/>
        </w:rPr>
        <w:t>的本质区别在于债券与期权可分离交易。2006年</w:t>
      </w:r>
      <w:r>
        <w:rPr>
          <w:rFonts w:hint="eastAsia"/>
          <w:sz w:val="24"/>
        </w:rPr>
        <w:t>5月6日</w:t>
      </w:r>
      <w:r>
        <w:rPr>
          <w:sz w:val="24"/>
        </w:rPr>
        <w:t>出台的《上市公司证券发行管理办法》</w:t>
      </w:r>
      <w:r>
        <w:rPr>
          <w:rFonts w:hint="eastAsia"/>
          <w:sz w:val="24"/>
        </w:rPr>
        <w:t>（</w:t>
      </w:r>
      <w:r>
        <w:rPr>
          <w:rFonts w:hint="eastAsia"/>
          <w:sz w:val="24"/>
        </w:rPr>
        <w:t>证监会令第30号</w:t>
      </w:r>
      <w:r>
        <w:rPr>
          <w:rFonts w:hint="eastAsia"/>
          <w:sz w:val="24"/>
        </w:rPr>
        <w:t>）</w:t>
      </w:r>
      <w:r>
        <w:rPr>
          <w:sz w:val="24"/>
        </w:rPr>
        <w:t>首次将分离交易的可转换公司债券列为上市公司再融资品种，并对其发行条件、发行程序、条款设定等方面作出较为具体的规定。</w:t>
      </w:r>
    </w:p>
    <w:p w14:paraId="24D57104">
      <w:pPr>
        <w:pStyle w:val="11"/>
        <w:spacing w:before="312" w:beforeLines="100"/>
        <w:jc w:val="center"/>
        <w:rPr>
          <w:rFonts w:ascii="Times New Roman" w:hAnsi="新宋体" w:eastAsia="新宋体" w:cs="Times New Roman"/>
          <w:sz w:val="21"/>
          <w:szCs w:val="21"/>
        </w:rPr>
      </w:pPr>
      <w:bookmarkStart w:id="2" w:name="_Toc256506478"/>
      <w:r>
        <w:rPr>
          <w:rFonts w:hint="eastAsia" w:ascii="Times New Roman" w:hAnsi="新宋体" w:eastAsia="新宋体" w:cs="Times New Roman"/>
          <w:sz w:val="21"/>
          <w:szCs w:val="21"/>
        </w:rPr>
        <w:t>表1  我国分离交易的可转换公司债券发行条件</w:t>
      </w:r>
      <w:bookmarkEnd w:id="2"/>
    </w:p>
    <w:p w14:paraId="2B5D7162">
      <w:pPr>
        <w:jc w:val="center"/>
      </w:pPr>
      <w:r>
        <w:rPr>
          <w:rFonts w:hint="eastAsia"/>
          <w:szCs w:val="21"/>
        </w:rPr>
        <w:t xml:space="preserve">Table 1  </w:t>
      </w:r>
      <w:r>
        <w:rPr>
          <w:rFonts w:hint="eastAsia"/>
        </w:rPr>
        <w:t>I</w:t>
      </w:r>
      <w:r>
        <w:t>ssue terms of China's</w:t>
      </w:r>
      <w:r>
        <w:rPr>
          <w:rFonts w:hint="eastAsia"/>
        </w:rPr>
        <w:t xml:space="preserve"> </w:t>
      </w:r>
      <w:r>
        <w:rPr>
          <w:rFonts w:hint="eastAsia"/>
          <w:szCs w:val="21"/>
        </w:rPr>
        <w:t>w</w:t>
      </w:r>
      <w:r>
        <w:rPr>
          <w:szCs w:val="21"/>
        </w:rPr>
        <w:t xml:space="preserve">arrant </w:t>
      </w:r>
      <w:r>
        <w:rPr>
          <w:rFonts w:hint="eastAsia"/>
        </w:rPr>
        <w:t>b</w:t>
      </w:r>
      <w:r>
        <w:t>onds</w:t>
      </w:r>
    </w:p>
    <w:tbl>
      <w:tblPr>
        <w:tblStyle w:val="18"/>
        <w:tblW w:w="5000" w:type="pct"/>
        <w:tblInd w:w="0" w:type="dxa"/>
        <w:tblLayout w:type="autofit"/>
        <w:tblCellMar>
          <w:top w:w="0" w:type="dxa"/>
          <w:left w:w="108" w:type="dxa"/>
          <w:bottom w:w="0" w:type="dxa"/>
          <w:right w:w="108" w:type="dxa"/>
        </w:tblCellMar>
      </w:tblPr>
      <w:tblGrid>
        <w:gridCol w:w="718"/>
        <w:gridCol w:w="7804"/>
      </w:tblGrid>
      <w:tr w14:paraId="602E5684">
        <w:tblPrEx>
          <w:tblCellMar>
            <w:top w:w="0" w:type="dxa"/>
            <w:left w:w="108" w:type="dxa"/>
            <w:bottom w:w="0" w:type="dxa"/>
            <w:right w:w="108" w:type="dxa"/>
          </w:tblCellMar>
        </w:tblPrEx>
        <w:tc>
          <w:tcPr>
            <w:tcW w:w="5000" w:type="pct"/>
            <w:gridSpan w:val="2"/>
            <w:tcBorders>
              <w:top w:val="single" w:color="auto" w:sz="4" w:space="0"/>
              <w:bottom w:val="single" w:color="auto" w:sz="4" w:space="0"/>
            </w:tcBorders>
            <w:vAlign w:val="center"/>
          </w:tcPr>
          <w:p w14:paraId="3AD388A8">
            <w:pPr>
              <w:rPr>
                <w:rFonts w:ascii="新宋体" w:hAnsi="新宋体" w:eastAsia="新宋体"/>
                <w:szCs w:val="21"/>
              </w:rPr>
            </w:pPr>
            <w:r>
              <w:rPr>
                <w:rFonts w:hint="eastAsia" w:ascii="新宋体" w:hAnsi="新宋体" w:eastAsia="新宋体"/>
                <w:szCs w:val="21"/>
              </w:rPr>
              <w:t>发行条件</w:t>
            </w:r>
          </w:p>
        </w:tc>
      </w:tr>
      <w:tr w14:paraId="1E0720D6">
        <w:tblPrEx>
          <w:tblCellMar>
            <w:top w:w="0" w:type="dxa"/>
            <w:left w:w="108" w:type="dxa"/>
            <w:bottom w:w="0" w:type="dxa"/>
            <w:right w:w="108" w:type="dxa"/>
          </w:tblCellMar>
        </w:tblPrEx>
        <w:tc>
          <w:tcPr>
            <w:tcW w:w="421" w:type="pct"/>
            <w:vMerge w:val="restart"/>
            <w:tcBorders>
              <w:top w:val="single" w:color="auto" w:sz="4" w:space="0"/>
            </w:tcBorders>
            <w:vAlign w:val="center"/>
          </w:tcPr>
          <w:p w14:paraId="6CB9FCB6">
            <w:pPr>
              <w:rPr>
                <w:rFonts w:ascii="新宋体" w:hAnsi="新宋体" w:eastAsia="新宋体"/>
                <w:sz w:val="18"/>
                <w:szCs w:val="18"/>
              </w:rPr>
            </w:pPr>
            <w:r>
              <w:rPr>
                <w:rFonts w:hint="eastAsia" w:ascii="新宋体" w:hAnsi="新宋体" w:eastAsia="新宋体"/>
                <w:sz w:val="18"/>
                <w:szCs w:val="18"/>
              </w:rPr>
              <w:t>一般</w:t>
            </w:r>
          </w:p>
          <w:p w14:paraId="3620CE80">
            <w:pPr>
              <w:rPr>
                <w:rFonts w:ascii="新宋体" w:hAnsi="新宋体" w:eastAsia="新宋体"/>
                <w:sz w:val="18"/>
                <w:szCs w:val="18"/>
              </w:rPr>
            </w:pPr>
            <w:r>
              <w:rPr>
                <w:rFonts w:hint="eastAsia" w:ascii="新宋体" w:hAnsi="新宋体" w:eastAsia="新宋体"/>
                <w:sz w:val="18"/>
                <w:szCs w:val="18"/>
              </w:rPr>
              <w:t>条件</w:t>
            </w:r>
          </w:p>
        </w:tc>
        <w:tc>
          <w:tcPr>
            <w:tcW w:w="4579" w:type="pct"/>
            <w:tcBorders>
              <w:top w:val="single" w:color="auto" w:sz="4" w:space="0"/>
            </w:tcBorders>
            <w:vAlign w:val="center"/>
          </w:tcPr>
          <w:p w14:paraId="239ECC0F">
            <w:pPr>
              <w:rPr>
                <w:sz w:val="18"/>
                <w:szCs w:val="18"/>
              </w:rPr>
            </w:pPr>
            <w:r>
              <w:rPr>
                <w:rFonts w:hint="eastAsia" w:ascii="新宋体" w:hAnsi="新宋体" w:eastAsia="新宋体"/>
                <w:sz w:val="18"/>
                <w:szCs w:val="18"/>
              </w:rPr>
              <w:t>①上市公司与控股股东或实际控制人的人员、资产、财务分开，机构、业务独立，能够自主经营管理；</w:t>
            </w:r>
          </w:p>
        </w:tc>
      </w:tr>
      <w:tr w14:paraId="6D8F8EB0">
        <w:tblPrEx>
          <w:tblCellMar>
            <w:top w:w="0" w:type="dxa"/>
            <w:left w:w="108" w:type="dxa"/>
            <w:bottom w:w="0" w:type="dxa"/>
            <w:right w:w="108" w:type="dxa"/>
          </w:tblCellMar>
        </w:tblPrEx>
        <w:tc>
          <w:tcPr>
            <w:tcW w:w="421" w:type="pct"/>
            <w:vMerge w:val="continue"/>
            <w:vAlign w:val="center"/>
          </w:tcPr>
          <w:p w14:paraId="12836CDD">
            <w:pPr>
              <w:rPr>
                <w:rFonts w:ascii="新宋体" w:hAnsi="新宋体" w:eastAsia="新宋体"/>
                <w:sz w:val="18"/>
                <w:szCs w:val="18"/>
              </w:rPr>
            </w:pPr>
          </w:p>
        </w:tc>
        <w:tc>
          <w:tcPr>
            <w:tcW w:w="4579" w:type="pct"/>
            <w:vAlign w:val="center"/>
          </w:tcPr>
          <w:p w14:paraId="56F419D3">
            <w:pPr>
              <w:rPr>
                <w:sz w:val="18"/>
                <w:szCs w:val="18"/>
              </w:rPr>
            </w:pPr>
            <w:r>
              <w:rPr>
                <w:rFonts w:hint="eastAsia" w:ascii="新宋体" w:hAnsi="新宋体" w:eastAsia="新宋体"/>
                <w:sz w:val="18"/>
                <w:szCs w:val="18"/>
              </w:rPr>
              <w:t>②最近十二个月内不存在违规对外提供担保的行为；</w:t>
            </w:r>
          </w:p>
        </w:tc>
      </w:tr>
      <w:tr w14:paraId="5C2A320C">
        <w:tblPrEx>
          <w:tblCellMar>
            <w:top w:w="0" w:type="dxa"/>
            <w:left w:w="108" w:type="dxa"/>
            <w:bottom w:w="0" w:type="dxa"/>
            <w:right w:w="108" w:type="dxa"/>
          </w:tblCellMar>
        </w:tblPrEx>
        <w:tc>
          <w:tcPr>
            <w:tcW w:w="421" w:type="pct"/>
            <w:vMerge w:val="continue"/>
            <w:vAlign w:val="center"/>
          </w:tcPr>
          <w:p w14:paraId="3761EA60">
            <w:pPr>
              <w:rPr>
                <w:rFonts w:ascii="新宋体" w:hAnsi="新宋体" w:eastAsia="新宋体"/>
                <w:sz w:val="18"/>
                <w:szCs w:val="18"/>
              </w:rPr>
            </w:pPr>
          </w:p>
        </w:tc>
        <w:tc>
          <w:tcPr>
            <w:tcW w:w="4579" w:type="pct"/>
            <w:vAlign w:val="center"/>
          </w:tcPr>
          <w:p w14:paraId="42694934">
            <w:pPr>
              <w:rPr>
                <w:sz w:val="18"/>
                <w:szCs w:val="18"/>
              </w:rPr>
            </w:pPr>
            <w:r>
              <w:rPr>
                <w:rFonts w:hint="eastAsia" w:ascii="新宋体" w:hAnsi="新宋体" w:eastAsia="新宋体"/>
                <w:sz w:val="18"/>
                <w:szCs w:val="18"/>
              </w:rPr>
              <w:t>③最近三个会计年度连续盈利。扣除非经常性损益后的净利润与扣除前的净利润相比，以低者作为计算依据；</w:t>
            </w:r>
          </w:p>
        </w:tc>
      </w:tr>
      <w:tr w14:paraId="2AD1EAC3">
        <w:tblPrEx>
          <w:tblCellMar>
            <w:top w:w="0" w:type="dxa"/>
            <w:left w:w="108" w:type="dxa"/>
            <w:bottom w:w="0" w:type="dxa"/>
            <w:right w:w="108" w:type="dxa"/>
          </w:tblCellMar>
        </w:tblPrEx>
        <w:tc>
          <w:tcPr>
            <w:tcW w:w="421" w:type="pct"/>
            <w:vMerge w:val="continue"/>
            <w:vAlign w:val="center"/>
          </w:tcPr>
          <w:p w14:paraId="59CECE40">
            <w:pPr>
              <w:rPr>
                <w:rFonts w:ascii="新宋体" w:hAnsi="新宋体" w:eastAsia="新宋体"/>
                <w:sz w:val="18"/>
                <w:szCs w:val="18"/>
              </w:rPr>
            </w:pPr>
          </w:p>
        </w:tc>
        <w:tc>
          <w:tcPr>
            <w:tcW w:w="4579" w:type="pct"/>
            <w:vAlign w:val="center"/>
          </w:tcPr>
          <w:p w14:paraId="6DCB498F">
            <w:pPr>
              <w:rPr>
                <w:sz w:val="18"/>
                <w:szCs w:val="18"/>
              </w:rPr>
            </w:pPr>
            <w:r>
              <w:rPr>
                <w:rFonts w:hint="eastAsia" w:ascii="新宋体" w:hAnsi="新宋体" w:eastAsia="新宋体"/>
                <w:sz w:val="18"/>
                <w:szCs w:val="18"/>
              </w:rPr>
              <w:t>④业务和盈利来源相对稳定，不存在严重依赖于控股股东、实际控制人的情形；</w:t>
            </w:r>
          </w:p>
        </w:tc>
      </w:tr>
      <w:tr w14:paraId="6C45C68A">
        <w:tblPrEx>
          <w:tblCellMar>
            <w:top w:w="0" w:type="dxa"/>
            <w:left w:w="108" w:type="dxa"/>
            <w:bottom w:w="0" w:type="dxa"/>
            <w:right w:w="108" w:type="dxa"/>
          </w:tblCellMar>
        </w:tblPrEx>
        <w:tc>
          <w:tcPr>
            <w:tcW w:w="421" w:type="pct"/>
            <w:vMerge w:val="continue"/>
            <w:vAlign w:val="center"/>
          </w:tcPr>
          <w:p w14:paraId="5227FF66">
            <w:pPr>
              <w:rPr>
                <w:rFonts w:ascii="新宋体" w:hAnsi="新宋体" w:eastAsia="新宋体"/>
                <w:sz w:val="18"/>
                <w:szCs w:val="18"/>
              </w:rPr>
            </w:pPr>
          </w:p>
        </w:tc>
        <w:tc>
          <w:tcPr>
            <w:tcW w:w="4579" w:type="pct"/>
            <w:vAlign w:val="center"/>
          </w:tcPr>
          <w:p w14:paraId="637DCD9C">
            <w:pPr>
              <w:rPr>
                <w:sz w:val="18"/>
                <w:szCs w:val="18"/>
              </w:rPr>
            </w:pPr>
            <w:r>
              <w:rPr>
                <w:rFonts w:hint="eastAsia" w:ascii="新宋体" w:hAnsi="新宋体" w:eastAsia="新宋体"/>
                <w:sz w:val="18"/>
                <w:szCs w:val="18"/>
              </w:rPr>
              <w:t>⑤高级管理人员和核心技术人员稳定，最近12个月内未发生重大不利变化；</w:t>
            </w:r>
          </w:p>
        </w:tc>
      </w:tr>
      <w:tr w14:paraId="4678A8A9">
        <w:tblPrEx>
          <w:tblCellMar>
            <w:top w:w="0" w:type="dxa"/>
            <w:left w:w="108" w:type="dxa"/>
            <w:bottom w:w="0" w:type="dxa"/>
            <w:right w:w="108" w:type="dxa"/>
          </w:tblCellMar>
        </w:tblPrEx>
        <w:tc>
          <w:tcPr>
            <w:tcW w:w="421" w:type="pct"/>
            <w:vMerge w:val="continue"/>
            <w:vAlign w:val="center"/>
          </w:tcPr>
          <w:p w14:paraId="4BDE996A">
            <w:pPr>
              <w:rPr>
                <w:rFonts w:ascii="新宋体" w:hAnsi="新宋体" w:eastAsia="新宋体"/>
                <w:sz w:val="18"/>
                <w:szCs w:val="18"/>
              </w:rPr>
            </w:pPr>
          </w:p>
        </w:tc>
        <w:tc>
          <w:tcPr>
            <w:tcW w:w="4579" w:type="pct"/>
            <w:vAlign w:val="center"/>
          </w:tcPr>
          <w:p w14:paraId="35B045F5">
            <w:pPr>
              <w:rPr>
                <w:sz w:val="18"/>
                <w:szCs w:val="18"/>
              </w:rPr>
            </w:pPr>
            <w:r>
              <w:rPr>
                <w:rFonts w:hint="eastAsia" w:ascii="新宋体" w:hAnsi="新宋体" w:eastAsia="新宋体"/>
                <w:sz w:val="18"/>
                <w:szCs w:val="18"/>
              </w:rPr>
              <w:t>⑥公司重要资产、核心技术或其他重大权益的取得合法，能够持续使用，不存在现实或可预见的重大不利变化；</w:t>
            </w:r>
          </w:p>
        </w:tc>
      </w:tr>
      <w:tr w14:paraId="2621A746">
        <w:tblPrEx>
          <w:tblCellMar>
            <w:top w:w="0" w:type="dxa"/>
            <w:left w:w="108" w:type="dxa"/>
            <w:bottom w:w="0" w:type="dxa"/>
            <w:right w:w="108" w:type="dxa"/>
          </w:tblCellMar>
        </w:tblPrEx>
        <w:tc>
          <w:tcPr>
            <w:tcW w:w="421" w:type="pct"/>
            <w:vMerge w:val="continue"/>
            <w:vAlign w:val="center"/>
          </w:tcPr>
          <w:p w14:paraId="1DEB4160">
            <w:pPr>
              <w:rPr>
                <w:rFonts w:ascii="新宋体" w:hAnsi="新宋体" w:eastAsia="新宋体"/>
                <w:sz w:val="18"/>
                <w:szCs w:val="18"/>
              </w:rPr>
            </w:pPr>
          </w:p>
        </w:tc>
        <w:tc>
          <w:tcPr>
            <w:tcW w:w="4579" w:type="pct"/>
            <w:vAlign w:val="center"/>
          </w:tcPr>
          <w:p w14:paraId="6537BB84">
            <w:pPr>
              <w:rPr>
                <w:sz w:val="18"/>
                <w:szCs w:val="18"/>
              </w:rPr>
            </w:pPr>
            <w:r>
              <w:rPr>
                <w:rFonts w:hint="eastAsia" w:ascii="新宋体" w:hAnsi="新宋体" w:eastAsia="新宋体"/>
                <w:sz w:val="18"/>
                <w:szCs w:val="18"/>
              </w:rPr>
              <w:t>⑦最近二十四个月内曾公开发行证券的，不存在发行当年营业利润比上年下降百分之五十以上的情形；</w:t>
            </w:r>
          </w:p>
        </w:tc>
      </w:tr>
      <w:tr w14:paraId="06B2A479">
        <w:tblPrEx>
          <w:tblCellMar>
            <w:top w:w="0" w:type="dxa"/>
            <w:left w:w="108" w:type="dxa"/>
            <w:bottom w:w="0" w:type="dxa"/>
            <w:right w:w="108" w:type="dxa"/>
          </w:tblCellMar>
        </w:tblPrEx>
        <w:tc>
          <w:tcPr>
            <w:tcW w:w="421" w:type="pct"/>
            <w:vMerge w:val="continue"/>
            <w:vAlign w:val="center"/>
          </w:tcPr>
          <w:p w14:paraId="741AE69E">
            <w:pPr>
              <w:rPr>
                <w:rFonts w:ascii="新宋体" w:hAnsi="新宋体" w:eastAsia="新宋体"/>
                <w:sz w:val="18"/>
                <w:szCs w:val="18"/>
              </w:rPr>
            </w:pPr>
          </w:p>
        </w:tc>
        <w:tc>
          <w:tcPr>
            <w:tcW w:w="4579" w:type="pct"/>
            <w:vAlign w:val="center"/>
          </w:tcPr>
          <w:p w14:paraId="470E3276">
            <w:pPr>
              <w:rPr>
                <w:sz w:val="18"/>
                <w:szCs w:val="18"/>
              </w:rPr>
            </w:pPr>
            <w:r>
              <w:rPr>
                <w:rFonts w:hint="eastAsia" w:ascii="新宋体" w:hAnsi="新宋体" w:eastAsia="新宋体"/>
                <w:sz w:val="18"/>
                <w:szCs w:val="18"/>
              </w:rPr>
              <w:t>⑧最近三年及一期财务报表未被注册会计师出具保留意见、否定意见或无法表示意见的审计报告；被注册会计师出具带强调事项段的无保留意见审计报告的，所涉及的事项对发行人无重大不利影响或者在发行前重大不利影响已经消除；</w:t>
            </w:r>
          </w:p>
        </w:tc>
      </w:tr>
      <w:tr w14:paraId="67D39A9C">
        <w:tblPrEx>
          <w:tblCellMar>
            <w:top w:w="0" w:type="dxa"/>
            <w:left w:w="108" w:type="dxa"/>
            <w:bottom w:w="0" w:type="dxa"/>
            <w:right w:w="108" w:type="dxa"/>
          </w:tblCellMar>
        </w:tblPrEx>
        <w:tc>
          <w:tcPr>
            <w:tcW w:w="421" w:type="pct"/>
            <w:vMerge w:val="continue"/>
            <w:vAlign w:val="center"/>
          </w:tcPr>
          <w:p w14:paraId="0E5C7400">
            <w:pPr>
              <w:adjustRightInd w:val="0"/>
              <w:rPr>
                <w:rFonts w:ascii="新宋体" w:hAnsi="新宋体" w:eastAsia="新宋体"/>
                <w:sz w:val="18"/>
                <w:szCs w:val="18"/>
              </w:rPr>
            </w:pPr>
          </w:p>
        </w:tc>
        <w:tc>
          <w:tcPr>
            <w:tcW w:w="4579" w:type="pct"/>
            <w:vAlign w:val="center"/>
          </w:tcPr>
          <w:p w14:paraId="0BDAE6C4">
            <w:pPr>
              <w:adjustRightInd w:val="0"/>
              <w:rPr>
                <w:rFonts w:ascii="新宋体" w:hAnsi="新宋体" w:eastAsia="新宋体"/>
                <w:sz w:val="18"/>
                <w:szCs w:val="18"/>
              </w:rPr>
            </w:pPr>
            <w:r>
              <w:rPr>
                <w:rFonts w:hint="eastAsia" w:ascii="新宋体" w:hAnsi="新宋体" w:eastAsia="新宋体"/>
                <w:sz w:val="18"/>
                <w:szCs w:val="18"/>
              </w:rPr>
              <w:t>⑨</w:t>
            </w:r>
            <w:r>
              <w:rPr>
                <w:rFonts w:ascii="新宋体" w:hAnsi="新宋体" w:eastAsia="新宋体"/>
                <w:sz w:val="18"/>
                <w:szCs w:val="18"/>
              </w:rPr>
              <w:t>最近三年以现金方式累计分配的利润不少于最近三年实现的年均可分配利润的百分之三十</w:t>
            </w:r>
            <w:r>
              <w:rPr>
                <w:rFonts w:hint="eastAsia" w:ascii="新宋体" w:hAnsi="新宋体" w:eastAsia="新宋体"/>
                <w:sz w:val="18"/>
                <w:szCs w:val="18"/>
              </w:rPr>
              <w:t>。</w:t>
            </w:r>
          </w:p>
        </w:tc>
      </w:tr>
      <w:tr w14:paraId="2D9C59F1">
        <w:tblPrEx>
          <w:tblCellMar>
            <w:top w:w="0" w:type="dxa"/>
            <w:left w:w="108" w:type="dxa"/>
            <w:bottom w:w="0" w:type="dxa"/>
            <w:right w:w="108" w:type="dxa"/>
          </w:tblCellMar>
        </w:tblPrEx>
        <w:tc>
          <w:tcPr>
            <w:tcW w:w="421" w:type="pct"/>
            <w:vMerge w:val="restart"/>
            <w:tcBorders>
              <w:bottom w:val="single" w:color="auto" w:sz="4" w:space="0"/>
            </w:tcBorders>
            <w:vAlign w:val="center"/>
          </w:tcPr>
          <w:p w14:paraId="3BDF2F5C">
            <w:pPr>
              <w:rPr>
                <w:sz w:val="18"/>
                <w:szCs w:val="18"/>
              </w:rPr>
            </w:pPr>
            <w:r>
              <w:rPr>
                <w:rFonts w:hint="eastAsia"/>
                <w:sz w:val="18"/>
                <w:szCs w:val="18"/>
              </w:rPr>
              <w:t>特定</w:t>
            </w:r>
          </w:p>
          <w:p w14:paraId="7C28AA58">
            <w:pPr>
              <w:rPr>
                <w:sz w:val="18"/>
                <w:szCs w:val="18"/>
              </w:rPr>
            </w:pPr>
            <w:r>
              <w:rPr>
                <w:rFonts w:hint="eastAsia"/>
                <w:sz w:val="18"/>
                <w:szCs w:val="18"/>
              </w:rPr>
              <w:t>条件</w:t>
            </w:r>
          </w:p>
        </w:tc>
        <w:tc>
          <w:tcPr>
            <w:tcW w:w="4579" w:type="pct"/>
            <w:vAlign w:val="center"/>
          </w:tcPr>
          <w:p w14:paraId="3F1BEE93">
            <w:pPr>
              <w:rPr>
                <w:sz w:val="18"/>
                <w:szCs w:val="18"/>
              </w:rPr>
            </w:pPr>
            <w:r>
              <w:rPr>
                <w:rFonts w:hint="eastAsia" w:ascii="新宋体" w:hAnsi="新宋体" w:eastAsia="新宋体"/>
                <w:sz w:val="18"/>
                <w:szCs w:val="18"/>
              </w:rPr>
              <w:t>①公司最近一期末经审计的净资产不低于人民币十五亿元；</w:t>
            </w:r>
          </w:p>
        </w:tc>
      </w:tr>
      <w:tr w14:paraId="2538A71D">
        <w:tblPrEx>
          <w:tblCellMar>
            <w:top w:w="0" w:type="dxa"/>
            <w:left w:w="108" w:type="dxa"/>
            <w:bottom w:w="0" w:type="dxa"/>
            <w:right w:w="108" w:type="dxa"/>
          </w:tblCellMar>
        </w:tblPrEx>
        <w:tc>
          <w:tcPr>
            <w:tcW w:w="421" w:type="pct"/>
            <w:vMerge w:val="continue"/>
            <w:tcBorders>
              <w:bottom w:val="single" w:color="auto" w:sz="4" w:space="0"/>
            </w:tcBorders>
            <w:vAlign w:val="center"/>
          </w:tcPr>
          <w:p w14:paraId="6233328A">
            <w:pPr>
              <w:rPr>
                <w:sz w:val="18"/>
                <w:szCs w:val="18"/>
              </w:rPr>
            </w:pPr>
          </w:p>
        </w:tc>
        <w:tc>
          <w:tcPr>
            <w:tcW w:w="4579" w:type="pct"/>
            <w:vAlign w:val="center"/>
          </w:tcPr>
          <w:p w14:paraId="6126B69E">
            <w:pPr>
              <w:rPr>
                <w:sz w:val="18"/>
                <w:szCs w:val="18"/>
              </w:rPr>
            </w:pPr>
            <w:r>
              <w:rPr>
                <w:rFonts w:hint="eastAsia" w:ascii="新宋体" w:hAnsi="新宋体" w:eastAsia="新宋体"/>
                <w:sz w:val="18"/>
                <w:szCs w:val="18"/>
              </w:rPr>
              <w:t>②最近三个会计年度实现的年均可分配利润不少于公司债券一年的利息；</w:t>
            </w:r>
          </w:p>
        </w:tc>
      </w:tr>
      <w:tr w14:paraId="311AF2DD">
        <w:tblPrEx>
          <w:tblCellMar>
            <w:top w:w="0" w:type="dxa"/>
            <w:left w:w="108" w:type="dxa"/>
            <w:bottom w:w="0" w:type="dxa"/>
            <w:right w:w="108" w:type="dxa"/>
          </w:tblCellMar>
        </w:tblPrEx>
        <w:tc>
          <w:tcPr>
            <w:tcW w:w="421" w:type="pct"/>
            <w:vMerge w:val="continue"/>
            <w:tcBorders>
              <w:bottom w:val="single" w:color="auto" w:sz="4" w:space="0"/>
            </w:tcBorders>
            <w:vAlign w:val="center"/>
          </w:tcPr>
          <w:p w14:paraId="096FC39A">
            <w:pPr>
              <w:rPr>
                <w:sz w:val="18"/>
                <w:szCs w:val="18"/>
              </w:rPr>
            </w:pPr>
          </w:p>
        </w:tc>
        <w:tc>
          <w:tcPr>
            <w:tcW w:w="4579" w:type="pct"/>
            <w:vAlign w:val="center"/>
          </w:tcPr>
          <w:p w14:paraId="1FAFAA0A">
            <w:pPr>
              <w:rPr>
                <w:sz w:val="18"/>
                <w:szCs w:val="18"/>
              </w:rPr>
            </w:pPr>
            <w:r>
              <w:rPr>
                <w:rFonts w:hint="eastAsia" w:ascii="新宋体" w:hAnsi="新宋体" w:eastAsia="新宋体"/>
                <w:sz w:val="18"/>
                <w:szCs w:val="18"/>
              </w:rPr>
              <w:t>③最近三个会计年度经营活动产生的现金流量净额平均不少于公司债券一年的利息，近三年加权平均净资产收益率超过6%的公司除外；</w:t>
            </w:r>
          </w:p>
        </w:tc>
      </w:tr>
      <w:tr w14:paraId="4E547F23">
        <w:tblPrEx>
          <w:tblCellMar>
            <w:top w:w="0" w:type="dxa"/>
            <w:left w:w="108" w:type="dxa"/>
            <w:bottom w:w="0" w:type="dxa"/>
            <w:right w:w="108" w:type="dxa"/>
          </w:tblCellMar>
        </w:tblPrEx>
        <w:tc>
          <w:tcPr>
            <w:tcW w:w="421" w:type="pct"/>
            <w:vMerge w:val="continue"/>
            <w:tcBorders>
              <w:bottom w:val="single" w:color="auto" w:sz="4" w:space="0"/>
            </w:tcBorders>
            <w:vAlign w:val="center"/>
          </w:tcPr>
          <w:p w14:paraId="71E3C8B9">
            <w:pPr>
              <w:rPr>
                <w:sz w:val="18"/>
                <w:szCs w:val="18"/>
              </w:rPr>
            </w:pPr>
          </w:p>
        </w:tc>
        <w:tc>
          <w:tcPr>
            <w:tcW w:w="4579" w:type="pct"/>
            <w:tcBorders>
              <w:bottom w:val="single" w:color="auto" w:sz="4" w:space="0"/>
            </w:tcBorders>
            <w:vAlign w:val="center"/>
          </w:tcPr>
          <w:p w14:paraId="4A984323">
            <w:pPr>
              <w:rPr>
                <w:sz w:val="18"/>
                <w:szCs w:val="18"/>
              </w:rPr>
            </w:pPr>
            <w:r>
              <w:rPr>
                <w:rFonts w:hint="eastAsia" w:ascii="新宋体" w:hAnsi="新宋体" w:eastAsia="新宋体"/>
                <w:sz w:val="18"/>
                <w:szCs w:val="18"/>
              </w:rPr>
              <w:t>④本次发行后累计公司债券余额不超过最近一期末净资产额的百分之四十，预计所附认股权全部行权后募集的资金总量不超过拟发行公司债券金额。</w:t>
            </w:r>
          </w:p>
        </w:tc>
      </w:tr>
    </w:tbl>
    <w:p w14:paraId="1A9E515C">
      <w:pPr>
        <w:spacing w:before="312" w:beforeLines="100" w:after="312" w:afterLines="100" w:line="440" w:lineRule="exact"/>
        <w:ind w:firstLine="480" w:firstLineChars="200"/>
        <w:rPr>
          <w:rFonts w:eastAsia="黑体"/>
          <w:sz w:val="28"/>
          <w:szCs w:val="28"/>
        </w:rPr>
      </w:pPr>
      <w:r>
        <w:rPr>
          <w:rFonts w:hint="eastAsia" w:eastAsia="新宋体"/>
          <w:sz w:val="24"/>
        </w:rPr>
        <w:t>自2006年11月29日我国首只分离交易的可转换公司债券——06马钢债上市交易以来，截至2009年12月31日，我国一共发行了21期分离交易的可转换公司债券，发行总规模为950.65亿元，各年发行期数及发行规模见下图。</w:t>
      </w:r>
    </w:p>
    <w:p w14:paraId="46A402A0">
      <w:pPr>
        <w:jc w:val="center"/>
        <w:rPr>
          <w:sz w:val="24"/>
        </w:rPr>
      </w:pPr>
      <w:r>
        <w:drawing>
          <wp:inline distT="0" distB="0" distL="0" distR="0">
            <wp:extent cx="4797425" cy="2399030"/>
            <wp:effectExtent l="0" t="0" r="0" b="0"/>
            <wp:docPr id="202453129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31290"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97425" cy="2399030"/>
                    </a:xfrm>
                    <a:prstGeom prst="rect">
                      <a:avLst/>
                    </a:prstGeom>
                    <a:noFill/>
                    <a:ln>
                      <a:noFill/>
                    </a:ln>
                  </pic:spPr>
                </pic:pic>
              </a:graphicData>
            </a:graphic>
          </wp:inline>
        </w:drawing>
      </w:r>
    </w:p>
    <w:p w14:paraId="1D05838D">
      <w:pPr>
        <w:pStyle w:val="11"/>
        <w:jc w:val="center"/>
        <w:rPr>
          <w:rFonts w:ascii="Times New Roman" w:hAnsi="新宋体" w:eastAsia="新宋体" w:cs="Times New Roman"/>
          <w:sz w:val="21"/>
          <w:szCs w:val="21"/>
        </w:rPr>
      </w:pPr>
      <w:bookmarkStart w:id="3" w:name="_Toc256507148"/>
      <w:r>
        <w:rPr>
          <w:rFonts w:hint="eastAsia" w:ascii="Times New Roman" w:hAnsi="新宋体" w:eastAsia="新宋体" w:cs="Times New Roman"/>
          <w:sz w:val="21"/>
          <w:szCs w:val="21"/>
        </w:rPr>
        <w:t>图1  1998-2009年我国分离交易的可转换公司债券发行期数及发行规模</w:t>
      </w:r>
      <w:bookmarkEnd w:id="3"/>
    </w:p>
    <w:p w14:paraId="77948060">
      <w:pPr>
        <w:jc w:val="center"/>
      </w:pPr>
      <w:r>
        <w:rPr>
          <w:rFonts w:eastAsia="新宋体"/>
          <w:bCs/>
          <w:kern w:val="0"/>
          <w:szCs w:val="21"/>
        </w:rPr>
        <w:t xml:space="preserve">Figure </w:t>
      </w:r>
      <w:r>
        <w:rPr>
          <w:rFonts w:hint="eastAsia" w:eastAsia="新宋体"/>
          <w:bCs/>
          <w:kern w:val="0"/>
          <w:szCs w:val="21"/>
        </w:rPr>
        <w:t>1</w:t>
      </w:r>
      <w:r>
        <w:rPr>
          <w:rFonts w:eastAsia="新宋体"/>
          <w:bCs/>
          <w:kern w:val="0"/>
          <w:szCs w:val="21"/>
        </w:rPr>
        <w:t xml:space="preserve">  </w:t>
      </w:r>
      <w:r>
        <w:rPr>
          <w:rFonts w:hint="eastAsia"/>
        </w:rPr>
        <w:t>I</w:t>
      </w:r>
      <w:r>
        <w:t xml:space="preserve">ssue number and issue size </w:t>
      </w:r>
      <w:r>
        <w:rPr>
          <w:rFonts w:hint="eastAsia"/>
        </w:rPr>
        <w:t xml:space="preserve">of </w:t>
      </w:r>
      <w:r>
        <w:t xml:space="preserve">China's </w:t>
      </w:r>
      <w:r>
        <w:rPr>
          <w:rFonts w:hint="eastAsia"/>
        </w:rPr>
        <w:t>w</w:t>
      </w:r>
      <w:r>
        <w:t xml:space="preserve">arrant </w:t>
      </w:r>
      <w:r>
        <w:rPr>
          <w:rFonts w:hint="eastAsia"/>
        </w:rPr>
        <w:t>b</w:t>
      </w:r>
      <w:r>
        <w:t>onds</w:t>
      </w:r>
    </w:p>
    <w:p w14:paraId="170DE002">
      <w:pPr>
        <w:spacing w:after="312" w:afterLines="100"/>
        <w:jc w:val="center"/>
      </w:pPr>
      <w:r>
        <w:t>During the period from 1998-200</w:t>
      </w:r>
      <w:r>
        <w:rPr>
          <w:rFonts w:hint="eastAsia"/>
        </w:rPr>
        <w:t>9</w:t>
      </w:r>
    </w:p>
    <w:p w14:paraId="0A576D65">
      <w:pPr>
        <w:spacing w:line="360" w:lineRule="auto"/>
        <w:ind w:firstLine="480" w:firstLineChars="200"/>
        <w:rPr>
          <w:rFonts w:eastAsia="新宋体"/>
          <w:sz w:val="24"/>
        </w:rPr>
      </w:pPr>
      <w:r>
        <w:rPr>
          <w:rFonts w:hint="eastAsia" w:eastAsia="新宋体"/>
          <w:sz w:val="24"/>
        </w:rPr>
        <w:t>从发行期限来看，我国分离交易的可转换公司债券大多为6年期，占比达到76.19%。从信用等级分布来看，主要以AAA级为主，占比达到71.43%，一方面是由于分离交易的可转换公司债券的发行要求比较高，从目前市场情况来看，发行主体主要是实力强大的国有企业；另一方面，部分债券还采用了银行担保或实力强大的第三方提供担保的增信方式。从增信情况来看，有47.62%的分离交易的可转换公司债券直接采用无担保的形式发行，在有担保的债券中，增信方式主要为银行担保和第三方担保。</w:t>
      </w:r>
    </w:p>
    <w:p w14:paraId="11AA4676">
      <w:pPr>
        <w:spacing w:line="360" w:lineRule="auto"/>
        <w:jc w:val="center"/>
        <w:rPr>
          <w:rFonts w:eastAsia="新宋体"/>
          <w:szCs w:val="21"/>
        </w:rPr>
      </w:pPr>
      <w:r>
        <w:drawing>
          <wp:inline distT="0" distB="0" distL="0" distR="0">
            <wp:extent cx="4370070" cy="2185035"/>
            <wp:effectExtent l="0" t="0" r="0" b="0"/>
            <wp:docPr id="2350556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55679"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70070" cy="2185035"/>
                    </a:xfrm>
                    <a:prstGeom prst="rect">
                      <a:avLst/>
                    </a:prstGeom>
                    <a:noFill/>
                    <a:ln>
                      <a:noFill/>
                    </a:ln>
                  </pic:spPr>
                </pic:pic>
              </a:graphicData>
            </a:graphic>
          </wp:inline>
        </w:drawing>
      </w:r>
    </w:p>
    <w:p w14:paraId="4C5DE04D">
      <w:pPr>
        <w:pStyle w:val="11"/>
        <w:jc w:val="center"/>
        <w:rPr>
          <w:rFonts w:ascii="Times New Roman" w:hAnsi="新宋体" w:eastAsia="新宋体" w:cs="Times New Roman"/>
          <w:sz w:val="21"/>
          <w:szCs w:val="21"/>
        </w:rPr>
      </w:pPr>
      <w:bookmarkStart w:id="4" w:name="_Toc256507149"/>
      <w:r>
        <w:rPr>
          <w:rFonts w:hint="eastAsia" w:ascii="Times New Roman" w:hAnsi="新宋体" w:eastAsia="新宋体" w:cs="Times New Roman"/>
          <w:sz w:val="21"/>
          <w:szCs w:val="21"/>
        </w:rPr>
        <w:t>图2  截至2009年12月31日我国分离交易的可转换公司债券发行期限情况</w:t>
      </w:r>
      <w:bookmarkEnd w:id="4"/>
    </w:p>
    <w:p w14:paraId="4872D618">
      <w:pPr>
        <w:pStyle w:val="11"/>
        <w:jc w:val="center"/>
        <w:rPr>
          <w:rFonts w:ascii="Times New Roman" w:hAnsi="Times New Roman" w:eastAsia="新宋体" w:cs="Times New Roman"/>
          <w:sz w:val="21"/>
          <w:szCs w:val="21"/>
        </w:rPr>
      </w:pPr>
      <w:r>
        <w:rPr>
          <w:rFonts w:ascii="Times New Roman" w:hAnsi="Times New Roman" w:eastAsia="新宋体" w:cs="Times New Roman"/>
          <w:bCs/>
          <w:kern w:val="0"/>
          <w:sz w:val="21"/>
          <w:szCs w:val="21"/>
        </w:rPr>
        <w:t xml:space="preserve">Figure </w:t>
      </w:r>
      <w:r>
        <w:rPr>
          <w:rFonts w:hint="eastAsia" w:ascii="Times New Roman" w:hAnsi="Times New Roman" w:eastAsia="新宋体" w:cs="Times New Roman"/>
          <w:bCs/>
          <w:kern w:val="0"/>
          <w:sz w:val="21"/>
          <w:szCs w:val="21"/>
        </w:rPr>
        <w:t>2</w:t>
      </w:r>
      <w:r>
        <w:rPr>
          <w:rFonts w:ascii="Times New Roman" w:hAnsi="Times New Roman" w:eastAsia="新宋体" w:cs="Times New Roman"/>
          <w:bCs/>
          <w:kern w:val="0"/>
          <w:sz w:val="21"/>
          <w:szCs w:val="21"/>
        </w:rPr>
        <w:t xml:space="preserve">  </w:t>
      </w:r>
      <w:r>
        <w:rPr>
          <w:rFonts w:ascii="Times New Roman" w:hAnsi="Times New Roman" w:cs="Times New Roman"/>
          <w:sz w:val="21"/>
          <w:szCs w:val="21"/>
        </w:rPr>
        <w:t>Maturites of China's warrant bonds by December 31,2009</w:t>
      </w:r>
    </w:p>
    <w:p w14:paraId="788C34AD">
      <w:pPr>
        <w:spacing w:line="360" w:lineRule="auto"/>
        <w:jc w:val="center"/>
        <w:rPr>
          <w:sz w:val="24"/>
        </w:rPr>
      </w:pPr>
      <w:r>
        <w:drawing>
          <wp:inline distT="0" distB="0" distL="0" distR="0">
            <wp:extent cx="4548505" cy="2268220"/>
            <wp:effectExtent l="0" t="0" r="0" b="0"/>
            <wp:docPr id="7260664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6640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48505" cy="2268220"/>
                    </a:xfrm>
                    <a:prstGeom prst="rect">
                      <a:avLst/>
                    </a:prstGeom>
                    <a:noFill/>
                    <a:ln>
                      <a:noFill/>
                    </a:ln>
                  </pic:spPr>
                </pic:pic>
              </a:graphicData>
            </a:graphic>
          </wp:inline>
        </w:drawing>
      </w:r>
    </w:p>
    <w:p w14:paraId="35CDC882">
      <w:pPr>
        <w:pStyle w:val="11"/>
        <w:jc w:val="center"/>
        <w:rPr>
          <w:rFonts w:ascii="Times New Roman" w:hAnsi="新宋体" w:eastAsia="新宋体" w:cs="Times New Roman"/>
          <w:sz w:val="21"/>
          <w:szCs w:val="21"/>
        </w:rPr>
      </w:pPr>
      <w:bookmarkStart w:id="5" w:name="_Toc256507150"/>
      <w:r>
        <w:rPr>
          <w:rFonts w:hint="eastAsia" w:ascii="Times New Roman" w:hAnsi="新宋体" w:eastAsia="新宋体" w:cs="Times New Roman"/>
          <w:sz w:val="21"/>
          <w:szCs w:val="21"/>
        </w:rPr>
        <w:t>图3  截至2009年12月31日我国分离交易的可转换公司债券信用等级分布</w:t>
      </w:r>
      <w:bookmarkEnd w:id="5"/>
    </w:p>
    <w:p w14:paraId="32920037">
      <w:pPr>
        <w:pStyle w:val="43"/>
        <w:spacing w:line="240" w:lineRule="auto"/>
        <w:jc w:val="center"/>
        <w:rPr>
          <w:rFonts w:hAnsi="Times New Roman"/>
          <w:b w:val="0"/>
          <w:kern w:val="2"/>
        </w:rPr>
      </w:pPr>
      <w:r>
        <w:rPr>
          <w:rFonts w:hAnsi="Times New Roman" w:eastAsia="新宋体"/>
          <w:b w:val="0"/>
          <w:bCs/>
        </w:rPr>
        <w:t xml:space="preserve">Figure </w:t>
      </w:r>
      <w:r>
        <w:rPr>
          <w:rFonts w:hint="eastAsia" w:hAnsi="Times New Roman" w:eastAsia="新宋体"/>
          <w:b w:val="0"/>
          <w:bCs/>
        </w:rPr>
        <w:t>3</w:t>
      </w:r>
      <w:r>
        <w:rPr>
          <w:rFonts w:hAnsi="Times New Roman" w:eastAsia="新宋体"/>
          <w:b w:val="0"/>
          <w:bCs/>
        </w:rPr>
        <w:t xml:space="preserve">  </w:t>
      </w:r>
      <w:r>
        <w:rPr>
          <w:rFonts w:hint="eastAsia" w:hAnsi="Times New Roman"/>
          <w:b w:val="0"/>
          <w:kern w:val="2"/>
        </w:rPr>
        <w:t>C</w:t>
      </w:r>
      <w:r>
        <w:rPr>
          <w:rFonts w:hAnsi="Times New Roman"/>
          <w:b w:val="0"/>
          <w:kern w:val="2"/>
        </w:rPr>
        <w:t xml:space="preserve">redit rating distribution of China's </w:t>
      </w:r>
      <w:r>
        <w:rPr>
          <w:rFonts w:hint="eastAsia" w:hAnsi="Times New Roman"/>
          <w:b w:val="0"/>
          <w:kern w:val="2"/>
        </w:rPr>
        <w:t>w</w:t>
      </w:r>
      <w:r>
        <w:rPr>
          <w:rFonts w:hAnsi="Times New Roman"/>
          <w:b w:val="0"/>
          <w:kern w:val="2"/>
        </w:rPr>
        <w:t xml:space="preserve">arrant </w:t>
      </w:r>
      <w:r>
        <w:rPr>
          <w:rFonts w:hint="eastAsia" w:hAnsi="Times New Roman"/>
          <w:b w:val="0"/>
          <w:kern w:val="2"/>
        </w:rPr>
        <w:t>b</w:t>
      </w:r>
      <w:r>
        <w:rPr>
          <w:rFonts w:hAnsi="Times New Roman"/>
          <w:b w:val="0"/>
          <w:kern w:val="2"/>
        </w:rPr>
        <w:t xml:space="preserve">onds </w:t>
      </w:r>
      <w:r>
        <w:rPr>
          <w:rFonts w:hint="eastAsia" w:hAnsi="Times New Roman"/>
          <w:b w:val="0"/>
          <w:kern w:val="2"/>
        </w:rPr>
        <w:t>by</w:t>
      </w:r>
      <w:r>
        <w:rPr>
          <w:rFonts w:hAnsi="Times New Roman"/>
          <w:b w:val="0"/>
          <w:kern w:val="2"/>
        </w:rPr>
        <w:t xml:space="preserve"> December 31, 2009</w:t>
      </w:r>
    </w:p>
    <w:p w14:paraId="261F016B">
      <w:pPr>
        <w:spacing w:line="360" w:lineRule="auto"/>
        <w:jc w:val="center"/>
        <w:rPr>
          <w:sz w:val="24"/>
        </w:rPr>
      </w:pPr>
      <w:r>
        <w:drawing>
          <wp:inline distT="0" distB="0" distL="0" distR="0">
            <wp:extent cx="4916170" cy="2458085"/>
            <wp:effectExtent l="0" t="0" r="0" b="0"/>
            <wp:docPr id="16265329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32938"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16170" cy="2458085"/>
                    </a:xfrm>
                    <a:prstGeom prst="rect">
                      <a:avLst/>
                    </a:prstGeom>
                    <a:noFill/>
                    <a:ln>
                      <a:noFill/>
                    </a:ln>
                  </pic:spPr>
                </pic:pic>
              </a:graphicData>
            </a:graphic>
          </wp:inline>
        </w:drawing>
      </w:r>
    </w:p>
    <w:p w14:paraId="0E862BA2">
      <w:pPr>
        <w:pStyle w:val="11"/>
        <w:jc w:val="center"/>
        <w:rPr>
          <w:rFonts w:ascii="Times New Roman" w:hAnsi="新宋体" w:eastAsia="新宋体" w:cs="Times New Roman"/>
          <w:sz w:val="21"/>
          <w:szCs w:val="21"/>
        </w:rPr>
      </w:pPr>
      <w:bookmarkStart w:id="6" w:name="_Toc256507151"/>
      <w:r>
        <w:rPr>
          <w:rFonts w:hint="eastAsia" w:ascii="Times New Roman" w:hAnsi="新宋体" w:eastAsia="新宋体" w:cs="Times New Roman"/>
          <w:sz w:val="21"/>
          <w:szCs w:val="21"/>
        </w:rPr>
        <w:t>图4  截至2009年12月31日我国分离交易的可转换公司债券增信方式结构分布</w:t>
      </w:r>
      <w:bookmarkEnd w:id="6"/>
    </w:p>
    <w:p w14:paraId="4C449D73">
      <w:pPr>
        <w:jc w:val="center"/>
      </w:pPr>
      <w:r>
        <w:rPr>
          <w:rFonts w:eastAsia="新宋体"/>
          <w:bCs/>
          <w:kern w:val="0"/>
          <w:szCs w:val="21"/>
        </w:rPr>
        <w:t xml:space="preserve">Figure </w:t>
      </w:r>
      <w:r>
        <w:rPr>
          <w:rFonts w:hint="eastAsia" w:eastAsia="新宋体"/>
          <w:bCs/>
          <w:kern w:val="0"/>
          <w:szCs w:val="21"/>
        </w:rPr>
        <w:t>4</w:t>
      </w:r>
      <w:r>
        <w:rPr>
          <w:rFonts w:eastAsia="新宋体"/>
          <w:bCs/>
          <w:kern w:val="0"/>
          <w:szCs w:val="21"/>
        </w:rPr>
        <w:t xml:space="preserve">  </w:t>
      </w:r>
      <w:r>
        <w:rPr>
          <w:rFonts w:hint="eastAsia"/>
        </w:rPr>
        <w:t xml:space="preserve">Credit enhancement mode </w:t>
      </w:r>
      <w:r>
        <w:t xml:space="preserve">distribution of China's </w:t>
      </w:r>
      <w:r>
        <w:rPr>
          <w:rFonts w:hint="eastAsia"/>
        </w:rPr>
        <w:t>w</w:t>
      </w:r>
      <w:r>
        <w:t xml:space="preserve">arrant bonds </w:t>
      </w:r>
    </w:p>
    <w:p w14:paraId="7F591612">
      <w:pPr>
        <w:jc w:val="center"/>
      </w:pPr>
      <w:r>
        <w:rPr>
          <w:rFonts w:hint="eastAsia"/>
        </w:rPr>
        <w:t>by</w:t>
      </w:r>
      <w:r>
        <w:t xml:space="preserve"> December 31, 2009</w:t>
      </w:r>
    </w:p>
    <w:p w14:paraId="17B0B3D1">
      <w:pPr>
        <w:pStyle w:val="4"/>
        <w:adjustRightInd w:val="0"/>
        <w:spacing w:before="156" w:beforeLines="50" w:after="156" w:afterLines="50" w:line="440" w:lineRule="exact"/>
        <w:ind w:firstLine="562" w:firstLineChars="200"/>
        <w:jc w:val="left"/>
        <w:rPr>
          <w:rFonts w:ascii="黑体" w:eastAsia="黑体"/>
          <w:b/>
          <w:sz w:val="28"/>
          <w:szCs w:val="28"/>
        </w:rPr>
      </w:pPr>
      <w:bookmarkStart w:id="7" w:name="_Toc256506310"/>
      <w:r>
        <w:rPr>
          <w:rFonts w:hint="eastAsia" w:ascii="黑体" w:eastAsia="黑体"/>
          <w:b/>
          <w:sz w:val="28"/>
          <w:szCs w:val="28"/>
        </w:rPr>
        <w:t>二、增信原理</w:t>
      </w:r>
      <w:bookmarkEnd w:id="7"/>
    </w:p>
    <w:p w14:paraId="70EF1564">
      <w:pPr>
        <w:spacing w:line="440" w:lineRule="exact"/>
        <w:ind w:firstLine="482"/>
        <w:rPr>
          <w:sz w:val="24"/>
        </w:rPr>
      </w:pPr>
      <w:r>
        <w:rPr>
          <w:rFonts w:hint="eastAsia"/>
          <w:sz w:val="24"/>
        </w:rPr>
        <w:t>分离交易的可转换公司债券与可转换公司债券一样，都属于混合型证券，介于债券与股票之间，是债券和股票相结合的融资工具，兼具债券和股票融资特性。两者的本质区别在于债券与认股权证是否可以分离交易。</w:t>
      </w:r>
    </w:p>
    <w:p w14:paraId="1F148D93">
      <w:pPr>
        <w:pStyle w:val="11"/>
        <w:spacing w:before="312" w:beforeLines="100"/>
        <w:jc w:val="center"/>
        <w:rPr>
          <w:rFonts w:ascii="Times New Roman" w:hAnsi="新宋体" w:eastAsia="新宋体" w:cs="Times New Roman"/>
          <w:sz w:val="21"/>
          <w:szCs w:val="21"/>
        </w:rPr>
      </w:pPr>
      <w:bookmarkStart w:id="8" w:name="_Toc256506479"/>
      <w:r>
        <w:rPr>
          <w:rFonts w:hint="eastAsia" w:ascii="Times New Roman" w:hAnsi="新宋体" w:eastAsia="新宋体" w:cs="Times New Roman"/>
          <w:sz w:val="21"/>
          <w:szCs w:val="21"/>
        </w:rPr>
        <w:t>表1  分离交易的可转换公司债券与可转换公司债券的区别</w:t>
      </w:r>
      <w:bookmarkEnd w:id="8"/>
    </w:p>
    <w:p w14:paraId="7287F7C6">
      <w:pPr>
        <w:pStyle w:val="43"/>
        <w:spacing w:line="240" w:lineRule="auto"/>
        <w:jc w:val="center"/>
        <w:rPr>
          <w:rFonts w:hAnsi="Times New Roman"/>
          <w:b w:val="0"/>
          <w:kern w:val="2"/>
        </w:rPr>
      </w:pPr>
      <w:r>
        <w:rPr>
          <w:rFonts w:hint="eastAsia"/>
          <w:b w:val="0"/>
        </w:rPr>
        <w:t xml:space="preserve">Table 1  </w:t>
      </w:r>
      <w:r>
        <w:rPr>
          <w:rFonts w:hAnsi="Times New Roman"/>
          <w:b w:val="0"/>
          <w:kern w:val="2"/>
        </w:rPr>
        <w:t>Difference</w:t>
      </w:r>
      <w:r>
        <w:rPr>
          <w:rFonts w:hint="eastAsia" w:hAnsi="Times New Roman"/>
          <w:b w:val="0"/>
          <w:kern w:val="2"/>
        </w:rPr>
        <w:t xml:space="preserve"> between  w</w:t>
      </w:r>
      <w:r>
        <w:rPr>
          <w:rFonts w:hAnsi="Times New Roman"/>
          <w:b w:val="0"/>
          <w:kern w:val="2"/>
        </w:rPr>
        <w:t xml:space="preserve">arrant </w:t>
      </w:r>
      <w:r>
        <w:rPr>
          <w:rFonts w:hint="eastAsia" w:hAnsi="Times New Roman"/>
          <w:b w:val="0"/>
          <w:kern w:val="2"/>
        </w:rPr>
        <w:t>b</w:t>
      </w:r>
      <w:r>
        <w:rPr>
          <w:rFonts w:hAnsi="Times New Roman"/>
          <w:b w:val="0"/>
          <w:kern w:val="2"/>
        </w:rPr>
        <w:t>onds</w:t>
      </w:r>
      <w:r>
        <w:rPr>
          <w:rFonts w:hint="eastAsia" w:hAnsi="Times New Roman"/>
          <w:b w:val="0"/>
          <w:kern w:val="2"/>
        </w:rPr>
        <w:t xml:space="preserve"> and </w:t>
      </w:r>
      <w:r>
        <w:rPr>
          <w:rFonts w:hAnsi="Times New Roman"/>
          <w:b w:val="0"/>
          <w:kern w:val="2"/>
        </w:rPr>
        <w:t>convertible bonds</w:t>
      </w:r>
    </w:p>
    <w:tbl>
      <w:tblPr>
        <w:tblStyle w:val="18"/>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8"/>
        <w:gridCol w:w="1507"/>
        <w:gridCol w:w="1795"/>
        <w:gridCol w:w="3712"/>
      </w:tblGrid>
      <w:tr w14:paraId="5B9E2F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 w:type="pct"/>
            <w:tcBorders>
              <w:top w:val="single" w:color="auto" w:sz="4" w:space="0"/>
              <w:bottom w:val="single" w:color="auto" w:sz="4" w:space="0"/>
            </w:tcBorders>
          </w:tcPr>
          <w:p w14:paraId="653949AF">
            <w:pPr>
              <w:rPr>
                <w:szCs w:val="21"/>
              </w:rPr>
            </w:pPr>
            <w:r>
              <w:rPr>
                <w:rFonts w:hint="eastAsia"/>
                <w:szCs w:val="21"/>
              </w:rPr>
              <w:t>品种</w:t>
            </w:r>
          </w:p>
        </w:tc>
        <w:tc>
          <w:tcPr>
            <w:tcW w:w="884" w:type="pct"/>
            <w:tcBorders>
              <w:top w:val="single" w:color="auto" w:sz="4" w:space="0"/>
              <w:bottom w:val="single" w:color="auto" w:sz="4" w:space="0"/>
            </w:tcBorders>
          </w:tcPr>
          <w:p w14:paraId="61CCA7FF">
            <w:pPr>
              <w:rPr>
                <w:szCs w:val="21"/>
              </w:rPr>
            </w:pPr>
            <w:r>
              <w:rPr>
                <w:rFonts w:hint="eastAsia"/>
                <w:szCs w:val="21"/>
              </w:rPr>
              <w:t>存在形式</w:t>
            </w:r>
          </w:p>
        </w:tc>
        <w:tc>
          <w:tcPr>
            <w:tcW w:w="1053" w:type="pct"/>
            <w:tcBorders>
              <w:top w:val="single" w:color="auto" w:sz="4" w:space="0"/>
              <w:bottom w:val="single" w:color="auto" w:sz="4" w:space="0"/>
            </w:tcBorders>
          </w:tcPr>
          <w:p w14:paraId="0355D149">
            <w:pPr>
              <w:rPr>
                <w:szCs w:val="21"/>
              </w:rPr>
            </w:pPr>
            <w:r>
              <w:rPr>
                <w:rFonts w:hint="eastAsia"/>
                <w:szCs w:val="21"/>
              </w:rPr>
              <w:t>性质</w:t>
            </w:r>
          </w:p>
        </w:tc>
        <w:tc>
          <w:tcPr>
            <w:tcW w:w="2178" w:type="pct"/>
            <w:tcBorders>
              <w:top w:val="single" w:color="auto" w:sz="4" w:space="0"/>
              <w:bottom w:val="single" w:color="auto" w:sz="4" w:space="0"/>
            </w:tcBorders>
          </w:tcPr>
          <w:p w14:paraId="0E4A835D">
            <w:pPr>
              <w:rPr>
                <w:szCs w:val="21"/>
              </w:rPr>
            </w:pPr>
            <w:r>
              <w:rPr>
                <w:rFonts w:hint="eastAsia"/>
                <w:szCs w:val="21"/>
              </w:rPr>
              <w:t>存续期</w:t>
            </w:r>
          </w:p>
        </w:tc>
      </w:tr>
      <w:tr w14:paraId="2EA7A4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 w:type="pct"/>
            <w:tcBorders>
              <w:top w:val="single" w:color="auto" w:sz="4" w:space="0"/>
              <w:bottom w:val="nil"/>
            </w:tcBorders>
          </w:tcPr>
          <w:p w14:paraId="5E9E5FFD">
            <w:pPr>
              <w:rPr>
                <w:sz w:val="18"/>
                <w:szCs w:val="18"/>
              </w:rPr>
            </w:pPr>
            <w:r>
              <w:rPr>
                <w:rFonts w:hint="eastAsia"/>
                <w:sz w:val="18"/>
                <w:szCs w:val="18"/>
              </w:rPr>
              <w:t>可转换公司债券</w:t>
            </w:r>
          </w:p>
        </w:tc>
        <w:tc>
          <w:tcPr>
            <w:tcW w:w="884" w:type="pct"/>
            <w:tcBorders>
              <w:top w:val="single" w:color="auto" w:sz="4" w:space="0"/>
              <w:bottom w:val="nil"/>
            </w:tcBorders>
          </w:tcPr>
          <w:p w14:paraId="7CD543AC">
            <w:pPr>
              <w:rPr>
                <w:sz w:val="18"/>
                <w:szCs w:val="18"/>
              </w:rPr>
            </w:pPr>
            <w:r>
              <w:rPr>
                <w:rFonts w:hint="eastAsia"/>
                <w:sz w:val="18"/>
                <w:szCs w:val="18"/>
              </w:rPr>
              <w:t>可转换公司债券</w:t>
            </w:r>
          </w:p>
        </w:tc>
        <w:tc>
          <w:tcPr>
            <w:tcW w:w="1053" w:type="pct"/>
            <w:tcBorders>
              <w:top w:val="single" w:color="auto" w:sz="4" w:space="0"/>
              <w:bottom w:val="nil"/>
            </w:tcBorders>
          </w:tcPr>
          <w:p w14:paraId="1C922ABA">
            <w:pPr>
              <w:rPr>
                <w:sz w:val="18"/>
                <w:szCs w:val="18"/>
              </w:rPr>
            </w:pPr>
            <w:r>
              <w:rPr>
                <w:rFonts w:hint="eastAsia"/>
                <w:sz w:val="18"/>
                <w:szCs w:val="18"/>
              </w:rPr>
              <w:t>债券性质+股权性质</w:t>
            </w:r>
          </w:p>
        </w:tc>
        <w:tc>
          <w:tcPr>
            <w:tcW w:w="2178" w:type="pct"/>
            <w:tcBorders>
              <w:top w:val="single" w:color="auto" w:sz="4" w:space="0"/>
              <w:bottom w:val="nil"/>
            </w:tcBorders>
          </w:tcPr>
          <w:p w14:paraId="2E7DE42F">
            <w:pPr>
              <w:rPr>
                <w:sz w:val="18"/>
                <w:szCs w:val="18"/>
              </w:rPr>
            </w:pPr>
            <w:r>
              <w:rPr>
                <w:rFonts w:hint="eastAsia"/>
                <w:sz w:val="18"/>
                <w:szCs w:val="18"/>
              </w:rPr>
              <w:t>在规定时间内转股，不转股作为纯债券到期</w:t>
            </w:r>
          </w:p>
        </w:tc>
      </w:tr>
      <w:tr w14:paraId="22AAE2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 w:type="pct"/>
            <w:vMerge w:val="restart"/>
            <w:tcBorders>
              <w:top w:val="nil"/>
              <w:bottom w:val="nil"/>
            </w:tcBorders>
          </w:tcPr>
          <w:p w14:paraId="706E3D35">
            <w:pPr>
              <w:rPr>
                <w:sz w:val="18"/>
                <w:szCs w:val="18"/>
              </w:rPr>
            </w:pPr>
            <w:r>
              <w:rPr>
                <w:rFonts w:hint="eastAsia"/>
                <w:sz w:val="18"/>
                <w:szCs w:val="18"/>
              </w:rPr>
              <w:t>分离交易的可</w:t>
            </w:r>
          </w:p>
          <w:p w14:paraId="502F0DCB">
            <w:pPr>
              <w:rPr>
                <w:sz w:val="18"/>
                <w:szCs w:val="18"/>
              </w:rPr>
            </w:pPr>
            <w:r>
              <w:rPr>
                <w:rFonts w:hint="eastAsia"/>
                <w:sz w:val="18"/>
                <w:szCs w:val="18"/>
              </w:rPr>
              <w:t>转换公司债券</w:t>
            </w:r>
          </w:p>
        </w:tc>
        <w:tc>
          <w:tcPr>
            <w:tcW w:w="884" w:type="pct"/>
            <w:tcBorders>
              <w:top w:val="nil"/>
              <w:bottom w:val="nil"/>
            </w:tcBorders>
          </w:tcPr>
          <w:p w14:paraId="3831022F">
            <w:pPr>
              <w:rPr>
                <w:sz w:val="18"/>
                <w:szCs w:val="18"/>
              </w:rPr>
            </w:pPr>
            <w:r>
              <w:rPr>
                <w:rFonts w:hint="eastAsia"/>
                <w:sz w:val="18"/>
                <w:szCs w:val="18"/>
              </w:rPr>
              <w:t>公司债券</w:t>
            </w:r>
          </w:p>
        </w:tc>
        <w:tc>
          <w:tcPr>
            <w:tcW w:w="1053" w:type="pct"/>
            <w:tcBorders>
              <w:top w:val="nil"/>
              <w:bottom w:val="nil"/>
            </w:tcBorders>
          </w:tcPr>
          <w:p w14:paraId="4B2D8BF5">
            <w:pPr>
              <w:rPr>
                <w:sz w:val="18"/>
                <w:szCs w:val="18"/>
              </w:rPr>
            </w:pPr>
            <w:r>
              <w:rPr>
                <w:rFonts w:hint="eastAsia"/>
                <w:sz w:val="18"/>
                <w:szCs w:val="18"/>
              </w:rPr>
              <w:t>债券性质</w:t>
            </w:r>
          </w:p>
        </w:tc>
        <w:tc>
          <w:tcPr>
            <w:tcW w:w="2178" w:type="pct"/>
            <w:vMerge w:val="restart"/>
            <w:tcBorders>
              <w:top w:val="nil"/>
              <w:bottom w:val="nil"/>
            </w:tcBorders>
          </w:tcPr>
          <w:p w14:paraId="2D5F0967">
            <w:pPr>
              <w:rPr>
                <w:sz w:val="18"/>
                <w:szCs w:val="18"/>
              </w:rPr>
            </w:pPr>
            <w:r>
              <w:rPr>
                <w:rFonts w:hint="eastAsia"/>
                <w:sz w:val="18"/>
                <w:szCs w:val="18"/>
              </w:rPr>
              <w:t>在规定时间内行使认股权，若不行权则到期</w:t>
            </w:r>
          </w:p>
          <w:p w14:paraId="31F86E44">
            <w:pPr>
              <w:rPr>
                <w:sz w:val="18"/>
                <w:szCs w:val="18"/>
              </w:rPr>
            </w:pPr>
            <w:r>
              <w:rPr>
                <w:rFonts w:hint="eastAsia"/>
                <w:sz w:val="18"/>
                <w:szCs w:val="18"/>
              </w:rPr>
              <w:t>作废</w:t>
            </w:r>
          </w:p>
        </w:tc>
      </w:tr>
      <w:tr w14:paraId="355C0A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 w:type="pct"/>
            <w:vMerge w:val="continue"/>
            <w:tcBorders>
              <w:top w:val="nil"/>
              <w:bottom w:val="single" w:color="auto" w:sz="4" w:space="0"/>
            </w:tcBorders>
          </w:tcPr>
          <w:p w14:paraId="10CE5962">
            <w:pPr>
              <w:rPr>
                <w:sz w:val="18"/>
                <w:szCs w:val="18"/>
              </w:rPr>
            </w:pPr>
          </w:p>
        </w:tc>
        <w:tc>
          <w:tcPr>
            <w:tcW w:w="884" w:type="pct"/>
            <w:tcBorders>
              <w:top w:val="nil"/>
              <w:bottom w:val="single" w:color="auto" w:sz="4" w:space="0"/>
            </w:tcBorders>
          </w:tcPr>
          <w:p w14:paraId="5747CC4F">
            <w:pPr>
              <w:rPr>
                <w:sz w:val="18"/>
                <w:szCs w:val="18"/>
              </w:rPr>
            </w:pPr>
            <w:r>
              <w:rPr>
                <w:rFonts w:hint="eastAsia"/>
                <w:sz w:val="18"/>
                <w:szCs w:val="18"/>
              </w:rPr>
              <w:t>认股权证</w:t>
            </w:r>
          </w:p>
        </w:tc>
        <w:tc>
          <w:tcPr>
            <w:tcW w:w="1053" w:type="pct"/>
            <w:tcBorders>
              <w:top w:val="nil"/>
              <w:bottom w:val="single" w:color="auto" w:sz="4" w:space="0"/>
            </w:tcBorders>
          </w:tcPr>
          <w:p w14:paraId="7875C604">
            <w:pPr>
              <w:rPr>
                <w:sz w:val="18"/>
                <w:szCs w:val="18"/>
              </w:rPr>
            </w:pPr>
            <w:r>
              <w:rPr>
                <w:rFonts w:hint="eastAsia"/>
                <w:sz w:val="18"/>
                <w:szCs w:val="18"/>
              </w:rPr>
              <w:t>股权性质</w:t>
            </w:r>
          </w:p>
        </w:tc>
        <w:tc>
          <w:tcPr>
            <w:tcW w:w="2178" w:type="pct"/>
            <w:vMerge w:val="continue"/>
            <w:tcBorders>
              <w:top w:val="nil"/>
              <w:bottom w:val="single" w:color="auto" w:sz="4" w:space="0"/>
            </w:tcBorders>
          </w:tcPr>
          <w:p w14:paraId="593A870E">
            <w:pPr>
              <w:rPr>
                <w:sz w:val="18"/>
                <w:szCs w:val="18"/>
              </w:rPr>
            </w:pPr>
          </w:p>
        </w:tc>
      </w:tr>
    </w:tbl>
    <w:p w14:paraId="2717A887">
      <w:pPr>
        <w:spacing w:before="312" w:beforeLines="100" w:line="440" w:lineRule="exact"/>
        <w:ind w:firstLine="482"/>
        <w:rPr>
          <w:sz w:val="24"/>
        </w:rPr>
      </w:pPr>
      <w:r>
        <w:rPr>
          <w:rFonts w:hint="eastAsia"/>
          <w:sz w:val="24"/>
        </w:rPr>
        <w:t>分离交易的可转换公司债券在发行时便赋予投资者在一定时期内以一定的价格认购股票的权利。当认股权证行权价格低于正股市场价格时，投资者可通过认购或转让权证在二级市场上套利，而无需担心发行人在股票市价升高时强制赎回权证；当认股权证行权价格高于正股市场价格时，投资者可选择放弃行权。而无论行权与否，投资者在债券存续期内都能获取债券利息。</w:t>
      </w:r>
    </w:p>
    <w:p w14:paraId="51A90A26">
      <w:pPr>
        <w:spacing w:line="440" w:lineRule="exact"/>
        <w:ind w:firstLine="482"/>
        <w:rPr>
          <w:sz w:val="24"/>
        </w:rPr>
      </w:pPr>
      <w:r>
        <w:rPr>
          <w:rFonts w:hint="eastAsia"/>
          <w:sz w:val="24"/>
        </w:rPr>
        <w:t xml:space="preserve">在增信原理上，与可转换公司债券一样，分离交易的可转换公司债券也是通过赋予投资者一种选择权来实现增信。两者在增信上的区别主要体现在：可转换公司债券所赋予投资者的是转换成股票的权利，若债券发生违约，投资者可以通过转股来降低损失；而分离交易的可转换公司债券所赋予投资者的选择权实质上是一种额外的补偿，与债券是否违约无关。  </w:t>
      </w:r>
    </w:p>
    <w:p w14:paraId="5CF73C1A">
      <w:pPr>
        <w:pStyle w:val="4"/>
        <w:adjustRightInd w:val="0"/>
        <w:spacing w:before="156" w:beforeLines="50" w:after="156" w:afterLines="50" w:line="440" w:lineRule="exact"/>
        <w:ind w:firstLine="562" w:firstLineChars="200"/>
        <w:jc w:val="left"/>
        <w:rPr>
          <w:rFonts w:ascii="黑体" w:eastAsia="黑体"/>
          <w:b/>
          <w:sz w:val="28"/>
          <w:szCs w:val="28"/>
        </w:rPr>
      </w:pPr>
      <w:bookmarkStart w:id="9" w:name="_Toc256506311"/>
      <w:r>
        <w:rPr>
          <w:rFonts w:hint="eastAsia" w:ascii="黑体" w:eastAsia="黑体"/>
          <w:b/>
          <w:sz w:val="28"/>
          <w:szCs w:val="28"/>
        </w:rPr>
        <w:t>三、增信效果</w:t>
      </w:r>
      <w:bookmarkEnd w:id="9"/>
    </w:p>
    <w:p w14:paraId="13C9ABA8">
      <w:pPr>
        <w:spacing w:line="360" w:lineRule="auto"/>
        <w:ind w:firstLine="480" w:firstLineChars="200"/>
        <w:rPr>
          <w:kern w:val="0"/>
          <w:sz w:val="24"/>
        </w:rPr>
      </w:pPr>
      <w:r>
        <w:rPr>
          <w:rFonts w:hint="eastAsia"/>
          <w:sz w:val="24"/>
        </w:rPr>
        <w:t>从图8.10中可以看到，与可转换公司债券一样，分离交易的可转换公司债券的增信效果也很明显，AAA、AA+和AA级别下，分离交易的可转换公司债券与企业（公司）债券发行利率分别相差3.76%、5.01%和5.64%</w:t>
      </w:r>
      <w:r>
        <w:rPr>
          <w:kern w:val="0"/>
          <w:sz w:val="24"/>
        </w:rPr>
        <w:t>。</w:t>
      </w:r>
      <w:r>
        <w:rPr>
          <w:rFonts w:hint="eastAsia"/>
          <w:kern w:val="0"/>
          <w:sz w:val="24"/>
        </w:rPr>
        <w:t>究其原因，主要是由于分离交易的可转换公司债券的含权设计给予了投资者补偿，降低了债券违约损失，从而导致投资者要求的回报降低。</w:t>
      </w:r>
    </w:p>
    <w:p w14:paraId="3ACB0953">
      <w:pPr>
        <w:spacing w:after="312" w:afterLines="100" w:line="360" w:lineRule="auto"/>
        <w:ind w:firstLine="480" w:firstLineChars="200"/>
        <w:rPr>
          <w:sz w:val="24"/>
        </w:rPr>
      </w:pPr>
      <w:r>
        <w:rPr>
          <w:rFonts w:hint="eastAsia"/>
          <w:kern w:val="0"/>
          <w:sz w:val="24"/>
        </w:rPr>
        <w:t>同时，笔者还发现分离交易的可转换公司债券的发行利率普遍低于同等级的可转换公司债券的发行利率，表明分离交易的可转换公司债券含权设计的增信效果要好于可转换公司债券。</w:t>
      </w:r>
    </w:p>
    <w:p w14:paraId="1A317EF6">
      <w:pPr>
        <w:spacing w:line="360" w:lineRule="auto"/>
        <w:rPr>
          <w:sz w:val="24"/>
        </w:rPr>
      </w:pPr>
      <w:r>
        <w:drawing>
          <wp:inline distT="0" distB="0" distL="0" distR="0">
            <wp:extent cx="5023485" cy="2517775"/>
            <wp:effectExtent l="0" t="0" r="0" b="0"/>
            <wp:docPr id="9404411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41164"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23485" cy="2517775"/>
                    </a:xfrm>
                    <a:prstGeom prst="rect">
                      <a:avLst/>
                    </a:prstGeom>
                    <a:noFill/>
                    <a:ln>
                      <a:noFill/>
                    </a:ln>
                  </pic:spPr>
                </pic:pic>
              </a:graphicData>
            </a:graphic>
          </wp:inline>
        </w:drawing>
      </w:r>
    </w:p>
    <w:p w14:paraId="77E0539E">
      <w:pPr>
        <w:pStyle w:val="11"/>
        <w:jc w:val="center"/>
        <w:rPr>
          <w:rFonts w:ascii="Times New Roman" w:hAnsi="新宋体" w:eastAsia="新宋体" w:cs="Times New Roman"/>
          <w:sz w:val="21"/>
          <w:szCs w:val="21"/>
        </w:rPr>
      </w:pPr>
      <w:bookmarkStart w:id="10" w:name="_Toc256507152"/>
      <w:r>
        <w:rPr>
          <w:rFonts w:hint="eastAsia" w:ascii="Times New Roman" w:hAnsi="新宋体" w:eastAsia="新宋体" w:cs="Times New Roman"/>
          <w:sz w:val="21"/>
          <w:szCs w:val="21"/>
        </w:rPr>
        <w:t>图5  各信用等级下分离交易的可转换公司债券与企业（公司）债券利率</w:t>
      </w:r>
      <w:r>
        <w:rPr>
          <w:rFonts w:ascii="Times New Roman" w:hAnsi="新宋体" w:eastAsia="新宋体" w:cs="Times New Roman"/>
          <w:sz w:val="21"/>
          <w:vertAlign w:val="superscript"/>
        </w:rPr>
        <w:footnoteReference w:id="0"/>
      </w:r>
      <w:r>
        <w:rPr>
          <w:rFonts w:ascii="Times New Roman" w:hAnsi="新宋体" w:eastAsia="新宋体" w:cs="Times New Roman"/>
          <w:sz w:val="21"/>
          <w:vertAlign w:val="superscript"/>
        </w:rPr>
        <w:footnoteReference w:id="1"/>
      </w:r>
      <w:r>
        <w:rPr>
          <w:rFonts w:hint="eastAsia" w:ascii="Times New Roman" w:hAnsi="新宋体" w:eastAsia="新宋体" w:cs="Times New Roman"/>
          <w:sz w:val="21"/>
          <w:szCs w:val="21"/>
        </w:rPr>
        <w:t>比较</w:t>
      </w:r>
      <w:bookmarkEnd w:id="10"/>
    </w:p>
    <w:p w14:paraId="73F4D3B3">
      <w:pPr>
        <w:pStyle w:val="11"/>
        <w:spacing w:after="312" w:afterLines="100"/>
        <w:jc w:val="center"/>
        <w:rPr>
          <w:rFonts w:ascii="Times New Roman" w:hAnsi="Times New Roman" w:eastAsia="新宋体" w:cs="Times New Roman"/>
          <w:sz w:val="21"/>
          <w:szCs w:val="21"/>
        </w:rPr>
      </w:pPr>
      <w:r>
        <w:rPr>
          <w:rFonts w:ascii="Times New Roman" w:hAnsi="Times New Roman" w:eastAsia="新宋体" w:cs="Times New Roman"/>
          <w:bCs/>
          <w:kern w:val="0"/>
          <w:sz w:val="21"/>
          <w:szCs w:val="21"/>
        </w:rPr>
        <w:t xml:space="preserve">Figure </w:t>
      </w:r>
      <w:r>
        <w:rPr>
          <w:rFonts w:hint="eastAsia" w:ascii="Times New Roman" w:hAnsi="Times New Roman" w:eastAsia="新宋体" w:cs="Times New Roman"/>
          <w:bCs/>
          <w:kern w:val="0"/>
          <w:sz w:val="21"/>
          <w:szCs w:val="21"/>
        </w:rPr>
        <w:t>5</w:t>
      </w:r>
      <w:r>
        <w:rPr>
          <w:rFonts w:ascii="Times New Roman" w:hAnsi="Times New Roman" w:eastAsia="新宋体" w:cs="Times New Roman"/>
          <w:bCs/>
          <w:kern w:val="0"/>
          <w:sz w:val="21"/>
          <w:szCs w:val="21"/>
        </w:rPr>
        <w:t xml:space="preserve">  </w:t>
      </w:r>
      <w:r>
        <w:rPr>
          <w:rFonts w:ascii="Times New Roman" w:hAnsi="Times New Roman" w:cs="Times New Roman"/>
          <w:sz w:val="21"/>
          <w:szCs w:val="21"/>
        </w:rPr>
        <w:t>Comparison of issuance rates between warrant bonds and enterprise (company) bonds under different credit levels</w:t>
      </w:r>
    </w:p>
    <w:p w14:paraId="126A6B3F"/>
    <w:p w14:paraId="404754E2">
      <w:pPr>
        <w:spacing w:before="312" w:beforeLines="100" w:after="312" w:afterLines="100" w:line="440" w:lineRule="exact"/>
        <w:outlineLvl w:val="1"/>
        <w:rPr>
          <w:rFonts w:hint="eastAsia" w:ascii="黑体" w:eastAsia="黑体"/>
          <w:bCs/>
          <w:sz w:val="32"/>
          <w:szCs w:val="32"/>
        </w:rPr>
      </w:pPr>
      <w:bookmarkStart w:id="11" w:name="_Toc256506317"/>
      <w:r>
        <w:rPr>
          <w:rFonts w:hint="eastAsia" w:ascii="黑体" w:eastAsia="黑体"/>
          <w:bCs/>
          <w:sz w:val="32"/>
          <w:szCs w:val="32"/>
        </w:rPr>
        <w:t>案例分析</w:t>
      </w:r>
      <w:bookmarkEnd w:id="11"/>
    </w:p>
    <w:p w14:paraId="2DB02611">
      <w:pPr>
        <w:spacing w:before="312" w:beforeLines="100" w:after="312" w:afterLines="100" w:line="440" w:lineRule="exact"/>
        <w:rPr>
          <w:b/>
        </w:rPr>
      </w:pPr>
      <w:r>
        <w:rPr>
          <w:rFonts w:hint="eastAsia"/>
          <w:b/>
        </w:rPr>
        <w:t>案例1  08国电债</w:t>
      </w:r>
    </w:p>
    <w:p w14:paraId="59B12840">
      <w:pPr>
        <w:pStyle w:val="11"/>
        <w:spacing w:before="312" w:beforeLines="100"/>
        <w:jc w:val="center"/>
        <w:rPr>
          <w:rFonts w:ascii="Times New Roman" w:hAnsi="新宋体" w:eastAsia="新宋体" w:cs="Times New Roman"/>
          <w:sz w:val="21"/>
          <w:szCs w:val="21"/>
        </w:rPr>
      </w:pPr>
      <w:bookmarkStart w:id="12" w:name="_Toc256506483"/>
      <w:r>
        <w:rPr>
          <w:rFonts w:hint="eastAsia" w:ascii="Times New Roman" w:hAnsi="新宋体" w:eastAsia="新宋体" w:cs="Times New Roman"/>
          <w:sz w:val="21"/>
          <w:szCs w:val="21"/>
        </w:rPr>
        <w:t>表8.</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7</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“08国电债”发行概况</w:t>
      </w:r>
      <w:bookmarkEnd w:id="12"/>
    </w:p>
    <w:p w14:paraId="7C62036D">
      <w:pPr>
        <w:pStyle w:val="11"/>
        <w:jc w:val="center"/>
        <w:rPr>
          <w:rFonts w:ascii="Times New Roman" w:hAnsi="Times New Roman" w:cs="Times New Roman"/>
          <w:sz w:val="21"/>
          <w:szCs w:val="21"/>
        </w:rPr>
      </w:pPr>
      <w:r>
        <w:rPr>
          <w:rFonts w:ascii="Times New Roman" w:hAnsi="Times New Roman" w:cs="Times New Roman"/>
          <w:sz w:val="21"/>
          <w:szCs w:val="21"/>
        </w:rPr>
        <w:t>Table 8.7  Issue overview of “Guodian bond”</w:t>
      </w:r>
    </w:p>
    <w:tbl>
      <w:tblPr>
        <w:tblStyle w:val="18"/>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735"/>
        <w:gridCol w:w="1444"/>
        <w:gridCol w:w="1072"/>
        <w:gridCol w:w="2834"/>
        <w:gridCol w:w="1437"/>
      </w:tblGrid>
      <w:tr w14:paraId="01EC80A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18" w:type="pct"/>
            <w:vAlign w:val="center"/>
          </w:tcPr>
          <w:p w14:paraId="572A672E">
            <w:pPr>
              <w:rPr>
                <w:sz w:val="18"/>
                <w:szCs w:val="18"/>
              </w:rPr>
            </w:pPr>
            <w:r>
              <w:rPr>
                <w:rFonts w:hint="eastAsia"/>
                <w:sz w:val="18"/>
                <w:szCs w:val="18"/>
              </w:rPr>
              <w:t>发行人</w:t>
            </w:r>
          </w:p>
        </w:tc>
        <w:tc>
          <w:tcPr>
            <w:tcW w:w="847" w:type="pct"/>
            <w:vAlign w:val="center"/>
          </w:tcPr>
          <w:p w14:paraId="10C52FD9">
            <w:pPr>
              <w:rPr>
                <w:sz w:val="18"/>
                <w:szCs w:val="18"/>
              </w:rPr>
            </w:pPr>
            <w:r>
              <w:rPr>
                <w:rFonts w:hint="eastAsia"/>
                <w:sz w:val="18"/>
                <w:szCs w:val="18"/>
              </w:rPr>
              <w:t>债券总额</w:t>
            </w:r>
          </w:p>
        </w:tc>
        <w:tc>
          <w:tcPr>
            <w:tcW w:w="629" w:type="pct"/>
            <w:vAlign w:val="center"/>
          </w:tcPr>
          <w:p w14:paraId="77C94D07">
            <w:pPr>
              <w:rPr>
                <w:sz w:val="18"/>
                <w:szCs w:val="18"/>
              </w:rPr>
            </w:pPr>
            <w:r>
              <w:rPr>
                <w:rFonts w:hint="eastAsia"/>
                <w:sz w:val="18"/>
                <w:szCs w:val="18"/>
              </w:rPr>
              <w:t>债券期限</w:t>
            </w:r>
          </w:p>
        </w:tc>
        <w:tc>
          <w:tcPr>
            <w:tcW w:w="1663" w:type="pct"/>
            <w:vAlign w:val="center"/>
          </w:tcPr>
          <w:p w14:paraId="009D0467">
            <w:pPr>
              <w:rPr>
                <w:sz w:val="18"/>
                <w:szCs w:val="18"/>
              </w:rPr>
            </w:pPr>
            <w:r>
              <w:rPr>
                <w:rFonts w:hint="eastAsia"/>
                <w:sz w:val="18"/>
                <w:szCs w:val="18"/>
              </w:rPr>
              <w:t>发行利率</w:t>
            </w:r>
          </w:p>
        </w:tc>
        <w:tc>
          <w:tcPr>
            <w:tcW w:w="844" w:type="pct"/>
            <w:vAlign w:val="center"/>
          </w:tcPr>
          <w:p w14:paraId="22BE8477">
            <w:pPr>
              <w:rPr>
                <w:sz w:val="18"/>
                <w:szCs w:val="18"/>
              </w:rPr>
            </w:pPr>
            <w:r>
              <w:rPr>
                <w:rFonts w:hint="eastAsia"/>
                <w:sz w:val="18"/>
                <w:szCs w:val="18"/>
              </w:rPr>
              <w:t>发行人主体信用等级</w:t>
            </w:r>
          </w:p>
        </w:tc>
      </w:tr>
      <w:tr w14:paraId="1EC2326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18" w:type="pct"/>
            <w:vAlign w:val="center"/>
          </w:tcPr>
          <w:p w14:paraId="69116212">
            <w:pPr>
              <w:rPr>
                <w:sz w:val="18"/>
                <w:szCs w:val="18"/>
              </w:rPr>
            </w:pPr>
            <w:r>
              <w:rPr>
                <w:rFonts w:hint="eastAsia"/>
                <w:sz w:val="18"/>
                <w:szCs w:val="18"/>
              </w:rPr>
              <w:t>国电电力发展股份有限公司</w:t>
            </w:r>
          </w:p>
        </w:tc>
        <w:tc>
          <w:tcPr>
            <w:tcW w:w="847" w:type="pct"/>
            <w:vAlign w:val="center"/>
          </w:tcPr>
          <w:p w14:paraId="5AEC4057">
            <w:pPr>
              <w:rPr>
                <w:sz w:val="18"/>
                <w:szCs w:val="18"/>
              </w:rPr>
            </w:pPr>
            <w:r>
              <w:rPr>
                <w:rFonts w:hint="eastAsia"/>
                <w:sz w:val="18"/>
                <w:szCs w:val="18"/>
              </w:rPr>
              <w:t>39.95亿元</w:t>
            </w:r>
          </w:p>
        </w:tc>
        <w:tc>
          <w:tcPr>
            <w:tcW w:w="629" w:type="pct"/>
            <w:vAlign w:val="center"/>
          </w:tcPr>
          <w:p w14:paraId="346D4311">
            <w:pPr>
              <w:rPr>
                <w:sz w:val="18"/>
                <w:szCs w:val="18"/>
              </w:rPr>
            </w:pPr>
            <w:r>
              <w:rPr>
                <w:rFonts w:hint="eastAsia"/>
                <w:sz w:val="18"/>
                <w:szCs w:val="18"/>
              </w:rPr>
              <w:t>6年</w:t>
            </w:r>
          </w:p>
        </w:tc>
        <w:tc>
          <w:tcPr>
            <w:tcW w:w="1663" w:type="pct"/>
            <w:vAlign w:val="center"/>
          </w:tcPr>
          <w:p w14:paraId="5EB2A782">
            <w:pPr>
              <w:rPr>
                <w:sz w:val="18"/>
                <w:szCs w:val="18"/>
              </w:rPr>
            </w:pPr>
            <w:r>
              <w:rPr>
                <w:rFonts w:hint="eastAsia"/>
                <w:sz w:val="18"/>
                <w:szCs w:val="18"/>
              </w:rPr>
              <w:t>1.0%</w:t>
            </w:r>
          </w:p>
        </w:tc>
        <w:tc>
          <w:tcPr>
            <w:tcW w:w="844" w:type="pct"/>
            <w:vAlign w:val="center"/>
          </w:tcPr>
          <w:p w14:paraId="06D1193F">
            <w:pPr>
              <w:rPr>
                <w:sz w:val="18"/>
                <w:szCs w:val="18"/>
                <w:highlight w:val="yellow"/>
              </w:rPr>
            </w:pPr>
            <w:r>
              <w:rPr>
                <w:sz w:val="18"/>
                <w:szCs w:val="18"/>
              </w:rPr>
              <w:t>A</w:t>
            </w:r>
            <w:r>
              <w:rPr>
                <w:rFonts w:hint="eastAsia"/>
                <w:sz w:val="18"/>
                <w:szCs w:val="18"/>
              </w:rPr>
              <w:t>A</w:t>
            </w:r>
            <w:r>
              <w:rPr>
                <w:sz w:val="18"/>
                <w:szCs w:val="18"/>
              </w:rPr>
              <w:t>A</w:t>
            </w:r>
          </w:p>
        </w:tc>
      </w:tr>
      <w:tr w14:paraId="1C73CD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18" w:type="pct"/>
            <w:vAlign w:val="center"/>
          </w:tcPr>
          <w:p w14:paraId="1B14227D">
            <w:pPr>
              <w:rPr>
                <w:sz w:val="18"/>
                <w:szCs w:val="18"/>
              </w:rPr>
            </w:pPr>
            <w:r>
              <w:rPr>
                <w:rFonts w:hint="eastAsia"/>
                <w:sz w:val="18"/>
                <w:szCs w:val="18"/>
              </w:rPr>
              <w:t>担保人</w:t>
            </w:r>
          </w:p>
        </w:tc>
        <w:tc>
          <w:tcPr>
            <w:tcW w:w="847" w:type="pct"/>
            <w:vAlign w:val="center"/>
          </w:tcPr>
          <w:p w14:paraId="6E7BC80F">
            <w:pPr>
              <w:rPr>
                <w:sz w:val="18"/>
                <w:szCs w:val="18"/>
              </w:rPr>
            </w:pPr>
            <w:r>
              <w:rPr>
                <w:rFonts w:hint="eastAsia"/>
                <w:sz w:val="18"/>
                <w:szCs w:val="18"/>
              </w:rPr>
              <w:t>担保人主体信用等级</w:t>
            </w:r>
          </w:p>
        </w:tc>
        <w:tc>
          <w:tcPr>
            <w:tcW w:w="629" w:type="pct"/>
            <w:vAlign w:val="center"/>
          </w:tcPr>
          <w:p w14:paraId="1DB6DF90">
            <w:pPr>
              <w:rPr>
                <w:sz w:val="18"/>
                <w:szCs w:val="18"/>
              </w:rPr>
            </w:pPr>
            <w:r>
              <w:rPr>
                <w:rFonts w:hint="eastAsia"/>
                <w:sz w:val="18"/>
                <w:szCs w:val="18"/>
              </w:rPr>
              <w:t>债券信用等级</w:t>
            </w:r>
          </w:p>
        </w:tc>
        <w:tc>
          <w:tcPr>
            <w:tcW w:w="1663" w:type="pct"/>
            <w:vAlign w:val="center"/>
          </w:tcPr>
          <w:p w14:paraId="0BAB5163">
            <w:pPr>
              <w:rPr>
                <w:sz w:val="18"/>
                <w:szCs w:val="18"/>
              </w:rPr>
            </w:pPr>
            <w:r>
              <w:rPr>
                <w:rFonts w:hint="eastAsia"/>
                <w:sz w:val="18"/>
                <w:szCs w:val="18"/>
              </w:rPr>
              <w:t>增信效果</w:t>
            </w:r>
          </w:p>
        </w:tc>
        <w:tc>
          <w:tcPr>
            <w:tcW w:w="844" w:type="pct"/>
            <w:vAlign w:val="center"/>
          </w:tcPr>
          <w:p w14:paraId="465DEDAD">
            <w:pPr>
              <w:rPr>
                <w:sz w:val="18"/>
                <w:szCs w:val="18"/>
              </w:rPr>
            </w:pPr>
            <w:r>
              <w:rPr>
                <w:rFonts w:hint="eastAsia"/>
                <w:sz w:val="18"/>
                <w:szCs w:val="18"/>
              </w:rPr>
              <w:t>增信方式</w:t>
            </w:r>
          </w:p>
        </w:tc>
      </w:tr>
      <w:tr w14:paraId="220B1B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18" w:type="pct"/>
            <w:vAlign w:val="center"/>
          </w:tcPr>
          <w:p w14:paraId="21AD1364">
            <w:pPr>
              <w:rPr>
                <w:sz w:val="18"/>
                <w:szCs w:val="18"/>
              </w:rPr>
            </w:pPr>
            <w:r>
              <w:rPr>
                <w:rFonts w:hint="eastAsia"/>
                <w:sz w:val="18"/>
                <w:szCs w:val="18"/>
              </w:rPr>
              <w:t>无</w:t>
            </w:r>
          </w:p>
        </w:tc>
        <w:tc>
          <w:tcPr>
            <w:tcW w:w="847" w:type="pct"/>
            <w:vAlign w:val="center"/>
          </w:tcPr>
          <w:p w14:paraId="07CDAC16">
            <w:pPr>
              <w:rPr>
                <w:sz w:val="18"/>
                <w:szCs w:val="18"/>
              </w:rPr>
            </w:pPr>
            <w:r>
              <w:rPr>
                <w:rFonts w:hint="eastAsia"/>
                <w:sz w:val="18"/>
                <w:szCs w:val="18"/>
              </w:rPr>
              <w:t>-</w:t>
            </w:r>
          </w:p>
        </w:tc>
        <w:tc>
          <w:tcPr>
            <w:tcW w:w="629" w:type="pct"/>
            <w:vAlign w:val="center"/>
          </w:tcPr>
          <w:p w14:paraId="784F89C7">
            <w:pPr>
              <w:rPr>
                <w:sz w:val="18"/>
                <w:szCs w:val="18"/>
              </w:rPr>
            </w:pPr>
            <w:r>
              <w:rPr>
                <w:sz w:val="18"/>
                <w:szCs w:val="18"/>
              </w:rPr>
              <w:t>A</w:t>
            </w:r>
            <w:r>
              <w:rPr>
                <w:rFonts w:hint="eastAsia"/>
                <w:sz w:val="18"/>
                <w:szCs w:val="18"/>
              </w:rPr>
              <w:t>A</w:t>
            </w:r>
            <w:r>
              <w:rPr>
                <w:sz w:val="18"/>
                <w:szCs w:val="18"/>
              </w:rPr>
              <w:t>A</w:t>
            </w:r>
          </w:p>
        </w:tc>
        <w:tc>
          <w:tcPr>
            <w:tcW w:w="1663" w:type="pct"/>
            <w:vAlign w:val="center"/>
          </w:tcPr>
          <w:p w14:paraId="1E658391">
            <w:pPr>
              <w:ind w:firstLine="90" w:firstLineChars="50"/>
              <w:rPr>
                <w:sz w:val="18"/>
                <w:szCs w:val="18"/>
              </w:rPr>
            </w:pPr>
            <w:r>
              <w:rPr>
                <w:rFonts w:hint="eastAsia"/>
                <w:sz w:val="18"/>
                <w:szCs w:val="18"/>
              </w:rPr>
              <w:t>发行利率远低于同信用等级企业（公司）债券</w:t>
            </w:r>
          </w:p>
        </w:tc>
        <w:tc>
          <w:tcPr>
            <w:tcW w:w="844" w:type="pct"/>
            <w:vAlign w:val="center"/>
          </w:tcPr>
          <w:p w14:paraId="37751749">
            <w:pPr>
              <w:rPr>
                <w:sz w:val="18"/>
                <w:szCs w:val="18"/>
              </w:rPr>
            </w:pPr>
            <w:r>
              <w:rPr>
                <w:rFonts w:hint="eastAsia"/>
                <w:sz w:val="18"/>
                <w:szCs w:val="18"/>
              </w:rPr>
              <w:t>内在含权设计</w:t>
            </w:r>
          </w:p>
        </w:tc>
      </w:tr>
    </w:tbl>
    <w:p w14:paraId="1F2C7D0A">
      <w:pPr>
        <w:spacing w:before="312" w:beforeLines="100" w:line="440" w:lineRule="exact"/>
        <w:ind w:firstLine="420" w:firstLineChars="200"/>
      </w:pPr>
      <w:r>
        <w:rPr>
          <w:rFonts w:hint="eastAsia"/>
        </w:rPr>
        <w:t>“08国电债”系由国电电力发展股份有限公司（以下简称“国电电力”，股票代码：600795）于2008年5月22日发行的分离交易的可转换公司债券，该债券发行规模为39.95亿元，每张面值100元，每张债券的认购人可无偿获得国电电力派发的认股权证10.7份。“08国电债”发行期限为6年，票面利率为1.0%。该期分离交易的可转换公司债券主承销商为中国国际金融有限公司。</w:t>
      </w:r>
    </w:p>
    <w:p w14:paraId="08C59E6F">
      <w:pPr>
        <w:spacing w:line="440" w:lineRule="exact"/>
        <w:ind w:firstLine="435"/>
      </w:pPr>
      <w:r>
        <w:rPr>
          <w:rFonts w:hint="eastAsia"/>
        </w:rPr>
        <w:t>国电电力是国电集团下属核心企业，以电力、热力生产和销售为主，还从事新能源项目、高新技术、环保产业的开发及应用以及信息咨询等业务。截至2009年7月30日，国电电力总资产为557.78亿元，负债总额为402.51亿元，资产负债率为72.16%</w:t>
      </w:r>
      <w:r>
        <w:rPr>
          <w:rStyle w:val="20"/>
        </w:rPr>
        <w:footnoteReference w:id="2"/>
      </w:r>
      <w:r>
        <w:rPr>
          <w:rFonts w:hint="eastAsia"/>
        </w:rPr>
        <w:t>；2007年1-9月，国电电力实现营业收入126.36亿元，净利润22.81亿元，经营活动净现金流39.46亿元。</w:t>
      </w:r>
    </w:p>
    <w:p w14:paraId="205BCBD6">
      <w:pPr>
        <w:spacing w:line="440" w:lineRule="exact"/>
        <w:ind w:firstLine="420" w:firstLineChars="200"/>
      </w:pPr>
      <w:r>
        <w:rPr>
          <w:rFonts w:hint="eastAsia"/>
        </w:rPr>
        <w:t>经鹏元</w:t>
      </w:r>
      <w:r>
        <w:t>资信评估有限公司综合评定，</w:t>
      </w:r>
      <w:r>
        <w:rPr>
          <w:rFonts w:hint="eastAsia"/>
        </w:rPr>
        <w:t>国电电力</w:t>
      </w:r>
      <w:r>
        <w:t>长期主体信用等级为A</w:t>
      </w:r>
      <w:r>
        <w:rPr>
          <w:rFonts w:hint="eastAsia"/>
        </w:rPr>
        <w:t>A</w:t>
      </w:r>
      <w:r>
        <w:t>A。</w:t>
      </w:r>
      <w:r>
        <w:rPr>
          <w:rFonts w:hint="eastAsia"/>
        </w:rPr>
        <w:t>该期分离交易的可转换公司</w:t>
      </w:r>
      <w:r>
        <w:t>债券</w:t>
      </w:r>
      <w:r>
        <w:rPr>
          <w:rFonts w:hint="eastAsia"/>
        </w:rPr>
        <w:t>采取无担保方式发行，债券信用等级为AAA。</w:t>
      </w:r>
    </w:p>
    <w:p w14:paraId="7CA79D77">
      <w:pPr>
        <w:spacing w:line="440" w:lineRule="exact"/>
        <w:ind w:firstLine="435"/>
      </w:pPr>
      <w:r>
        <w:rPr>
          <w:rFonts w:hint="eastAsia"/>
        </w:rPr>
        <w:t>与可转换公司债券不同，分离交易的可转换公司债券一般不设回售条款和赎回条款。此外，分离交易的可转换公司债券在发行时便无偿赠予投资者认股权证，投资者可以在行权期内以特定的价格购买发行人的股票，若行权价低于市场价格，投资者便可获得额外的收益。总体来看，“08国电债”实质上也是通过含权设计的内部增信方式来实现增信的。</w:t>
      </w:r>
    </w:p>
    <w:p w14:paraId="663C464E"/>
    <w:p w14:paraId="40D7681C">
      <w:pPr>
        <w:spacing w:before="312" w:beforeLines="100" w:after="312" w:afterLines="100" w:line="440" w:lineRule="exact"/>
        <w:rPr>
          <w:b/>
        </w:rPr>
      </w:pPr>
      <w:r>
        <w:rPr>
          <w:rFonts w:hint="eastAsia"/>
          <w:b/>
        </w:rPr>
        <w:t>案例2  09长虹债</w:t>
      </w:r>
    </w:p>
    <w:p w14:paraId="22C1CD92">
      <w:pPr>
        <w:pStyle w:val="11"/>
        <w:spacing w:before="312" w:beforeLines="100"/>
        <w:jc w:val="center"/>
        <w:rPr>
          <w:rFonts w:ascii="Times New Roman" w:hAnsi="新宋体" w:eastAsia="新宋体" w:cs="Times New Roman"/>
          <w:sz w:val="21"/>
          <w:szCs w:val="21"/>
        </w:rPr>
      </w:pPr>
      <w:bookmarkStart w:id="13" w:name="_Toc256506484"/>
      <w:r>
        <w:rPr>
          <w:rFonts w:hint="eastAsia" w:ascii="Times New Roman" w:hAnsi="新宋体" w:eastAsia="新宋体" w:cs="Times New Roman"/>
          <w:sz w:val="21"/>
          <w:szCs w:val="21"/>
        </w:rPr>
        <w:t>表8.</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8</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“09长虹债”发行概况</w:t>
      </w:r>
      <w:bookmarkEnd w:id="13"/>
    </w:p>
    <w:p w14:paraId="7FF813E1">
      <w:pPr>
        <w:jc w:val="center"/>
      </w:pPr>
      <w:r>
        <w:rPr>
          <w:szCs w:val="21"/>
        </w:rPr>
        <w:t>Table 8.</w:t>
      </w:r>
      <w:r>
        <w:rPr>
          <w:rFonts w:hint="eastAsia"/>
          <w:szCs w:val="21"/>
        </w:rPr>
        <w:t>8</w:t>
      </w:r>
      <w:r>
        <w:rPr>
          <w:szCs w:val="21"/>
        </w:rPr>
        <w:t xml:space="preserve">  </w:t>
      </w:r>
      <w:r>
        <w:t xml:space="preserve">Issue </w:t>
      </w:r>
      <w:r>
        <w:rPr>
          <w:rFonts w:hint="eastAsia"/>
        </w:rPr>
        <w:t>o</w:t>
      </w:r>
      <w:r>
        <w:t>verview</w:t>
      </w:r>
      <w:r>
        <w:rPr>
          <w:rFonts w:hint="eastAsia"/>
        </w:rPr>
        <w:t xml:space="preserve"> of </w:t>
      </w:r>
      <w:r>
        <w:t>“</w:t>
      </w:r>
      <w:r>
        <w:rPr>
          <w:rFonts w:hint="eastAsia"/>
        </w:rPr>
        <w:t xml:space="preserve">Changhong </w:t>
      </w:r>
      <w:r>
        <w:t>bond”</w:t>
      </w:r>
    </w:p>
    <w:tbl>
      <w:tblPr>
        <w:tblStyle w:val="18"/>
        <w:tblW w:w="5000"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810"/>
        <w:gridCol w:w="1178"/>
        <w:gridCol w:w="908"/>
        <w:gridCol w:w="3100"/>
        <w:gridCol w:w="1526"/>
      </w:tblGrid>
      <w:tr w14:paraId="536C8E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2" w:type="pct"/>
            <w:vAlign w:val="center"/>
          </w:tcPr>
          <w:p w14:paraId="6B1FA7A1">
            <w:pPr>
              <w:jc w:val="center"/>
              <w:rPr>
                <w:sz w:val="18"/>
                <w:szCs w:val="18"/>
              </w:rPr>
            </w:pPr>
            <w:r>
              <w:rPr>
                <w:rFonts w:hint="eastAsia"/>
                <w:sz w:val="18"/>
                <w:szCs w:val="18"/>
              </w:rPr>
              <w:t>发行人</w:t>
            </w:r>
          </w:p>
        </w:tc>
        <w:tc>
          <w:tcPr>
            <w:tcW w:w="691" w:type="pct"/>
            <w:vAlign w:val="center"/>
          </w:tcPr>
          <w:p w14:paraId="386EC64C">
            <w:pPr>
              <w:jc w:val="center"/>
              <w:rPr>
                <w:sz w:val="18"/>
                <w:szCs w:val="18"/>
              </w:rPr>
            </w:pPr>
            <w:r>
              <w:rPr>
                <w:rFonts w:hint="eastAsia"/>
                <w:sz w:val="18"/>
                <w:szCs w:val="18"/>
              </w:rPr>
              <w:t>债券总额</w:t>
            </w:r>
          </w:p>
        </w:tc>
        <w:tc>
          <w:tcPr>
            <w:tcW w:w="533" w:type="pct"/>
            <w:vAlign w:val="center"/>
          </w:tcPr>
          <w:p w14:paraId="0CBA205D">
            <w:pPr>
              <w:jc w:val="center"/>
              <w:rPr>
                <w:sz w:val="18"/>
                <w:szCs w:val="18"/>
              </w:rPr>
            </w:pPr>
            <w:r>
              <w:rPr>
                <w:rFonts w:hint="eastAsia"/>
                <w:sz w:val="18"/>
                <w:szCs w:val="18"/>
              </w:rPr>
              <w:t>债券期限</w:t>
            </w:r>
          </w:p>
        </w:tc>
        <w:tc>
          <w:tcPr>
            <w:tcW w:w="1819" w:type="pct"/>
            <w:vAlign w:val="center"/>
          </w:tcPr>
          <w:p w14:paraId="5B783F97">
            <w:pPr>
              <w:jc w:val="center"/>
              <w:rPr>
                <w:sz w:val="18"/>
                <w:szCs w:val="18"/>
              </w:rPr>
            </w:pPr>
            <w:r>
              <w:rPr>
                <w:rFonts w:hint="eastAsia"/>
                <w:sz w:val="18"/>
                <w:szCs w:val="18"/>
              </w:rPr>
              <w:t>发行利率</w:t>
            </w:r>
          </w:p>
        </w:tc>
        <w:tc>
          <w:tcPr>
            <w:tcW w:w="895" w:type="pct"/>
            <w:vAlign w:val="center"/>
          </w:tcPr>
          <w:p w14:paraId="2F2C595A">
            <w:pPr>
              <w:jc w:val="center"/>
              <w:rPr>
                <w:sz w:val="18"/>
                <w:szCs w:val="18"/>
              </w:rPr>
            </w:pPr>
            <w:r>
              <w:rPr>
                <w:rFonts w:hint="eastAsia"/>
                <w:sz w:val="18"/>
                <w:szCs w:val="18"/>
              </w:rPr>
              <w:t>发行人主体信用等级</w:t>
            </w:r>
          </w:p>
        </w:tc>
      </w:tr>
      <w:tr w14:paraId="42F09D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2" w:type="pct"/>
            <w:vAlign w:val="center"/>
          </w:tcPr>
          <w:p w14:paraId="06B089FA">
            <w:pPr>
              <w:jc w:val="center"/>
              <w:rPr>
                <w:sz w:val="18"/>
                <w:szCs w:val="18"/>
              </w:rPr>
            </w:pPr>
            <w:r>
              <w:rPr>
                <w:rFonts w:hint="eastAsia"/>
                <w:sz w:val="18"/>
                <w:szCs w:val="18"/>
              </w:rPr>
              <w:t>四川长虹电器股份有限公司</w:t>
            </w:r>
          </w:p>
        </w:tc>
        <w:tc>
          <w:tcPr>
            <w:tcW w:w="691" w:type="pct"/>
            <w:vAlign w:val="center"/>
          </w:tcPr>
          <w:p w14:paraId="3DA9F451">
            <w:pPr>
              <w:jc w:val="center"/>
              <w:rPr>
                <w:sz w:val="18"/>
                <w:szCs w:val="18"/>
              </w:rPr>
            </w:pPr>
            <w:r>
              <w:rPr>
                <w:rFonts w:hint="eastAsia"/>
                <w:sz w:val="18"/>
                <w:szCs w:val="18"/>
              </w:rPr>
              <w:t>30亿元</w:t>
            </w:r>
          </w:p>
        </w:tc>
        <w:tc>
          <w:tcPr>
            <w:tcW w:w="533" w:type="pct"/>
            <w:vAlign w:val="center"/>
          </w:tcPr>
          <w:p w14:paraId="3C0E9F9E">
            <w:pPr>
              <w:jc w:val="center"/>
              <w:rPr>
                <w:sz w:val="18"/>
                <w:szCs w:val="18"/>
              </w:rPr>
            </w:pPr>
            <w:r>
              <w:rPr>
                <w:rFonts w:hint="eastAsia"/>
                <w:sz w:val="18"/>
                <w:szCs w:val="18"/>
              </w:rPr>
              <w:t>6年</w:t>
            </w:r>
          </w:p>
        </w:tc>
        <w:tc>
          <w:tcPr>
            <w:tcW w:w="1819" w:type="pct"/>
            <w:vAlign w:val="center"/>
          </w:tcPr>
          <w:p w14:paraId="180E4239">
            <w:pPr>
              <w:jc w:val="center"/>
              <w:rPr>
                <w:sz w:val="18"/>
                <w:szCs w:val="18"/>
              </w:rPr>
            </w:pPr>
            <w:r>
              <w:rPr>
                <w:rFonts w:hint="eastAsia"/>
                <w:sz w:val="18"/>
                <w:szCs w:val="18"/>
              </w:rPr>
              <w:t>0.8%</w:t>
            </w:r>
          </w:p>
        </w:tc>
        <w:tc>
          <w:tcPr>
            <w:tcW w:w="895" w:type="pct"/>
            <w:vAlign w:val="center"/>
          </w:tcPr>
          <w:p w14:paraId="760F45AB">
            <w:pPr>
              <w:jc w:val="center"/>
              <w:rPr>
                <w:sz w:val="18"/>
                <w:szCs w:val="18"/>
                <w:highlight w:val="yellow"/>
              </w:rPr>
            </w:pPr>
            <w:r>
              <w:rPr>
                <w:rFonts w:hint="eastAsia"/>
                <w:sz w:val="18"/>
                <w:szCs w:val="18"/>
              </w:rPr>
              <w:t>AA-</w:t>
            </w:r>
          </w:p>
        </w:tc>
      </w:tr>
      <w:tr w14:paraId="31D866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2" w:type="pct"/>
            <w:vAlign w:val="center"/>
          </w:tcPr>
          <w:p w14:paraId="23D5D13F">
            <w:pPr>
              <w:jc w:val="center"/>
              <w:rPr>
                <w:sz w:val="18"/>
                <w:szCs w:val="18"/>
              </w:rPr>
            </w:pPr>
            <w:r>
              <w:rPr>
                <w:rFonts w:hint="eastAsia"/>
                <w:sz w:val="18"/>
                <w:szCs w:val="18"/>
              </w:rPr>
              <w:t>担保人</w:t>
            </w:r>
          </w:p>
        </w:tc>
        <w:tc>
          <w:tcPr>
            <w:tcW w:w="691" w:type="pct"/>
            <w:vAlign w:val="center"/>
          </w:tcPr>
          <w:p w14:paraId="5CC930C2">
            <w:pPr>
              <w:jc w:val="center"/>
              <w:rPr>
                <w:sz w:val="18"/>
                <w:szCs w:val="18"/>
              </w:rPr>
            </w:pPr>
            <w:r>
              <w:rPr>
                <w:rFonts w:hint="eastAsia"/>
                <w:sz w:val="18"/>
                <w:szCs w:val="18"/>
              </w:rPr>
              <w:t>担保人主体信用等级</w:t>
            </w:r>
          </w:p>
        </w:tc>
        <w:tc>
          <w:tcPr>
            <w:tcW w:w="533" w:type="pct"/>
            <w:vAlign w:val="center"/>
          </w:tcPr>
          <w:p w14:paraId="2D605845">
            <w:pPr>
              <w:jc w:val="center"/>
              <w:rPr>
                <w:sz w:val="18"/>
                <w:szCs w:val="18"/>
              </w:rPr>
            </w:pPr>
            <w:r>
              <w:rPr>
                <w:rFonts w:hint="eastAsia"/>
                <w:sz w:val="18"/>
                <w:szCs w:val="18"/>
              </w:rPr>
              <w:t>债券信用等级</w:t>
            </w:r>
          </w:p>
        </w:tc>
        <w:tc>
          <w:tcPr>
            <w:tcW w:w="1819" w:type="pct"/>
            <w:vAlign w:val="center"/>
          </w:tcPr>
          <w:p w14:paraId="64272814">
            <w:pPr>
              <w:jc w:val="center"/>
              <w:rPr>
                <w:sz w:val="18"/>
                <w:szCs w:val="18"/>
              </w:rPr>
            </w:pPr>
            <w:r>
              <w:rPr>
                <w:rFonts w:hint="eastAsia"/>
                <w:sz w:val="18"/>
                <w:szCs w:val="18"/>
              </w:rPr>
              <w:t>增信效果</w:t>
            </w:r>
          </w:p>
        </w:tc>
        <w:tc>
          <w:tcPr>
            <w:tcW w:w="895" w:type="pct"/>
            <w:vAlign w:val="center"/>
          </w:tcPr>
          <w:p w14:paraId="4D397F60">
            <w:pPr>
              <w:jc w:val="center"/>
              <w:rPr>
                <w:sz w:val="18"/>
                <w:szCs w:val="18"/>
              </w:rPr>
            </w:pPr>
            <w:r>
              <w:rPr>
                <w:rFonts w:hint="eastAsia"/>
                <w:sz w:val="18"/>
                <w:szCs w:val="18"/>
              </w:rPr>
              <w:t>增信方式</w:t>
            </w:r>
          </w:p>
        </w:tc>
      </w:tr>
      <w:tr w14:paraId="39DF1E4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62" w:type="pct"/>
            <w:vAlign w:val="center"/>
          </w:tcPr>
          <w:p w14:paraId="55D6D5E6">
            <w:pPr>
              <w:jc w:val="center"/>
              <w:rPr>
                <w:sz w:val="18"/>
                <w:szCs w:val="18"/>
              </w:rPr>
            </w:pPr>
            <w:r>
              <w:rPr>
                <w:rFonts w:hint="eastAsia"/>
                <w:sz w:val="18"/>
                <w:szCs w:val="18"/>
              </w:rPr>
              <w:t>绵阳市投资控股（集团）有限公司</w:t>
            </w:r>
          </w:p>
        </w:tc>
        <w:tc>
          <w:tcPr>
            <w:tcW w:w="691" w:type="pct"/>
            <w:vAlign w:val="center"/>
          </w:tcPr>
          <w:p w14:paraId="2DD8CB0C">
            <w:pPr>
              <w:jc w:val="center"/>
              <w:rPr>
                <w:sz w:val="18"/>
                <w:szCs w:val="18"/>
              </w:rPr>
            </w:pPr>
          </w:p>
        </w:tc>
        <w:tc>
          <w:tcPr>
            <w:tcW w:w="533" w:type="pct"/>
            <w:vAlign w:val="center"/>
          </w:tcPr>
          <w:p w14:paraId="70F253D0">
            <w:pPr>
              <w:jc w:val="center"/>
              <w:rPr>
                <w:sz w:val="18"/>
                <w:szCs w:val="18"/>
              </w:rPr>
            </w:pPr>
            <w:r>
              <w:rPr>
                <w:sz w:val="18"/>
                <w:szCs w:val="18"/>
              </w:rPr>
              <w:t>A</w:t>
            </w:r>
            <w:r>
              <w:rPr>
                <w:rFonts w:hint="eastAsia"/>
                <w:sz w:val="18"/>
                <w:szCs w:val="18"/>
              </w:rPr>
              <w:t>A</w:t>
            </w:r>
          </w:p>
        </w:tc>
        <w:tc>
          <w:tcPr>
            <w:tcW w:w="1819" w:type="pct"/>
            <w:vAlign w:val="center"/>
          </w:tcPr>
          <w:p w14:paraId="1B864535">
            <w:pPr>
              <w:ind w:firstLine="90" w:firstLineChars="50"/>
              <w:rPr>
                <w:sz w:val="18"/>
                <w:szCs w:val="18"/>
              </w:rPr>
            </w:pPr>
            <w:r>
              <w:rPr>
                <w:rFonts w:hint="eastAsia"/>
                <w:sz w:val="18"/>
                <w:szCs w:val="18"/>
              </w:rPr>
              <w:t>提升1个小级别，发行利率远低于同信用等级企业（公司）债券</w:t>
            </w:r>
          </w:p>
        </w:tc>
        <w:tc>
          <w:tcPr>
            <w:tcW w:w="895" w:type="pct"/>
            <w:vAlign w:val="center"/>
          </w:tcPr>
          <w:p w14:paraId="0919B270">
            <w:pPr>
              <w:jc w:val="center"/>
              <w:rPr>
                <w:sz w:val="18"/>
                <w:szCs w:val="18"/>
              </w:rPr>
            </w:pPr>
            <w:r>
              <w:rPr>
                <w:rFonts w:hint="eastAsia"/>
                <w:sz w:val="18"/>
                <w:szCs w:val="18"/>
              </w:rPr>
              <w:t>内在含权设计，第三方担保</w:t>
            </w:r>
          </w:p>
        </w:tc>
      </w:tr>
    </w:tbl>
    <w:p w14:paraId="3F9A1882">
      <w:pPr>
        <w:spacing w:before="312" w:beforeLines="100" w:line="440" w:lineRule="exact"/>
        <w:ind w:firstLine="420" w:firstLineChars="200"/>
      </w:pPr>
      <w:r>
        <w:rPr>
          <w:rFonts w:hint="eastAsia"/>
        </w:rPr>
        <w:t>“09长虹债”是由四川长虹电器股份有限公司（以下简称“四川长虹”，股票代码：600839）于2009年8月19日发行的分离交易的可转换公司债券，该期债券发行规模为30亿元，每张面值100元，每张债券的认购人可无偿获得国电电力派发的认股权证19.1份。“09长虹债”发行期限为6年，发行利率为0.8%。该期分离交易的可转换公司债券主承销商为中国国际金融有限公司。</w:t>
      </w:r>
    </w:p>
    <w:p w14:paraId="15AB1755">
      <w:pPr>
        <w:spacing w:line="440" w:lineRule="exact"/>
      </w:pPr>
      <w:r>
        <w:rPr>
          <w:rFonts w:hint="eastAsia"/>
        </w:rPr>
        <w:t xml:space="preserve">    四川长虹主营业务为电视、空调、冰箱等家电业务和IT及通讯业务，是一家以彩电业为基础的多元化经营的综合类上市公司。截至2008年12月31日，四川长虹总资产为287.25亿元，总负债为161.04亿元，资产负债率为56.06%</w:t>
      </w:r>
      <w:r>
        <w:rPr>
          <w:rStyle w:val="20"/>
        </w:rPr>
        <w:footnoteReference w:id="3"/>
      </w:r>
      <w:r>
        <w:rPr>
          <w:rFonts w:hint="eastAsia"/>
        </w:rPr>
        <w:t>；2008年实现营业收入279.30亿元，净利润2.63亿元，经营活动净现金流35.65亿元。</w:t>
      </w:r>
    </w:p>
    <w:p w14:paraId="5FAAE521">
      <w:pPr>
        <w:spacing w:line="440" w:lineRule="exact"/>
        <w:ind w:firstLine="435"/>
      </w:pPr>
      <w:r>
        <w:t>经</w:t>
      </w:r>
      <w:r>
        <w:rPr>
          <w:rFonts w:hint="eastAsia"/>
        </w:rPr>
        <w:t>中诚信证券</w:t>
      </w:r>
      <w:r>
        <w:t>评估有限公司综合评定</w:t>
      </w:r>
      <w:r>
        <w:rPr>
          <w:rFonts w:hint="eastAsia"/>
        </w:rPr>
        <w:t>，四川长虹长期主体信用等级为AA-。“09长虹债”采用了第三方担保的增信方式，绵阳市投资控股（集团）有限公司为该期债券提供全额不可撤消的连带责任保证担保。担保后，“09长虹债”债券信用等级为AA。</w:t>
      </w:r>
    </w:p>
    <w:p w14:paraId="1A155E82">
      <w:pPr>
        <w:spacing w:line="440" w:lineRule="exact"/>
        <w:ind w:firstLine="435"/>
      </w:pPr>
      <w:r>
        <w:rPr>
          <w:rFonts w:hint="eastAsia"/>
        </w:rPr>
        <w:t>该期分离交易的可转换公司债券也同时采用了含权设计的内部增信方式和第三方担保的外部增信方式。其增信效果较为明显，“09长虹债”发行利率仅为0.8%。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240" w:lineRule="auto"/>
      </w:pPr>
      <w:r>
        <w:separator/>
      </w:r>
    </w:p>
  </w:footnote>
  <w:footnote w:type="continuationSeparator" w:id="9">
    <w:p>
      <w:pPr>
        <w:spacing w:line="240" w:lineRule="auto"/>
      </w:pPr>
      <w:r>
        <w:continuationSeparator/>
      </w:r>
    </w:p>
  </w:footnote>
  <w:footnote w:id="0">
    <w:p w14:paraId="69755663">
      <w:pPr>
        <w:pStyle w:val="15"/>
      </w:pPr>
      <w:r>
        <w:rPr>
          <w:rStyle w:val="20"/>
        </w:rPr>
        <w:footnoteRef/>
      </w:r>
      <w:r>
        <w:t xml:space="preserve"> </w:t>
      </w:r>
      <w:r>
        <w:rPr>
          <w:rFonts w:hint="eastAsia"/>
        </w:rPr>
        <w:t xml:space="preserve"> </w:t>
      </w:r>
      <w:r>
        <w:rPr>
          <w:rFonts w:hint="eastAsia"/>
          <w:kern w:val="0"/>
        </w:rPr>
        <w:t>为截至2009年12月31日所有未到期分离交易的可转换公司债券与企业（公司）债券的平均发行利率。</w:t>
      </w:r>
    </w:p>
  </w:footnote>
  <w:footnote w:id="1">
    <w:p w14:paraId="557FF5E5">
      <w:pPr>
        <w:pStyle w:val="15"/>
      </w:pPr>
      <w:r>
        <w:rPr>
          <w:rStyle w:val="20"/>
        </w:rPr>
        <w:footnoteRef/>
      </w:r>
      <w:r>
        <w:t xml:space="preserve"> </w:t>
      </w:r>
      <w:r>
        <w:rPr>
          <w:rFonts w:hint="eastAsia"/>
        </w:rPr>
        <w:t xml:space="preserve"> 指第一年年利率。</w:t>
      </w:r>
    </w:p>
  </w:footnote>
  <w:footnote w:id="2">
    <w:p w14:paraId="4550DE6F">
      <w:pPr>
        <w:pStyle w:val="15"/>
      </w:pPr>
      <w:r>
        <w:rPr>
          <w:rStyle w:val="20"/>
        </w:rPr>
        <w:footnoteRef/>
      </w:r>
      <w:r>
        <w:t xml:space="preserve"> </w:t>
      </w:r>
      <w:r>
        <w:rPr>
          <w:rFonts w:hint="eastAsia"/>
        </w:rPr>
        <w:t xml:space="preserve"> 摘自发行过程中相关中介机构的材料。</w:t>
      </w:r>
    </w:p>
  </w:footnote>
  <w:footnote w:id="3">
    <w:p w14:paraId="7B9757EC">
      <w:pPr>
        <w:pStyle w:val="15"/>
      </w:pPr>
      <w:r>
        <w:rPr>
          <w:rStyle w:val="20"/>
        </w:rPr>
        <w:footnoteRef/>
      </w:r>
      <w:r>
        <w:t xml:space="preserve"> </w:t>
      </w:r>
      <w:r>
        <w:rPr>
          <w:rFonts w:hint="eastAsia"/>
        </w:rPr>
        <w:t xml:space="preserve"> 摘自发行过程中相关中介机构的材料。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3B02"/>
    <w:rsid w:val="002142B6"/>
    <w:rsid w:val="0024500F"/>
    <w:rsid w:val="004747A5"/>
    <w:rsid w:val="00593B02"/>
    <w:rsid w:val="00674870"/>
    <w:rsid w:val="007F71E7"/>
    <w:rsid w:val="00AD3FF2"/>
    <w:rsid w:val="00C7398C"/>
    <w:rsid w:val="00EE2B2C"/>
    <w:rsid w:val="00F900CB"/>
    <w:rsid w:val="27B4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2"/>
    <w:unhideWhenUsed/>
    <w:qFormat/>
    <w:uiPriority w:val="0"/>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3"/>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8"/>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85858" w:themeColor="text1" w:themeTint="A6"/>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footnote text"/>
    <w:basedOn w:val="1"/>
    <w:link w:val="42"/>
    <w:semiHidden/>
    <w:qFormat/>
    <w:uiPriority w:val="0"/>
    <w:pPr>
      <w:snapToGrid w:val="0"/>
      <w:jc w:val="left"/>
    </w:pPr>
    <w:rPr>
      <w:sz w:val="18"/>
      <w:szCs w:val="18"/>
    </w:rPr>
  </w:style>
  <w:style w:type="paragraph" w:styleId="16">
    <w:name w:val="Normal (Web)"/>
    <w:basedOn w:val="1"/>
    <w:semiHidden/>
    <w:unhideWhenUsed/>
    <w:qFormat/>
    <w:uiPriority w:val="99"/>
    <w:rPr>
      <w:sz w:val="24"/>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footnote reference"/>
    <w:semiHidden/>
    <w:qFormat/>
    <w:uiPriority w:val="0"/>
    <w:rPr>
      <w:vertAlign w:val="superscript"/>
    </w:rPr>
  </w:style>
  <w:style w:type="character" w:customStyle="1" w:styleId="21">
    <w:name w:val="标题 1 字符"/>
    <w:basedOn w:val="19"/>
    <w:link w:val="2"/>
    <w:qFormat/>
    <w:uiPriority w:val="9"/>
    <w:rPr>
      <w:rFonts w:asciiTheme="majorHAnsi" w:hAnsiTheme="majorHAnsi" w:eastAsiaTheme="majorEastAsia" w:cstheme="majorBidi"/>
      <w:color w:val="366091"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4">
    <w:name w:val="标题 4 字符"/>
    <w:basedOn w:val="19"/>
    <w:link w:val="5"/>
    <w:semiHidden/>
    <w:qFormat/>
    <w:uiPriority w:val="9"/>
    <w:rPr>
      <w:rFonts w:cstheme="majorBidi"/>
      <w:color w:val="366091" w:themeColor="accent1" w:themeShade="BF"/>
      <w:sz w:val="28"/>
      <w:szCs w:val="28"/>
    </w:rPr>
  </w:style>
  <w:style w:type="character" w:customStyle="1" w:styleId="25">
    <w:name w:val="标题 5 字符"/>
    <w:basedOn w:val="19"/>
    <w:link w:val="6"/>
    <w:semiHidden/>
    <w:qFormat/>
    <w:uiPriority w:val="9"/>
    <w:rPr>
      <w:rFonts w:cstheme="majorBidi"/>
      <w:color w:val="366091" w:themeColor="accent1" w:themeShade="BF"/>
      <w:sz w:val="24"/>
      <w:szCs w:val="24"/>
    </w:rPr>
  </w:style>
  <w:style w:type="character" w:customStyle="1" w:styleId="26">
    <w:name w:val="标题 6 字符"/>
    <w:basedOn w:val="19"/>
    <w:link w:val="7"/>
    <w:semiHidden/>
    <w:qFormat/>
    <w:uiPriority w:val="9"/>
    <w:rPr>
      <w:rFonts w:cstheme="majorBidi"/>
      <w:b/>
      <w:bCs/>
      <w:color w:val="366091" w:themeColor="accent1" w:themeShade="BF"/>
    </w:rPr>
  </w:style>
  <w:style w:type="character" w:customStyle="1" w:styleId="27">
    <w:name w:val="标题 7 字符"/>
    <w:basedOn w:val="19"/>
    <w:link w:val="8"/>
    <w:semiHidden/>
    <w:qFormat/>
    <w:uiPriority w:val="9"/>
    <w:rPr>
      <w:rFonts w:cstheme="majorBidi"/>
      <w:b/>
      <w:bCs/>
      <w:color w:val="585858" w:themeColor="text1" w:themeTint="A6"/>
    </w:rPr>
  </w:style>
  <w:style w:type="character" w:customStyle="1" w:styleId="28">
    <w:name w:val="标题 8 字符"/>
    <w:basedOn w:val="19"/>
    <w:link w:val="9"/>
    <w:semiHidden/>
    <w:qFormat/>
    <w:uiPriority w:val="9"/>
    <w:rPr>
      <w:rFonts w:cstheme="majorBidi"/>
      <w:color w:val="585858" w:themeColor="text1" w:themeTint="A6"/>
    </w:rPr>
  </w:style>
  <w:style w:type="character" w:customStyle="1" w:styleId="29">
    <w:name w:val="标题 9 字符"/>
    <w:basedOn w:val="19"/>
    <w:link w:val="10"/>
    <w:semiHidden/>
    <w:qFormat/>
    <w:uiPriority w:val="9"/>
    <w:rPr>
      <w:rFonts w:eastAsiaTheme="majorEastAsia" w:cstheme="majorBidi"/>
      <w:color w:val="585858" w:themeColor="text1" w:themeTint="A6"/>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85858" w:themeColor="text1" w:themeTint="A6"/>
      <w:spacing w:val="15"/>
      <w:sz w:val="28"/>
      <w:szCs w:val="28"/>
    </w:rPr>
  </w:style>
  <w:style w:type="paragraph" w:styleId="32">
    <w:name w:val="Quote"/>
    <w:basedOn w:val="1"/>
    <w:next w:val="1"/>
    <w:link w:val="33"/>
    <w:qFormat/>
    <w:uiPriority w:val="29"/>
    <w:pPr>
      <w:spacing w:before="160" w:after="160"/>
      <w:jc w:val="center"/>
    </w:pPr>
    <w:rPr>
      <w:i/>
      <w:iCs/>
      <w:color w:val="3F3F3F" w:themeColor="text1" w:themeTint="BF"/>
    </w:rPr>
  </w:style>
  <w:style w:type="character" w:customStyle="1" w:styleId="33">
    <w:name w:val="引用 字符"/>
    <w:basedOn w:val="19"/>
    <w:link w:val="32"/>
    <w:qFormat/>
    <w:uiPriority w:val="29"/>
    <w:rPr>
      <w:i/>
      <w:iCs/>
      <w:color w:val="3F3F3F" w:themeColor="text1" w:themeTint="BF"/>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366091" w:themeColor="accent1" w:themeShade="BF"/>
    </w:rPr>
  </w:style>
  <w:style w:type="paragraph" w:styleId="36">
    <w:name w:val="Intense Quote"/>
    <w:basedOn w:val="1"/>
    <w:next w:val="1"/>
    <w:link w:val="3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7">
    <w:name w:val="明显引用 字符"/>
    <w:basedOn w:val="19"/>
    <w:link w:val="36"/>
    <w:qFormat/>
    <w:uiPriority w:val="30"/>
    <w:rPr>
      <w:i/>
      <w:iCs/>
      <w:color w:val="366091" w:themeColor="accent1" w:themeShade="BF"/>
    </w:rPr>
  </w:style>
  <w:style w:type="character" w:customStyle="1" w:styleId="38">
    <w:name w:val="Intense Reference"/>
    <w:basedOn w:val="19"/>
    <w:qFormat/>
    <w:uiPriority w:val="32"/>
    <w:rPr>
      <w:b/>
      <w:bCs/>
      <w:smallCaps/>
      <w:color w:val="366091" w:themeColor="accent1" w:themeShade="BF"/>
      <w:spacing w:val="5"/>
    </w:rPr>
  </w:style>
  <w:style w:type="character" w:customStyle="1" w:styleId="39">
    <w:name w:val="标题 2 Char"/>
    <w:qFormat/>
    <w:uiPriority w:val="0"/>
    <w:rPr>
      <w:rFonts w:ascii="Arial" w:hAnsi="Arial" w:eastAsia="黑体"/>
      <w:b/>
      <w:bCs/>
      <w:kern w:val="2"/>
      <w:sz w:val="32"/>
      <w:szCs w:val="32"/>
    </w:rPr>
  </w:style>
  <w:style w:type="character" w:customStyle="1" w:styleId="40">
    <w:name w:val="标题 3 Char"/>
    <w:qFormat/>
    <w:uiPriority w:val="0"/>
    <w:rPr>
      <w:b/>
      <w:bCs/>
      <w:kern w:val="2"/>
      <w:sz w:val="32"/>
      <w:szCs w:val="32"/>
    </w:rPr>
  </w:style>
  <w:style w:type="character" w:customStyle="1" w:styleId="41">
    <w:name w:val="脚注文本 字符"/>
    <w:basedOn w:val="19"/>
    <w:semiHidden/>
    <w:qFormat/>
    <w:uiPriority w:val="99"/>
    <w:rPr>
      <w:rFonts w:ascii="Times New Roman" w:hAnsi="Times New Roman" w:eastAsia="宋体" w:cs="Times New Roman"/>
      <w:sz w:val="18"/>
      <w:szCs w:val="18"/>
    </w:rPr>
  </w:style>
  <w:style w:type="character" w:customStyle="1" w:styleId="42">
    <w:name w:val="脚注文本 字符1"/>
    <w:link w:val="15"/>
    <w:semiHidden/>
    <w:qFormat/>
    <w:uiPriority w:val="0"/>
    <w:rPr>
      <w:rFonts w:ascii="Times New Roman" w:hAnsi="Times New Roman" w:eastAsia="宋体" w:cs="Times New Roman"/>
      <w:sz w:val="18"/>
      <w:szCs w:val="18"/>
    </w:rPr>
  </w:style>
  <w:style w:type="paragraph" w:customStyle="1" w:styleId="43">
    <w:name w:val="标题4"/>
    <w:basedOn w:val="16"/>
    <w:qFormat/>
    <w:uiPriority w:val="0"/>
    <w:pPr>
      <w:widowControl/>
      <w:spacing w:line="360" w:lineRule="auto"/>
    </w:pPr>
    <w:rPr>
      <w:rFonts w:hAnsi="宋体"/>
      <w:b/>
      <w:kern w:val="0"/>
      <w:sz w:val="21"/>
      <w:szCs w:val="21"/>
    </w:rPr>
  </w:style>
  <w:style w:type="character" w:customStyle="1" w:styleId="44">
    <w:name w:val="页眉 字符"/>
    <w:basedOn w:val="19"/>
    <w:link w:val="13"/>
    <w:qFormat/>
    <w:uiPriority w:val="99"/>
    <w:rPr>
      <w:rFonts w:ascii="Times New Roman" w:hAnsi="Times New Roman" w:eastAsia="宋体" w:cs="Times New Roman"/>
      <w:sz w:val="18"/>
      <w:szCs w:val="18"/>
    </w:rPr>
  </w:style>
  <w:style w:type="character" w:customStyle="1" w:styleId="45">
    <w:name w:val="页脚 字符"/>
    <w:basedOn w:val="19"/>
    <w:link w:val="12"/>
    <w:qFormat/>
    <w:uiPriority w:val="99"/>
    <w:rPr>
      <w:rFonts w:ascii="Times New Roman" w:hAnsi="Times New Roman" w:eastAsia="宋体" w:cs="Times New Roman"/>
      <w:sz w:val="18"/>
      <w:szCs w:val="18"/>
    </w:rPr>
  </w:style>
  <w:style w:type="character" w:customStyle="1" w:styleId="46">
    <w:name w:val="脚注文本 Char"/>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2920</Words>
  <Characters>3541</Characters>
  <Lines>31</Lines>
  <Paragraphs>8</Paragraphs>
  <TotalTime>5</TotalTime>
  <ScaleCrop>false</ScaleCrop>
  <LinksUpToDate>false</LinksUpToDate>
  <CharactersWithSpaces>3667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2025-10-21T08:21:00Z</dcterms:created>
  <dc:creator>lenovo</dc:creator>
  <cp:lastModifiedBy>User</cp:lastModifiedBy>
  <dcterms:modified xsi:type="dcterms:W3CDTF">2025-10-22T06:36:48Z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E9C518AEF8264642A3F64FBF1AFBE22E_12</vt:lpwstr>
  </property>
</Properties>
</file>