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94EB5">
      <w:pPr>
        <w:spacing w:before="156" w:beforeLines="50" w:after="156" w:afterLines="50" w:line="440" w:lineRule="exact"/>
        <w:jc w:val="center"/>
        <w:outlineLvl w:val="1"/>
        <w:rPr>
          <w:rFonts w:hint="eastAsia" w:ascii="黑体" w:eastAsia="黑体"/>
          <w:bCs/>
          <w:sz w:val="32"/>
          <w:szCs w:val="32"/>
          <w:lang w:val="en-US" w:eastAsia="zh-CN"/>
        </w:rPr>
      </w:pPr>
      <w:r>
        <w:rPr>
          <w:rFonts w:ascii="黑体" w:eastAsia="黑体"/>
          <w:bCs/>
          <w:sz w:val="32"/>
          <w:szCs w:val="32"/>
        </w:rPr>
        <w:t>发行全覆盖债券的法律环境</w:t>
      </w:r>
      <w:r>
        <w:rPr>
          <w:rFonts w:hint="eastAsia" w:ascii="黑体" w:eastAsia="黑体"/>
          <w:bCs/>
          <w:sz w:val="32"/>
          <w:szCs w:val="32"/>
          <w:lang w:val="en-US" w:eastAsia="zh-CN"/>
        </w:rPr>
        <w:t>分析</w:t>
      </w:r>
      <w:bookmarkStart w:id="12" w:name="_GoBack"/>
      <w:bookmarkEnd w:id="12"/>
    </w:p>
    <w:p w14:paraId="40630B62">
      <w:pPr>
        <w:autoSpaceDE w:val="0"/>
        <w:autoSpaceDN w:val="0"/>
        <w:adjustRightInd w:val="0"/>
        <w:spacing w:line="440" w:lineRule="exact"/>
        <w:ind w:firstLine="480" w:firstLineChars="200"/>
        <w:rPr>
          <w:rFonts w:eastAsia="新宋体"/>
          <w:bCs/>
          <w:kern w:val="0"/>
          <w:sz w:val="24"/>
        </w:rPr>
      </w:pPr>
    </w:p>
    <w:p w14:paraId="5BFD4A59">
      <w:pPr>
        <w:autoSpaceDE w:val="0"/>
        <w:autoSpaceDN w:val="0"/>
        <w:adjustRightInd w:val="0"/>
        <w:spacing w:line="440" w:lineRule="exact"/>
        <w:ind w:firstLine="480" w:firstLineChars="200"/>
        <w:rPr>
          <w:rFonts w:eastAsia="新宋体"/>
          <w:bCs/>
          <w:kern w:val="0"/>
          <w:sz w:val="24"/>
        </w:rPr>
      </w:pPr>
      <w:r>
        <w:rPr>
          <w:rFonts w:eastAsia="新宋体"/>
          <w:bCs/>
          <w:kern w:val="0"/>
          <w:sz w:val="24"/>
        </w:rPr>
        <w:t>全覆盖债券作为一种结构融资的形式，在其设计过程中需要在其法律结构方面作出适当的安排。全覆盖债券的交易流程既是一个经济过程也是一个法律过程。全覆盖债券的产品结构设计精巧，而各参与机构</w:t>
      </w:r>
      <w:r>
        <w:rPr>
          <w:rFonts w:hint="eastAsia" w:eastAsia="新宋体"/>
          <w:bCs/>
          <w:kern w:val="0"/>
          <w:sz w:val="24"/>
        </w:rPr>
        <w:t>和</w:t>
      </w:r>
      <w:r>
        <w:rPr>
          <w:rFonts w:eastAsia="新宋体"/>
          <w:bCs/>
          <w:kern w:val="0"/>
          <w:sz w:val="24"/>
        </w:rPr>
        <w:t>实施的各个环节都需要符合法律规范，各参与人之间的权利义务关系也需要法律契约来维系。</w:t>
      </w:r>
    </w:p>
    <w:p w14:paraId="1F1A14F2">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在全覆盖债券的交易结构中，SPV的法律地位和作用是关键。SPV作为实现全覆盖债券资产隔离和破产</w:t>
      </w:r>
      <w:r>
        <w:rPr>
          <w:rFonts w:hint="eastAsia" w:eastAsia="新宋体"/>
          <w:bCs/>
          <w:kern w:val="0"/>
          <w:sz w:val="24"/>
        </w:rPr>
        <w:t>保护</w:t>
      </w:r>
      <w:r>
        <w:rPr>
          <w:rFonts w:eastAsia="新宋体"/>
          <w:bCs/>
          <w:kern w:val="0"/>
          <w:sz w:val="24"/>
        </w:rPr>
        <w:t>的机构，可采取的形式有公司型、信托型和有限合伙型，因此在从事全覆盖债券业务时首先需要根据本国法律构造SPV的形式。</w:t>
      </w:r>
    </w:p>
    <w:p w14:paraId="46A24EDF">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设立SPV后，发起人将组建的资产池转移给SPV，这一阶段也是证券化过程中的关键，如何既不实现资产的真实出售，又能在发起人破产时充分保护投资者的利益，也需要根据各国法律作出不同的结构设计。</w:t>
      </w:r>
    </w:p>
    <w:p w14:paraId="5BB89B60">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为保持资产池的质量，需要对资产池的资产进行有效的监督和检测，如何保障这种监督的公信力等问题，都需要有法律来进行规范。</w:t>
      </w:r>
    </w:p>
    <w:p w14:paraId="542D8DF6">
      <w:pPr>
        <w:pStyle w:val="4"/>
        <w:adjustRightInd w:val="0"/>
        <w:spacing w:before="156" w:beforeLines="50" w:after="156" w:afterLines="50" w:line="440" w:lineRule="exact"/>
        <w:ind w:firstLine="562" w:firstLineChars="200"/>
        <w:jc w:val="left"/>
        <w:rPr>
          <w:rFonts w:eastAsia="新宋体"/>
          <w:sz w:val="28"/>
          <w:szCs w:val="28"/>
        </w:rPr>
      </w:pPr>
      <w:bookmarkStart w:id="0" w:name="_Toc239689305"/>
      <w:bookmarkStart w:id="1" w:name="_Toc217581346"/>
      <w:bookmarkStart w:id="2" w:name="_Toc217963559"/>
      <w:bookmarkStart w:id="3" w:name="_Toc256506355"/>
      <w:r>
        <w:rPr>
          <w:rFonts w:hint="eastAsia" w:ascii="黑体" w:eastAsia="黑体"/>
          <w:b/>
          <w:sz w:val="28"/>
          <w:szCs w:val="28"/>
        </w:rPr>
        <w:t>一、</w:t>
      </w:r>
      <w:r>
        <w:rPr>
          <w:rFonts w:ascii="黑体" w:eastAsia="黑体"/>
          <w:b/>
          <w:sz w:val="28"/>
          <w:szCs w:val="28"/>
        </w:rPr>
        <w:t>SPV组织形式问题</w:t>
      </w:r>
      <w:bookmarkEnd w:id="0"/>
      <w:bookmarkEnd w:id="1"/>
      <w:bookmarkEnd w:id="2"/>
      <w:bookmarkEnd w:id="3"/>
    </w:p>
    <w:p w14:paraId="72ABF945">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SPV的法律组织形式主要有信托、公司</w:t>
      </w:r>
      <w:r>
        <w:rPr>
          <w:rFonts w:hint="eastAsia" w:eastAsia="新宋体"/>
          <w:bCs/>
          <w:kern w:val="0"/>
          <w:sz w:val="24"/>
        </w:rPr>
        <w:t>和</w:t>
      </w:r>
      <w:r>
        <w:rPr>
          <w:rFonts w:eastAsia="新宋体"/>
          <w:bCs/>
          <w:kern w:val="0"/>
          <w:sz w:val="24"/>
        </w:rPr>
        <w:t>有限合伙三种。</w:t>
      </w:r>
    </w:p>
    <w:p w14:paraId="4A86C347">
      <w:pPr>
        <w:spacing w:line="440" w:lineRule="exact"/>
        <w:ind w:firstLine="482" w:firstLineChars="200"/>
        <w:jc w:val="left"/>
        <w:rPr>
          <w:b/>
          <w:sz w:val="24"/>
        </w:rPr>
      </w:pPr>
      <w:r>
        <w:rPr>
          <w:rFonts w:hint="eastAsia"/>
          <w:b/>
          <w:sz w:val="24"/>
        </w:rPr>
        <w:t>1、</w:t>
      </w:r>
      <w:r>
        <w:rPr>
          <w:b/>
          <w:sz w:val="24"/>
        </w:rPr>
        <w:t>信托型SPV</w:t>
      </w:r>
    </w:p>
    <w:p w14:paraId="2EFE5455">
      <w:pPr>
        <w:autoSpaceDE w:val="0"/>
        <w:autoSpaceDN w:val="0"/>
        <w:adjustRightInd w:val="0"/>
        <w:spacing w:line="440" w:lineRule="exact"/>
        <w:ind w:firstLine="470" w:firstLineChars="196"/>
        <w:jc w:val="left"/>
        <w:rPr>
          <w:rFonts w:eastAsia="新宋体"/>
          <w:bCs/>
          <w:kern w:val="0"/>
          <w:sz w:val="24"/>
        </w:rPr>
      </w:pPr>
      <w:r>
        <w:rPr>
          <w:rFonts w:eastAsia="新宋体"/>
          <w:bCs/>
          <w:kern w:val="0"/>
          <w:sz w:val="24"/>
        </w:rPr>
        <w:t>以信托形式建立的SPV称为特殊目的信托（</w:t>
      </w:r>
      <w:r>
        <w:rPr>
          <w:rFonts w:hint="eastAsia" w:eastAsia="新宋体"/>
          <w:bCs/>
          <w:kern w:val="0"/>
          <w:sz w:val="24"/>
        </w:rPr>
        <w:t>S</w:t>
      </w:r>
      <w:r>
        <w:rPr>
          <w:rFonts w:eastAsia="新宋体"/>
          <w:bCs/>
          <w:kern w:val="0"/>
          <w:sz w:val="24"/>
        </w:rPr>
        <w:t xml:space="preserve">pecial </w:t>
      </w:r>
      <w:r>
        <w:rPr>
          <w:rFonts w:hint="eastAsia" w:eastAsia="新宋体"/>
          <w:bCs/>
          <w:kern w:val="0"/>
          <w:sz w:val="24"/>
        </w:rPr>
        <w:t>P</w:t>
      </w:r>
      <w:r>
        <w:rPr>
          <w:rFonts w:eastAsia="新宋体"/>
          <w:bCs/>
          <w:kern w:val="0"/>
          <w:sz w:val="24"/>
        </w:rPr>
        <w:t xml:space="preserve">urpose </w:t>
      </w:r>
      <w:r>
        <w:rPr>
          <w:rFonts w:hint="eastAsia" w:eastAsia="新宋体"/>
          <w:bCs/>
          <w:kern w:val="0"/>
          <w:sz w:val="24"/>
        </w:rPr>
        <w:t>T</w:t>
      </w:r>
      <w:r>
        <w:rPr>
          <w:rFonts w:eastAsia="新宋体"/>
          <w:bCs/>
          <w:kern w:val="0"/>
          <w:sz w:val="24"/>
        </w:rPr>
        <w:t>rust</w:t>
      </w:r>
      <w:r>
        <w:rPr>
          <w:rFonts w:hint="eastAsia" w:eastAsia="新宋体"/>
          <w:bCs/>
          <w:kern w:val="0"/>
          <w:sz w:val="24"/>
        </w:rPr>
        <w:t>，简称“</w:t>
      </w:r>
      <w:r>
        <w:rPr>
          <w:rFonts w:eastAsia="新宋体"/>
          <w:bCs/>
          <w:kern w:val="0"/>
          <w:sz w:val="24"/>
        </w:rPr>
        <w:t>SPT</w:t>
      </w:r>
      <w:r>
        <w:rPr>
          <w:rFonts w:hint="eastAsia" w:eastAsia="新宋体"/>
          <w:bCs/>
          <w:kern w:val="0"/>
          <w:sz w:val="24"/>
        </w:rPr>
        <w:t>”</w:t>
      </w:r>
      <w:r>
        <w:rPr>
          <w:rFonts w:eastAsia="新宋体"/>
          <w:bCs/>
          <w:kern w:val="0"/>
          <w:sz w:val="24"/>
        </w:rPr>
        <w:t>）</w:t>
      </w:r>
      <w:r>
        <w:rPr>
          <w:rFonts w:hint="eastAsia" w:eastAsia="新宋体"/>
          <w:bCs/>
          <w:kern w:val="0"/>
          <w:sz w:val="24"/>
        </w:rPr>
        <w:t>。此时，</w:t>
      </w:r>
      <w:r>
        <w:rPr>
          <w:rFonts w:eastAsia="新宋体"/>
          <w:bCs/>
          <w:kern w:val="0"/>
          <w:sz w:val="24"/>
        </w:rPr>
        <w:t>作为受托人的SPV是法律规定的营业受托人，通常是经核准有资格经营信托业务的银行</w:t>
      </w:r>
      <w:r>
        <w:rPr>
          <w:rFonts w:hint="eastAsia" w:eastAsia="新宋体"/>
          <w:bCs/>
          <w:kern w:val="0"/>
          <w:sz w:val="24"/>
        </w:rPr>
        <w:t>和</w:t>
      </w:r>
      <w:r>
        <w:rPr>
          <w:rFonts w:eastAsia="新宋体"/>
          <w:bCs/>
          <w:kern w:val="0"/>
          <w:sz w:val="24"/>
        </w:rPr>
        <w:t>信托公司等。</w:t>
      </w:r>
    </w:p>
    <w:p w14:paraId="6DF61D0A">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信托型SPV最大的特征是保持信托财产的独立性。为了确保信托财产的安全，保证信托目的的实现，</w:t>
      </w:r>
      <w:r>
        <w:rPr>
          <w:rFonts w:hint="eastAsia" w:eastAsia="新宋体"/>
          <w:bCs/>
          <w:kern w:val="0"/>
          <w:sz w:val="24"/>
        </w:rPr>
        <w:t>为体现信托财产独立性原则，</w:t>
      </w:r>
      <w:r>
        <w:rPr>
          <w:rFonts w:eastAsia="新宋体"/>
          <w:bCs/>
          <w:kern w:val="0"/>
          <w:sz w:val="24"/>
        </w:rPr>
        <w:t>无论是英美法系还是大陆法系国家的信托法都赋予信托财产</w:t>
      </w:r>
      <w:r>
        <w:rPr>
          <w:rFonts w:hint="eastAsia" w:eastAsia="新宋体"/>
          <w:bCs/>
          <w:kern w:val="0"/>
          <w:sz w:val="24"/>
        </w:rPr>
        <w:t>在法律上</w:t>
      </w:r>
      <w:r>
        <w:rPr>
          <w:rFonts w:eastAsia="新宋体"/>
          <w:bCs/>
          <w:kern w:val="0"/>
          <w:sz w:val="24"/>
        </w:rPr>
        <w:t>独立。</w:t>
      </w:r>
    </w:p>
    <w:p w14:paraId="15C4F282">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信托财产的独立性指信托一旦有效设立，信托财产即从信托、受托和受益人的固有财产中分离出来成为一项独立的财产。就信托人而言，因其转让财产的行为而丧失其对信托财产相应的权利，除非以合同明示保留受托人的诉权或在信托财产上保留权益，否则不能强制执行信托。就受托人而言，虽然因信托的设立而取得信托财产的所有权，但这仅是</w:t>
      </w:r>
      <w:r>
        <w:rPr>
          <w:rFonts w:hint="eastAsia" w:eastAsia="新宋体"/>
          <w:bCs/>
          <w:kern w:val="0"/>
          <w:sz w:val="24"/>
        </w:rPr>
        <w:t>“</w:t>
      </w:r>
      <w:r>
        <w:rPr>
          <w:rFonts w:eastAsia="新宋体"/>
          <w:bCs/>
          <w:kern w:val="0"/>
          <w:sz w:val="24"/>
        </w:rPr>
        <w:t>形式上的所有权人</w:t>
      </w:r>
      <w:r>
        <w:rPr>
          <w:rFonts w:hint="eastAsia" w:eastAsia="新宋体"/>
          <w:bCs/>
          <w:kern w:val="0"/>
          <w:sz w:val="24"/>
        </w:rPr>
        <w:t>”</w:t>
      </w:r>
      <w:r>
        <w:rPr>
          <w:rFonts w:eastAsia="新宋体"/>
          <w:bCs/>
          <w:kern w:val="0"/>
          <w:sz w:val="24"/>
        </w:rPr>
        <w:t>，受托人所获得的财产权仅是对信托财产的支配</w:t>
      </w:r>
      <w:r>
        <w:rPr>
          <w:rFonts w:hint="eastAsia" w:eastAsia="新宋体"/>
          <w:bCs/>
          <w:kern w:val="0"/>
          <w:sz w:val="24"/>
        </w:rPr>
        <w:t>和</w:t>
      </w:r>
      <w:r>
        <w:rPr>
          <w:rFonts w:eastAsia="新宋体"/>
          <w:bCs/>
          <w:kern w:val="0"/>
          <w:sz w:val="24"/>
        </w:rPr>
        <w:t>管理，并未获得信托财产上的权益，受托人仅取得信托财产的使用权，而信托财产的价值则被授予受益人，其享有信托财产的价值支配权。就受益人而言，其虽然对信托财产享有受益权，但这只是一种利益请求权，在信托法律关系存续期间，受益人并不享有信托财产的所有权，即使信托关系终了后，信托人仍可通过信托条款将信托财产本金归于自己或第二人，受益人的利益请求权目的仅在于享有信托利益，而非实际控制和管理某特定的信托财产。</w:t>
      </w:r>
    </w:p>
    <w:p w14:paraId="3F983207">
      <w:pPr>
        <w:spacing w:line="440" w:lineRule="exact"/>
        <w:ind w:firstLine="480" w:firstLineChars="200"/>
        <w:rPr>
          <w:rFonts w:eastAsia="新宋体"/>
          <w:bCs/>
          <w:kern w:val="0"/>
          <w:sz w:val="24"/>
        </w:rPr>
      </w:pPr>
      <w:r>
        <w:rPr>
          <w:rFonts w:eastAsia="新宋体"/>
          <w:bCs/>
          <w:kern w:val="0"/>
          <w:sz w:val="24"/>
        </w:rPr>
        <w:t>2001年</w:t>
      </w:r>
      <w:r>
        <w:rPr>
          <w:rFonts w:hint="eastAsia" w:eastAsia="新宋体"/>
          <w:bCs/>
          <w:kern w:val="0"/>
          <w:sz w:val="24"/>
        </w:rPr>
        <w:t>10月1日起施行的</w:t>
      </w:r>
      <w:r>
        <w:rPr>
          <w:rFonts w:eastAsia="新宋体"/>
          <w:bCs/>
          <w:kern w:val="0"/>
          <w:sz w:val="24"/>
        </w:rPr>
        <w:t>《中华人民共和国信托法》</w:t>
      </w:r>
      <w:r>
        <w:rPr>
          <w:rFonts w:hint="eastAsia" w:eastAsia="新宋体"/>
          <w:bCs/>
          <w:kern w:val="0"/>
          <w:sz w:val="24"/>
        </w:rPr>
        <w:t>（</w:t>
      </w:r>
      <w:r>
        <w:rPr>
          <w:rFonts w:hint="eastAsia"/>
          <w:sz w:val="24"/>
        </w:rPr>
        <w:t>中华人民共和国主席令[2001]第五十号</w:t>
      </w:r>
      <w:r>
        <w:rPr>
          <w:rFonts w:hint="eastAsia" w:eastAsia="新宋体"/>
          <w:bCs/>
          <w:kern w:val="0"/>
          <w:sz w:val="24"/>
        </w:rPr>
        <w:t>）</w:t>
      </w:r>
      <w:r>
        <w:rPr>
          <w:rFonts w:eastAsia="新宋体"/>
          <w:bCs/>
          <w:kern w:val="0"/>
          <w:sz w:val="24"/>
        </w:rPr>
        <w:t>，对信托财产的地位和独立性做出了相应的规定。</w:t>
      </w:r>
      <w:r>
        <w:rPr>
          <w:rFonts w:hint="eastAsia" w:eastAsia="新宋体"/>
          <w:bCs/>
          <w:kern w:val="0"/>
          <w:sz w:val="24"/>
        </w:rPr>
        <w:t>《</w:t>
      </w:r>
      <w:r>
        <w:rPr>
          <w:rFonts w:eastAsia="新宋体"/>
          <w:bCs/>
          <w:kern w:val="0"/>
          <w:sz w:val="24"/>
        </w:rPr>
        <w:t>中华人民共和国信托法</w:t>
      </w:r>
      <w:r>
        <w:rPr>
          <w:rFonts w:hint="eastAsia" w:eastAsia="新宋体"/>
          <w:bCs/>
          <w:kern w:val="0"/>
          <w:sz w:val="24"/>
        </w:rPr>
        <w:t>》（</w:t>
      </w:r>
      <w:r>
        <w:rPr>
          <w:rFonts w:hint="eastAsia"/>
          <w:sz w:val="24"/>
        </w:rPr>
        <w:t>中华人民共和国主席令[2001]第五十号</w:t>
      </w:r>
      <w:r>
        <w:rPr>
          <w:rFonts w:hint="eastAsia" w:eastAsia="新宋体"/>
          <w:bCs/>
          <w:kern w:val="0"/>
          <w:sz w:val="24"/>
        </w:rPr>
        <w:t>）</w:t>
      </w:r>
      <w:r>
        <w:rPr>
          <w:rFonts w:eastAsia="新宋体"/>
          <w:bCs/>
          <w:kern w:val="0"/>
          <w:sz w:val="24"/>
        </w:rPr>
        <w:t>第二条规定，</w:t>
      </w:r>
      <w:r>
        <w:rPr>
          <w:rFonts w:hint="eastAsia" w:eastAsia="新宋体"/>
          <w:bCs/>
          <w:kern w:val="0"/>
          <w:sz w:val="24"/>
        </w:rPr>
        <w:t>“</w:t>
      </w:r>
      <w:r>
        <w:rPr>
          <w:rFonts w:eastAsia="新宋体"/>
          <w:bCs/>
          <w:kern w:val="0"/>
          <w:sz w:val="24"/>
        </w:rPr>
        <w:t>本法所称信托，是指委托人基于对受托人的信任，将其财产权委托给受托人，由受托人按委托人的意愿以自己的名义，为受益人的利益或者特定目的，进行管理或者处分的行为</w:t>
      </w:r>
      <w:r>
        <w:rPr>
          <w:rFonts w:hint="eastAsia" w:eastAsia="新宋体"/>
          <w:bCs/>
          <w:kern w:val="0"/>
          <w:sz w:val="24"/>
        </w:rPr>
        <w:t>”</w:t>
      </w:r>
      <w:r>
        <w:rPr>
          <w:rFonts w:eastAsia="新宋体"/>
          <w:bCs/>
          <w:kern w:val="0"/>
          <w:sz w:val="24"/>
        </w:rPr>
        <w:t>。第十五条规定，</w:t>
      </w:r>
      <w:r>
        <w:rPr>
          <w:rFonts w:hint="eastAsia" w:eastAsia="新宋体"/>
          <w:bCs/>
          <w:kern w:val="0"/>
          <w:sz w:val="24"/>
        </w:rPr>
        <w:t>“</w:t>
      </w:r>
      <w:r>
        <w:rPr>
          <w:rFonts w:eastAsia="新宋体"/>
          <w:bCs/>
          <w:kern w:val="0"/>
          <w:sz w:val="24"/>
        </w:rPr>
        <w:t>信托财产与委托人未设立信托的其他财产相区别，设立信托后，委托人死亡或者依法解散、被依法撤销、被宣告破产时，委托人是唯一受益人的，信托终止，信托财产作为其遗产或者清算财产；委托人不是唯一受益人的，信托存续，信托财产不作为其遗产或者清算财产；但作为共同受益人的委托人死亡或者依法解散、被依法撤销、被宣告破产时，其信托受益权作为其遗产或者清算财产</w:t>
      </w:r>
      <w:r>
        <w:rPr>
          <w:rFonts w:hint="eastAsia" w:eastAsia="新宋体"/>
          <w:bCs/>
          <w:kern w:val="0"/>
          <w:sz w:val="24"/>
        </w:rPr>
        <w:t>”</w:t>
      </w:r>
      <w:r>
        <w:rPr>
          <w:rFonts w:eastAsia="新宋体"/>
          <w:bCs/>
          <w:kern w:val="0"/>
          <w:sz w:val="24"/>
        </w:rPr>
        <w:t>。第十六条规定，</w:t>
      </w:r>
      <w:r>
        <w:rPr>
          <w:rFonts w:hint="eastAsia" w:eastAsia="新宋体"/>
          <w:bCs/>
          <w:kern w:val="0"/>
          <w:sz w:val="24"/>
        </w:rPr>
        <w:t>“</w:t>
      </w:r>
      <w:r>
        <w:rPr>
          <w:rFonts w:eastAsia="新宋体"/>
          <w:bCs/>
          <w:kern w:val="0"/>
          <w:sz w:val="24"/>
        </w:rPr>
        <w:t>信托财产与属于受托人所有的财产（以下简称固有财产）相区别，不得归入受托人的固有财产或者成为固有财产的一部分</w:t>
      </w:r>
      <w:r>
        <w:rPr>
          <w:rFonts w:hint="eastAsia" w:eastAsia="新宋体"/>
          <w:bCs/>
          <w:kern w:val="0"/>
          <w:sz w:val="24"/>
        </w:rPr>
        <w:t>”</w:t>
      </w:r>
      <w:r>
        <w:rPr>
          <w:rFonts w:eastAsia="新宋体"/>
          <w:bCs/>
          <w:kern w:val="0"/>
          <w:sz w:val="24"/>
        </w:rPr>
        <w:t>。上述条文规定了信托财产区别于其他一般财产的法律地位，为实现信托财产的风险隔离和破产隔离提供了有效条件。</w:t>
      </w:r>
    </w:p>
    <w:p w14:paraId="4CC4175A">
      <w:pPr>
        <w:spacing w:line="440" w:lineRule="exact"/>
        <w:ind w:firstLine="480" w:firstLineChars="200"/>
        <w:rPr>
          <w:rFonts w:eastAsia="新宋体"/>
          <w:bCs/>
          <w:kern w:val="0"/>
          <w:sz w:val="24"/>
        </w:rPr>
      </w:pPr>
      <w:r>
        <w:rPr>
          <w:rFonts w:eastAsia="新宋体"/>
          <w:bCs/>
          <w:kern w:val="0"/>
          <w:sz w:val="24"/>
        </w:rPr>
        <w:t>但由于</w:t>
      </w:r>
      <w:r>
        <w:rPr>
          <w:rFonts w:hint="eastAsia" w:eastAsia="新宋体"/>
          <w:bCs/>
          <w:kern w:val="0"/>
          <w:sz w:val="24"/>
        </w:rPr>
        <w:t>《中华人民共和国信托法》（</w:t>
      </w:r>
      <w:r>
        <w:rPr>
          <w:rFonts w:hint="eastAsia"/>
          <w:sz w:val="24"/>
        </w:rPr>
        <w:t>中华人民共和国主席令[2001]第五十号</w:t>
      </w:r>
      <w:r>
        <w:rPr>
          <w:rFonts w:hint="eastAsia" w:eastAsia="新宋体"/>
          <w:bCs/>
          <w:kern w:val="0"/>
          <w:sz w:val="24"/>
        </w:rPr>
        <w:t>）</w:t>
      </w:r>
      <w:r>
        <w:rPr>
          <w:rFonts w:eastAsia="新宋体"/>
          <w:bCs/>
          <w:kern w:val="0"/>
          <w:sz w:val="24"/>
        </w:rPr>
        <w:t>出台后，并未就信托财产的归属作出明确的规定，以及相关法律的不配套，在目前的法律体系下用信托方式来解决我国的SPV设立问题还存在很多障碍。</w:t>
      </w:r>
    </w:p>
    <w:p w14:paraId="19C0A540">
      <w:pPr>
        <w:autoSpaceDE w:val="0"/>
        <w:autoSpaceDN w:val="0"/>
        <w:adjustRightInd w:val="0"/>
        <w:spacing w:line="440" w:lineRule="exact"/>
        <w:ind w:firstLine="480" w:firstLineChars="200"/>
        <w:jc w:val="left"/>
        <w:rPr>
          <w:rFonts w:hint="eastAsia" w:eastAsia="新宋体"/>
          <w:bCs/>
          <w:kern w:val="0"/>
          <w:sz w:val="24"/>
        </w:rPr>
      </w:pPr>
      <w:r>
        <w:rPr>
          <w:rFonts w:hint="eastAsia" w:ascii="新宋体" w:hAnsi="新宋体" w:eastAsia="新宋体"/>
          <w:bCs/>
          <w:kern w:val="0"/>
          <w:sz w:val="24"/>
        </w:rPr>
        <w:t>①</w:t>
      </w:r>
      <w:r>
        <w:rPr>
          <w:rFonts w:eastAsia="新宋体"/>
          <w:bCs/>
          <w:kern w:val="0"/>
          <w:sz w:val="24"/>
        </w:rPr>
        <w:t>信托与破产隔离的冲突</w:t>
      </w:r>
    </w:p>
    <w:p w14:paraId="0E903BA7">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根据《中华人民共和国信托法》</w:t>
      </w:r>
      <w:r>
        <w:rPr>
          <w:rFonts w:hint="eastAsia" w:eastAsia="新宋体"/>
          <w:bCs/>
          <w:kern w:val="0"/>
          <w:sz w:val="24"/>
        </w:rPr>
        <w:t>（</w:t>
      </w:r>
      <w:r>
        <w:rPr>
          <w:rFonts w:hint="eastAsia"/>
          <w:sz w:val="24"/>
        </w:rPr>
        <w:t>中华人民共和国主席令[2001]第五十号</w:t>
      </w:r>
      <w:r>
        <w:rPr>
          <w:rFonts w:hint="eastAsia" w:eastAsia="新宋体"/>
          <w:bCs/>
          <w:kern w:val="0"/>
          <w:sz w:val="24"/>
        </w:rPr>
        <w:t>）</w:t>
      </w:r>
      <w:r>
        <w:rPr>
          <w:rFonts w:eastAsia="新宋体"/>
          <w:bCs/>
          <w:kern w:val="0"/>
          <w:sz w:val="24"/>
        </w:rPr>
        <w:t>第</w:t>
      </w:r>
      <w:r>
        <w:rPr>
          <w:rFonts w:hint="eastAsia" w:eastAsia="新宋体"/>
          <w:bCs/>
          <w:kern w:val="0"/>
          <w:sz w:val="24"/>
        </w:rPr>
        <w:t>二</w:t>
      </w:r>
      <w:r>
        <w:rPr>
          <w:rFonts w:eastAsia="新宋体"/>
          <w:bCs/>
          <w:kern w:val="0"/>
          <w:sz w:val="24"/>
        </w:rPr>
        <w:t>、</w:t>
      </w:r>
      <w:r>
        <w:rPr>
          <w:rFonts w:hint="eastAsia" w:eastAsia="新宋体"/>
          <w:bCs/>
          <w:kern w:val="0"/>
          <w:sz w:val="24"/>
        </w:rPr>
        <w:t>十五和十六</w:t>
      </w:r>
      <w:r>
        <w:rPr>
          <w:rFonts w:eastAsia="新宋体"/>
          <w:bCs/>
          <w:kern w:val="0"/>
          <w:sz w:val="24"/>
        </w:rPr>
        <w:t>条的规定，信托财产的所有权没有明确，而发行全覆盖债券的抵押资产池采取抵押的形式，不实现资产的真实出售，与发起人的财产并没有实现完全的隔离，所以在实施中委托人（发起人）难以将其财产实现破产隔离</w:t>
      </w:r>
      <w:r>
        <w:rPr>
          <w:rFonts w:hint="eastAsia" w:eastAsia="新宋体"/>
          <w:bCs/>
          <w:kern w:val="0"/>
          <w:sz w:val="24"/>
        </w:rPr>
        <w:t>。</w:t>
      </w:r>
      <w:r>
        <w:rPr>
          <w:rFonts w:eastAsia="新宋体"/>
          <w:bCs/>
          <w:kern w:val="0"/>
          <w:sz w:val="24"/>
        </w:rPr>
        <w:t xml:space="preserve"> </w:t>
      </w:r>
    </w:p>
    <w:p w14:paraId="4E4D405F">
      <w:pPr>
        <w:autoSpaceDE w:val="0"/>
        <w:autoSpaceDN w:val="0"/>
        <w:adjustRightInd w:val="0"/>
        <w:spacing w:line="440" w:lineRule="exact"/>
        <w:ind w:firstLine="480" w:firstLineChars="200"/>
        <w:jc w:val="left"/>
        <w:rPr>
          <w:rFonts w:hint="eastAsia" w:eastAsia="新宋体"/>
          <w:bCs/>
          <w:kern w:val="0"/>
          <w:sz w:val="24"/>
        </w:rPr>
      </w:pPr>
      <w:r>
        <w:rPr>
          <w:rFonts w:hint="eastAsia" w:ascii="新宋体" w:hAnsi="新宋体" w:eastAsia="新宋体"/>
          <w:bCs/>
          <w:kern w:val="0"/>
          <w:sz w:val="24"/>
        </w:rPr>
        <w:t>②</w:t>
      </w:r>
      <w:r>
        <w:rPr>
          <w:rFonts w:eastAsia="新宋体"/>
          <w:bCs/>
          <w:kern w:val="0"/>
          <w:sz w:val="24"/>
        </w:rPr>
        <w:t>受托财产能否证券化的问题</w:t>
      </w:r>
    </w:p>
    <w:p w14:paraId="04AB5A07">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《中华人民共和国信托法》</w:t>
      </w:r>
      <w:r>
        <w:rPr>
          <w:rFonts w:hint="eastAsia" w:eastAsia="新宋体"/>
          <w:bCs/>
          <w:kern w:val="0"/>
          <w:sz w:val="24"/>
        </w:rPr>
        <w:t>（</w:t>
      </w:r>
      <w:r>
        <w:rPr>
          <w:rFonts w:hint="eastAsia"/>
          <w:sz w:val="24"/>
        </w:rPr>
        <w:t>中华人民共和国主席令[2001]第五十号</w:t>
      </w:r>
      <w:r>
        <w:rPr>
          <w:rFonts w:hint="eastAsia" w:eastAsia="新宋体"/>
          <w:bCs/>
          <w:kern w:val="0"/>
          <w:sz w:val="24"/>
        </w:rPr>
        <w:t>）</w:t>
      </w:r>
      <w:r>
        <w:rPr>
          <w:rFonts w:eastAsia="新宋体"/>
          <w:bCs/>
          <w:kern w:val="0"/>
          <w:sz w:val="24"/>
        </w:rPr>
        <w:t>只是就信托的一般形态予以规范，并未对信托受益权的证券化形态作出任何规定和解释。此外，根据《信托投资公司管理办法》</w:t>
      </w:r>
      <w:r>
        <w:rPr>
          <w:rFonts w:hint="eastAsia" w:eastAsia="新宋体"/>
          <w:bCs/>
          <w:kern w:val="0"/>
          <w:sz w:val="24"/>
        </w:rPr>
        <w:t>（</w:t>
      </w:r>
      <w:r>
        <w:rPr>
          <w:rFonts w:hint="eastAsia"/>
          <w:sz w:val="24"/>
        </w:rPr>
        <w:t>中国人民银行令[2001]第2号</w:t>
      </w:r>
      <w:r>
        <w:rPr>
          <w:rFonts w:hint="eastAsia" w:eastAsia="新宋体"/>
          <w:bCs/>
          <w:kern w:val="0"/>
          <w:sz w:val="24"/>
        </w:rPr>
        <w:t>）</w:t>
      </w:r>
      <w:r>
        <w:rPr>
          <w:rFonts w:eastAsia="新宋体"/>
          <w:bCs/>
          <w:kern w:val="0"/>
          <w:sz w:val="24"/>
        </w:rPr>
        <w:t>的规定，由于它不能签发受益凭证，也不能发放债券，因此不能以信托投资公司为发行人发行全覆盖债券。</w:t>
      </w:r>
    </w:p>
    <w:p w14:paraId="3CA96608">
      <w:pPr>
        <w:autoSpaceDE w:val="0"/>
        <w:autoSpaceDN w:val="0"/>
        <w:adjustRightInd w:val="0"/>
        <w:spacing w:line="440" w:lineRule="exact"/>
        <w:ind w:firstLine="480" w:firstLineChars="200"/>
        <w:jc w:val="left"/>
        <w:rPr>
          <w:rFonts w:eastAsia="新宋体"/>
          <w:bCs/>
          <w:kern w:val="0"/>
          <w:sz w:val="24"/>
        </w:rPr>
      </w:pPr>
      <w:r>
        <w:rPr>
          <w:rFonts w:hint="eastAsia" w:ascii="新宋体" w:hAnsi="新宋体" w:eastAsia="新宋体"/>
          <w:bCs/>
          <w:kern w:val="0"/>
          <w:sz w:val="24"/>
        </w:rPr>
        <w:t>③</w:t>
      </w:r>
      <w:r>
        <w:rPr>
          <w:rFonts w:eastAsia="新宋体"/>
          <w:bCs/>
          <w:kern w:val="0"/>
          <w:sz w:val="24"/>
        </w:rPr>
        <w:t>债权可否作为信托财产，并为发行债券提供担保的问题，《信托法》对此无明文规定，同时在其他相关法律法规中亦无相应规定。</w:t>
      </w:r>
    </w:p>
    <w:p w14:paraId="49BC102E">
      <w:pPr>
        <w:autoSpaceDE w:val="0"/>
        <w:autoSpaceDN w:val="0"/>
        <w:adjustRightInd w:val="0"/>
        <w:spacing w:line="440" w:lineRule="exact"/>
        <w:ind w:firstLine="480" w:firstLineChars="200"/>
        <w:jc w:val="left"/>
        <w:rPr>
          <w:rFonts w:hint="eastAsia" w:eastAsia="新宋体"/>
          <w:bCs/>
          <w:kern w:val="0"/>
          <w:sz w:val="24"/>
        </w:rPr>
      </w:pPr>
      <w:r>
        <w:rPr>
          <w:rFonts w:eastAsia="新宋体"/>
          <w:bCs/>
          <w:kern w:val="0"/>
          <w:sz w:val="24"/>
        </w:rPr>
        <w:t>根据《中华人民共和国担保法》</w:t>
      </w:r>
      <w:r>
        <w:rPr>
          <w:rFonts w:hint="eastAsia" w:eastAsia="新宋体"/>
          <w:bCs/>
          <w:kern w:val="0"/>
          <w:sz w:val="24"/>
        </w:rPr>
        <w:t>（</w:t>
      </w:r>
      <w:r>
        <w:rPr>
          <w:rFonts w:hint="eastAsia"/>
          <w:sz w:val="24"/>
        </w:rPr>
        <w:t>中华人民共和国主席令[1995]第五十号</w:t>
      </w:r>
      <w:r>
        <w:rPr>
          <w:rFonts w:hint="eastAsia" w:eastAsia="新宋体"/>
          <w:bCs/>
          <w:kern w:val="0"/>
          <w:sz w:val="24"/>
        </w:rPr>
        <w:t>）</w:t>
      </w:r>
      <w:r>
        <w:rPr>
          <w:rFonts w:eastAsia="新宋体"/>
          <w:bCs/>
          <w:kern w:val="0"/>
          <w:sz w:val="24"/>
        </w:rPr>
        <w:t>的规定，质押分为动产质押和权利质押。该法第</w:t>
      </w:r>
      <w:r>
        <w:rPr>
          <w:rFonts w:hint="eastAsia" w:eastAsia="新宋体"/>
          <w:bCs/>
          <w:kern w:val="0"/>
          <w:sz w:val="24"/>
        </w:rPr>
        <w:t>七十五</w:t>
      </w:r>
      <w:r>
        <w:rPr>
          <w:rFonts w:eastAsia="新宋体"/>
          <w:bCs/>
          <w:kern w:val="0"/>
          <w:sz w:val="24"/>
        </w:rPr>
        <w:t>条第</w:t>
      </w:r>
      <w:r>
        <w:rPr>
          <w:rFonts w:hint="eastAsia" w:eastAsia="新宋体"/>
          <w:bCs/>
          <w:kern w:val="0"/>
          <w:sz w:val="24"/>
        </w:rPr>
        <w:t>一</w:t>
      </w:r>
      <w:r>
        <w:rPr>
          <w:rFonts w:eastAsia="新宋体"/>
          <w:bCs/>
          <w:kern w:val="0"/>
          <w:sz w:val="24"/>
        </w:rPr>
        <w:t>款规定</w:t>
      </w:r>
      <w:r>
        <w:rPr>
          <w:rFonts w:hint="eastAsia" w:eastAsia="新宋体"/>
          <w:bCs/>
          <w:kern w:val="0"/>
          <w:sz w:val="24"/>
        </w:rPr>
        <w:t>：“</w:t>
      </w:r>
      <w:r>
        <w:rPr>
          <w:rFonts w:eastAsia="新宋体"/>
          <w:bCs/>
          <w:kern w:val="0"/>
          <w:sz w:val="24"/>
        </w:rPr>
        <w:t>下列权利可以质押：</w:t>
      </w:r>
      <w:r>
        <w:rPr>
          <w:rFonts w:hint="eastAsia" w:eastAsia="新宋体"/>
          <w:bCs/>
          <w:kern w:val="0"/>
          <w:sz w:val="24"/>
        </w:rPr>
        <w:t>（a）</w:t>
      </w:r>
      <w:r>
        <w:rPr>
          <w:rFonts w:eastAsia="新宋体"/>
          <w:bCs/>
          <w:kern w:val="0"/>
          <w:sz w:val="24"/>
        </w:rPr>
        <w:t>汇票、支票、本票、债券、存款单、仓单、提单；</w:t>
      </w:r>
      <w:r>
        <w:rPr>
          <w:rFonts w:hint="eastAsia" w:eastAsia="新宋体"/>
          <w:bCs/>
          <w:kern w:val="0"/>
          <w:sz w:val="24"/>
        </w:rPr>
        <w:t>（b）</w:t>
      </w:r>
      <w:r>
        <w:rPr>
          <w:rFonts w:eastAsia="新宋体"/>
          <w:bCs/>
          <w:kern w:val="0"/>
          <w:sz w:val="24"/>
        </w:rPr>
        <w:t>依法可以转让的股份、股票；</w:t>
      </w:r>
      <w:r>
        <w:rPr>
          <w:rFonts w:hint="eastAsia" w:eastAsia="新宋体"/>
          <w:bCs/>
          <w:kern w:val="0"/>
          <w:sz w:val="24"/>
        </w:rPr>
        <w:t>（c）</w:t>
      </w:r>
      <w:r>
        <w:rPr>
          <w:rFonts w:eastAsia="新宋体"/>
          <w:bCs/>
          <w:kern w:val="0"/>
          <w:sz w:val="24"/>
        </w:rPr>
        <w:t>依法可以转让的商标专用权、专利权、著作权中的财产权：</w:t>
      </w:r>
      <w:r>
        <w:rPr>
          <w:rFonts w:hint="eastAsia" w:eastAsia="新宋体"/>
          <w:bCs/>
          <w:kern w:val="0"/>
          <w:sz w:val="24"/>
        </w:rPr>
        <w:t>（d）</w:t>
      </w:r>
      <w:r>
        <w:rPr>
          <w:rFonts w:eastAsia="新宋体"/>
          <w:bCs/>
          <w:kern w:val="0"/>
          <w:sz w:val="24"/>
        </w:rPr>
        <w:t>依法可以质押的其他权利</w:t>
      </w:r>
      <w:r>
        <w:rPr>
          <w:rFonts w:hint="eastAsia" w:eastAsia="新宋体"/>
          <w:bCs/>
          <w:kern w:val="0"/>
          <w:sz w:val="24"/>
        </w:rPr>
        <w:t>”</w:t>
      </w:r>
      <w:r>
        <w:rPr>
          <w:rFonts w:eastAsia="新宋体"/>
          <w:bCs/>
          <w:kern w:val="0"/>
          <w:sz w:val="24"/>
        </w:rPr>
        <w:t>。</w:t>
      </w:r>
    </w:p>
    <w:p w14:paraId="4EC5954B">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根据民法一般理论，权利质权的标的应该是可让与的财产权，以下几种权利不得为权利质权的标的：</w:t>
      </w:r>
      <w:r>
        <w:rPr>
          <w:rFonts w:hint="eastAsia" w:eastAsia="新宋体"/>
          <w:bCs/>
          <w:kern w:val="0"/>
          <w:sz w:val="24"/>
        </w:rPr>
        <w:t>（a）</w:t>
      </w:r>
      <w:r>
        <w:rPr>
          <w:rFonts w:eastAsia="新宋体"/>
          <w:bCs/>
          <w:kern w:val="0"/>
          <w:sz w:val="24"/>
        </w:rPr>
        <w:t>性质上不得让与的债权；</w:t>
      </w:r>
      <w:r>
        <w:rPr>
          <w:rFonts w:hint="eastAsia" w:eastAsia="新宋体"/>
          <w:bCs/>
          <w:kern w:val="0"/>
          <w:sz w:val="24"/>
        </w:rPr>
        <w:t>（b）</w:t>
      </w:r>
      <w:r>
        <w:rPr>
          <w:rFonts w:eastAsia="新宋体"/>
          <w:bCs/>
          <w:kern w:val="0"/>
          <w:sz w:val="24"/>
        </w:rPr>
        <w:t>依当事人的特约不得让与的债权；</w:t>
      </w:r>
      <w:r>
        <w:rPr>
          <w:rFonts w:hint="eastAsia" w:eastAsia="新宋体"/>
          <w:bCs/>
          <w:kern w:val="0"/>
          <w:sz w:val="24"/>
        </w:rPr>
        <w:t>（c）</w:t>
      </w:r>
      <w:r>
        <w:rPr>
          <w:rFonts w:eastAsia="新宋体"/>
          <w:bCs/>
          <w:kern w:val="0"/>
          <w:sz w:val="24"/>
        </w:rPr>
        <w:t>禁止扣押的债权；</w:t>
      </w:r>
      <w:r>
        <w:rPr>
          <w:rFonts w:hint="eastAsia" w:eastAsia="新宋体"/>
          <w:bCs/>
          <w:kern w:val="0"/>
          <w:sz w:val="24"/>
        </w:rPr>
        <w:t>（d）</w:t>
      </w:r>
      <w:r>
        <w:rPr>
          <w:rFonts w:eastAsia="新宋体"/>
          <w:bCs/>
          <w:kern w:val="0"/>
          <w:sz w:val="24"/>
        </w:rPr>
        <w:t>特别法明定不得让与、查封或者供作担保的债权；</w:t>
      </w:r>
      <w:r>
        <w:rPr>
          <w:rFonts w:hint="eastAsia" w:eastAsia="新宋体"/>
          <w:bCs/>
          <w:kern w:val="0"/>
          <w:sz w:val="24"/>
        </w:rPr>
        <w:t>（e）</w:t>
      </w:r>
      <w:r>
        <w:rPr>
          <w:rFonts w:eastAsia="新宋体"/>
          <w:bCs/>
          <w:kern w:val="0"/>
          <w:sz w:val="24"/>
        </w:rPr>
        <w:t>不动产物权、矿业权、渔业权和水权等；</w:t>
      </w:r>
      <w:r>
        <w:rPr>
          <w:rFonts w:hint="eastAsia" w:eastAsia="新宋体"/>
          <w:bCs/>
          <w:kern w:val="0"/>
          <w:sz w:val="24"/>
        </w:rPr>
        <w:t>（f）</w:t>
      </w:r>
      <w:r>
        <w:rPr>
          <w:rFonts w:eastAsia="新宋体"/>
          <w:bCs/>
          <w:kern w:val="0"/>
          <w:sz w:val="24"/>
        </w:rPr>
        <w:t>动产质权与留置权：</w:t>
      </w:r>
      <w:r>
        <w:rPr>
          <w:rFonts w:hint="eastAsia" w:eastAsia="新宋体"/>
          <w:bCs/>
          <w:kern w:val="0"/>
          <w:sz w:val="24"/>
        </w:rPr>
        <w:t>（g）</w:t>
      </w:r>
      <w:r>
        <w:rPr>
          <w:rFonts w:eastAsia="新宋体"/>
          <w:bCs/>
          <w:kern w:val="0"/>
          <w:sz w:val="24"/>
        </w:rPr>
        <w:t>商标专用权。除上述这些债权以外，一般债权从理论上来说应该是可以设质的，因为其与有体物一样具有交换价值，具有担保债权实现的功能，允许在其上设质有利于提高资产的利用效率。</w:t>
      </w:r>
    </w:p>
    <w:p w14:paraId="0CFD3D42">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《中华人民共和国担保法》</w:t>
      </w:r>
      <w:r>
        <w:rPr>
          <w:rFonts w:hint="eastAsia" w:eastAsia="新宋体"/>
          <w:bCs/>
          <w:kern w:val="0"/>
          <w:sz w:val="24"/>
        </w:rPr>
        <w:t>（</w:t>
      </w:r>
      <w:r>
        <w:rPr>
          <w:rFonts w:hint="eastAsia"/>
          <w:sz w:val="24"/>
        </w:rPr>
        <w:t>中华人民共和国主席令[1995]第五十号</w:t>
      </w:r>
      <w:r>
        <w:rPr>
          <w:rFonts w:hint="eastAsia" w:eastAsia="新宋体"/>
          <w:bCs/>
          <w:kern w:val="0"/>
          <w:sz w:val="24"/>
        </w:rPr>
        <w:t>）</w:t>
      </w:r>
      <w:r>
        <w:rPr>
          <w:rFonts w:eastAsia="新宋体"/>
          <w:bCs/>
          <w:kern w:val="0"/>
          <w:sz w:val="24"/>
        </w:rPr>
        <w:t>没有明确将一般债权列为可质押权利，直接以一般债权作担保进行融资，则存在法律上的不确定性，可能会有损投资者的利益。</w:t>
      </w:r>
    </w:p>
    <w:p w14:paraId="6A23CCBD">
      <w:pPr>
        <w:spacing w:line="440" w:lineRule="exact"/>
        <w:ind w:firstLine="482" w:firstLineChars="200"/>
        <w:jc w:val="left"/>
        <w:rPr>
          <w:b/>
          <w:sz w:val="24"/>
        </w:rPr>
      </w:pPr>
      <w:r>
        <w:rPr>
          <w:rFonts w:hint="eastAsia"/>
          <w:b/>
          <w:sz w:val="24"/>
        </w:rPr>
        <w:t>2、</w:t>
      </w:r>
      <w:r>
        <w:rPr>
          <w:b/>
          <w:sz w:val="24"/>
        </w:rPr>
        <w:t>公司型SPV</w:t>
      </w:r>
    </w:p>
    <w:p w14:paraId="7A725E9A">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公司型SPV最大的特点是可以把一个或一组发起人的基础资产加以证券化，而不管这些资产是否彼此关联，这些证券化交易可以依次进行也可以同时进行。</w:t>
      </w:r>
    </w:p>
    <w:p w14:paraId="10A42206">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在我国现行的公司法律制度下，设立SPV将遇到如下问题：</w:t>
      </w:r>
    </w:p>
    <w:p w14:paraId="03B9FF33">
      <w:pPr>
        <w:autoSpaceDE w:val="0"/>
        <w:autoSpaceDN w:val="0"/>
        <w:adjustRightInd w:val="0"/>
        <w:spacing w:line="440" w:lineRule="exact"/>
        <w:ind w:firstLine="480" w:firstLineChars="200"/>
        <w:jc w:val="left"/>
        <w:rPr>
          <w:rFonts w:hint="eastAsia" w:eastAsia="新宋体"/>
          <w:bCs/>
          <w:kern w:val="0"/>
          <w:sz w:val="24"/>
        </w:rPr>
      </w:pPr>
      <w:r>
        <w:rPr>
          <w:rFonts w:hint="eastAsia" w:ascii="新宋体" w:hAnsi="新宋体" w:eastAsia="新宋体"/>
          <w:bCs/>
          <w:kern w:val="0"/>
          <w:sz w:val="24"/>
        </w:rPr>
        <w:t>①</w:t>
      </w:r>
      <w:r>
        <w:rPr>
          <w:rFonts w:eastAsia="新宋体"/>
          <w:bCs/>
          <w:kern w:val="0"/>
          <w:sz w:val="24"/>
        </w:rPr>
        <w:t>公司法人最低资本金制度。《</w:t>
      </w:r>
      <w:r>
        <w:rPr>
          <w:rFonts w:hint="eastAsia" w:eastAsia="新宋体"/>
          <w:bCs/>
          <w:kern w:val="0"/>
          <w:sz w:val="24"/>
        </w:rPr>
        <w:t>中华人民共和国</w:t>
      </w:r>
      <w:r>
        <w:rPr>
          <w:rFonts w:eastAsia="新宋体"/>
          <w:bCs/>
          <w:kern w:val="0"/>
          <w:sz w:val="24"/>
        </w:rPr>
        <w:t>公司法》</w:t>
      </w:r>
      <w:r>
        <w:rPr>
          <w:rFonts w:hint="eastAsia" w:eastAsia="新宋体"/>
          <w:bCs/>
          <w:kern w:val="0"/>
          <w:sz w:val="24"/>
        </w:rPr>
        <w:t>（中华人民共和国主席令[2005]第四十二号）</w:t>
      </w:r>
      <w:r>
        <w:rPr>
          <w:rFonts w:eastAsia="新宋体"/>
          <w:bCs/>
          <w:kern w:val="0"/>
          <w:sz w:val="24"/>
        </w:rPr>
        <w:t>第</w:t>
      </w:r>
      <w:r>
        <w:rPr>
          <w:rFonts w:hint="eastAsia" w:eastAsia="新宋体"/>
          <w:bCs/>
          <w:kern w:val="0"/>
          <w:sz w:val="24"/>
        </w:rPr>
        <w:t>二十三</w:t>
      </w:r>
      <w:r>
        <w:rPr>
          <w:rFonts w:eastAsia="新宋体"/>
          <w:bCs/>
          <w:kern w:val="0"/>
          <w:sz w:val="24"/>
        </w:rPr>
        <w:t>条规定了各种类型的公司都应具有相应的最低注册资本，而《</w:t>
      </w:r>
      <w:r>
        <w:rPr>
          <w:rFonts w:hint="eastAsia" w:eastAsia="新宋体"/>
          <w:bCs/>
          <w:kern w:val="0"/>
          <w:sz w:val="24"/>
        </w:rPr>
        <w:t>中华人民共和国</w:t>
      </w:r>
      <w:r>
        <w:rPr>
          <w:rFonts w:eastAsia="新宋体"/>
          <w:bCs/>
          <w:kern w:val="0"/>
          <w:sz w:val="24"/>
        </w:rPr>
        <w:t>商业银行法》</w:t>
      </w:r>
      <w:r>
        <w:rPr>
          <w:rFonts w:hint="eastAsia" w:eastAsia="新宋体"/>
          <w:bCs/>
          <w:kern w:val="0"/>
          <w:sz w:val="24"/>
        </w:rPr>
        <w:t>（中华人民共和国主席令[2003]第十三号）</w:t>
      </w:r>
      <w:r>
        <w:rPr>
          <w:rFonts w:eastAsia="新宋体"/>
          <w:bCs/>
          <w:kern w:val="0"/>
          <w:sz w:val="24"/>
        </w:rPr>
        <w:t>和《</w:t>
      </w:r>
      <w:r>
        <w:rPr>
          <w:rFonts w:hint="eastAsia" w:eastAsia="新宋体"/>
          <w:bCs/>
          <w:kern w:val="0"/>
          <w:sz w:val="24"/>
        </w:rPr>
        <w:t>中华人民共和国</w:t>
      </w:r>
      <w:r>
        <w:rPr>
          <w:rFonts w:eastAsia="新宋体"/>
          <w:bCs/>
          <w:kern w:val="0"/>
          <w:sz w:val="24"/>
        </w:rPr>
        <w:t>证券法》</w:t>
      </w:r>
      <w:r>
        <w:rPr>
          <w:rFonts w:hint="eastAsia" w:eastAsia="新宋体"/>
          <w:bCs/>
          <w:kern w:val="0"/>
          <w:sz w:val="24"/>
        </w:rPr>
        <w:t>（</w:t>
      </w:r>
      <w:r>
        <w:rPr>
          <w:sz w:val="24"/>
        </w:rPr>
        <w:t>中华人民共和国主席令</w:t>
      </w:r>
      <w:r>
        <w:rPr>
          <w:rFonts w:hint="eastAsia"/>
          <w:sz w:val="24"/>
        </w:rPr>
        <w:t>[2005]</w:t>
      </w:r>
      <w:r>
        <w:rPr>
          <w:sz w:val="24"/>
        </w:rPr>
        <w:t>第四十三号</w:t>
      </w:r>
      <w:r>
        <w:rPr>
          <w:rFonts w:hint="eastAsia" w:eastAsia="新宋体"/>
          <w:bCs/>
          <w:kern w:val="0"/>
          <w:sz w:val="24"/>
        </w:rPr>
        <w:t>）</w:t>
      </w:r>
      <w:r>
        <w:rPr>
          <w:rFonts w:eastAsia="新宋体"/>
          <w:bCs/>
          <w:kern w:val="0"/>
          <w:sz w:val="24"/>
        </w:rPr>
        <w:t>对经营金融业务的商业银行</w:t>
      </w:r>
      <w:r>
        <w:rPr>
          <w:rFonts w:hint="eastAsia" w:eastAsia="新宋体"/>
          <w:bCs/>
          <w:kern w:val="0"/>
          <w:sz w:val="24"/>
        </w:rPr>
        <w:t>和</w:t>
      </w:r>
      <w:r>
        <w:rPr>
          <w:rFonts w:eastAsia="新宋体"/>
          <w:bCs/>
          <w:kern w:val="0"/>
          <w:sz w:val="24"/>
        </w:rPr>
        <w:t>证券公司等特种公司的注册资本要求更高。这种法定最低资本限额的规定，使得作为</w:t>
      </w:r>
      <w:r>
        <w:rPr>
          <w:rFonts w:hint="eastAsia" w:eastAsia="新宋体"/>
          <w:bCs/>
          <w:kern w:val="0"/>
          <w:sz w:val="24"/>
        </w:rPr>
        <w:t>“</w:t>
      </w:r>
      <w:r>
        <w:rPr>
          <w:rFonts w:eastAsia="新宋体"/>
          <w:bCs/>
          <w:kern w:val="0"/>
          <w:sz w:val="24"/>
        </w:rPr>
        <w:t>空壳公司</w:t>
      </w:r>
      <w:r>
        <w:rPr>
          <w:rFonts w:hint="eastAsia" w:eastAsia="新宋体"/>
          <w:bCs/>
          <w:kern w:val="0"/>
          <w:sz w:val="24"/>
        </w:rPr>
        <w:t>”</w:t>
      </w:r>
      <w:r>
        <w:rPr>
          <w:rFonts w:eastAsia="新宋体"/>
          <w:bCs/>
          <w:kern w:val="0"/>
          <w:sz w:val="24"/>
        </w:rPr>
        <w:t>的SPV难以获得公司法人注册和取得法律上的独立法人地位。</w:t>
      </w:r>
    </w:p>
    <w:p w14:paraId="117FF1CA">
      <w:pPr>
        <w:autoSpaceDE w:val="0"/>
        <w:autoSpaceDN w:val="0"/>
        <w:adjustRightInd w:val="0"/>
        <w:spacing w:line="440" w:lineRule="exact"/>
        <w:ind w:firstLine="480" w:firstLineChars="200"/>
        <w:jc w:val="left"/>
        <w:rPr>
          <w:rFonts w:hint="eastAsia" w:eastAsia="新宋体"/>
          <w:bCs/>
          <w:kern w:val="0"/>
          <w:sz w:val="24"/>
        </w:rPr>
      </w:pPr>
      <w:r>
        <w:rPr>
          <w:rFonts w:eastAsia="新宋体"/>
          <w:bCs/>
          <w:kern w:val="0"/>
          <w:sz w:val="24"/>
        </w:rPr>
        <w:t>②债券发行的法定条件。《</w:t>
      </w:r>
      <w:r>
        <w:rPr>
          <w:rFonts w:hint="eastAsia" w:eastAsia="新宋体"/>
          <w:bCs/>
          <w:kern w:val="0"/>
          <w:sz w:val="24"/>
        </w:rPr>
        <w:t>中华人民共和国</w:t>
      </w:r>
      <w:r>
        <w:rPr>
          <w:rFonts w:eastAsia="新宋体"/>
          <w:bCs/>
          <w:kern w:val="0"/>
          <w:sz w:val="24"/>
        </w:rPr>
        <w:t>公司法》</w:t>
      </w:r>
      <w:r>
        <w:rPr>
          <w:rFonts w:hint="eastAsia" w:eastAsia="新宋体"/>
          <w:bCs/>
          <w:kern w:val="0"/>
          <w:sz w:val="24"/>
        </w:rPr>
        <w:t>（中华人民共和国主席令[2005]第四十二号）</w:t>
      </w:r>
      <w:r>
        <w:rPr>
          <w:rFonts w:eastAsia="新宋体"/>
          <w:bCs/>
          <w:kern w:val="0"/>
          <w:sz w:val="24"/>
        </w:rPr>
        <w:t>第</w:t>
      </w:r>
      <w:r>
        <w:rPr>
          <w:rFonts w:hint="eastAsia" w:eastAsia="新宋体"/>
          <w:bCs/>
          <w:kern w:val="0"/>
          <w:sz w:val="24"/>
        </w:rPr>
        <w:t>一百六十一</w:t>
      </w:r>
      <w:r>
        <w:rPr>
          <w:rFonts w:eastAsia="新宋体"/>
          <w:bCs/>
          <w:kern w:val="0"/>
          <w:sz w:val="24"/>
        </w:rPr>
        <w:t>条规定，只有具备法定条件的公司方可发行公司债券，而作为</w:t>
      </w:r>
      <w:r>
        <w:rPr>
          <w:rFonts w:hint="eastAsia" w:eastAsia="新宋体"/>
          <w:bCs/>
          <w:kern w:val="0"/>
          <w:sz w:val="24"/>
        </w:rPr>
        <w:t>“</w:t>
      </w:r>
      <w:r>
        <w:rPr>
          <w:rFonts w:eastAsia="新宋体"/>
          <w:bCs/>
          <w:kern w:val="0"/>
          <w:sz w:val="24"/>
        </w:rPr>
        <w:t>空壳公司</w:t>
      </w:r>
      <w:r>
        <w:rPr>
          <w:rFonts w:hint="eastAsia" w:eastAsia="新宋体"/>
          <w:bCs/>
          <w:kern w:val="0"/>
          <w:sz w:val="24"/>
        </w:rPr>
        <w:t>”</w:t>
      </w:r>
      <w:r>
        <w:rPr>
          <w:rFonts w:eastAsia="新宋体"/>
          <w:bCs/>
          <w:kern w:val="0"/>
          <w:sz w:val="24"/>
        </w:rPr>
        <w:t>的SPV难以具备公开发行证券的资格。</w:t>
      </w:r>
    </w:p>
    <w:p w14:paraId="746B96F0">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③证券持有人双重税负问题。公司作为一个独立的法律主体必须缴纳一定的所得税，同时证券持有人也要缴纳所得税，除非SPV的融资成本等于其经营收益，这样证券持有人就面临双重税负。</w:t>
      </w:r>
    </w:p>
    <w:p w14:paraId="5E8A7D1B">
      <w:pPr>
        <w:spacing w:line="440" w:lineRule="exact"/>
        <w:ind w:firstLine="482" w:firstLineChars="200"/>
        <w:jc w:val="left"/>
        <w:rPr>
          <w:b/>
          <w:sz w:val="24"/>
        </w:rPr>
      </w:pPr>
      <w:r>
        <w:rPr>
          <w:rFonts w:hint="eastAsia"/>
          <w:b/>
          <w:sz w:val="24"/>
        </w:rPr>
        <w:t>3、</w:t>
      </w:r>
      <w:r>
        <w:rPr>
          <w:b/>
          <w:sz w:val="24"/>
        </w:rPr>
        <w:t>有限合伙型SPV</w:t>
      </w:r>
    </w:p>
    <w:p w14:paraId="01EE61D5">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有限合伙型SPV的重要特点是</w:t>
      </w:r>
      <w:r>
        <w:rPr>
          <w:rFonts w:hint="eastAsia" w:eastAsia="新宋体"/>
          <w:bCs/>
          <w:kern w:val="0"/>
          <w:sz w:val="24"/>
        </w:rPr>
        <w:t>SPV</w:t>
      </w:r>
      <w:r>
        <w:rPr>
          <w:rFonts w:eastAsia="新宋体"/>
          <w:bCs/>
          <w:kern w:val="0"/>
          <w:sz w:val="24"/>
        </w:rPr>
        <w:t>由其成员所有并为其服务，有限合伙型SPV通常主要向其成员即合伙人购买基础资产，主要为其成员证券化融资服务。有限合伙型SPV很好地避免了双重征税的问题，但是风险隔离上却相对欠缺，因此，为了实现破产隔离，它通常要满足一些有关的条件。</w:t>
      </w:r>
    </w:p>
    <w:p w14:paraId="312BE6DF">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我国2006年修订的《中华人民共和国合伙企业法》确立了有限合伙企业的法律地位。</w:t>
      </w:r>
      <w:r>
        <w:rPr>
          <w:rFonts w:hint="eastAsia" w:eastAsia="新宋体"/>
          <w:bCs/>
          <w:kern w:val="0"/>
          <w:sz w:val="24"/>
        </w:rPr>
        <w:t>该法</w:t>
      </w:r>
      <w:r>
        <w:rPr>
          <w:rFonts w:eastAsia="新宋体"/>
          <w:bCs/>
          <w:kern w:val="0"/>
          <w:sz w:val="24"/>
        </w:rPr>
        <w:t>第二条规定：</w:t>
      </w:r>
      <w:r>
        <w:rPr>
          <w:rFonts w:hint="eastAsia" w:eastAsia="新宋体"/>
          <w:bCs/>
          <w:kern w:val="0"/>
          <w:sz w:val="24"/>
        </w:rPr>
        <w:t>“</w:t>
      </w:r>
      <w:r>
        <w:rPr>
          <w:rFonts w:eastAsia="新宋体"/>
          <w:bCs/>
          <w:kern w:val="0"/>
          <w:sz w:val="24"/>
        </w:rPr>
        <w:t>有限合伙企业由普通合伙人和有限合伙人组成，普通合伙人对合伙企业债务承担无限连带责任，有限合伙人以其认缴的出资额为限对合伙企业债务承担责任</w:t>
      </w:r>
      <w:r>
        <w:rPr>
          <w:rFonts w:hint="eastAsia" w:eastAsia="新宋体"/>
          <w:bCs/>
          <w:kern w:val="0"/>
          <w:sz w:val="24"/>
        </w:rPr>
        <w:t>”</w:t>
      </w:r>
      <w:r>
        <w:rPr>
          <w:rFonts w:eastAsia="新宋体"/>
          <w:bCs/>
          <w:kern w:val="0"/>
          <w:sz w:val="24"/>
        </w:rPr>
        <w:t>。有限合伙人以不执行合伙企业事务为代价，获得对合伙企业债务承担的有限责任的权利。因此，在有限合伙企业中，有限合伙人的权利是受到一定限制的，修改后的《中华人民共和国合伙企业法》</w:t>
      </w:r>
      <w:r>
        <w:rPr>
          <w:rFonts w:hint="eastAsia" w:eastAsia="新宋体"/>
          <w:bCs/>
          <w:kern w:val="0"/>
          <w:sz w:val="24"/>
        </w:rPr>
        <w:t>（中华人民共和国主席令[2006]第五十五号）</w:t>
      </w:r>
      <w:r>
        <w:rPr>
          <w:rFonts w:eastAsia="新宋体"/>
          <w:bCs/>
          <w:kern w:val="0"/>
          <w:sz w:val="24"/>
        </w:rPr>
        <w:t>规定：有限合伙人不得以劳务对合伙企业出资；有限合伙人不执行合伙事务，不得对外代表有限合伙企业。</w:t>
      </w:r>
    </w:p>
    <w:p w14:paraId="7C44BF38">
      <w:pPr>
        <w:autoSpaceDE w:val="0"/>
        <w:autoSpaceDN w:val="0"/>
        <w:adjustRightInd w:val="0"/>
        <w:spacing w:line="440" w:lineRule="exact"/>
        <w:ind w:firstLine="480" w:firstLineChars="200"/>
        <w:jc w:val="left"/>
        <w:rPr>
          <w:rFonts w:eastAsia="新宋体"/>
          <w:bCs/>
          <w:kern w:val="0"/>
          <w:sz w:val="24"/>
        </w:rPr>
      </w:pPr>
      <w:r>
        <w:rPr>
          <w:rFonts w:eastAsia="新宋体"/>
          <w:bCs/>
          <w:kern w:val="0"/>
          <w:sz w:val="24"/>
        </w:rPr>
        <w:t>修改后的《中华人民共和国合伙企业法》</w:t>
      </w:r>
      <w:r>
        <w:rPr>
          <w:rFonts w:hint="eastAsia" w:eastAsia="新宋体"/>
          <w:bCs/>
          <w:kern w:val="0"/>
          <w:sz w:val="24"/>
        </w:rPr>
        <w:t>（中华人民共和国主席令[2006]第五十五号）</w:t>
      </w:r>
      <w:r>
        <w:rPr>
          <w:rFonts w:eastAsia="新宋体"/>
          <w:bCs/>
          <w:kern w:val="0"/>
          <w:sz w:val="24"/>
        </w:rPr>
        <w:t>对于有限合伙企业专辟一章进行规范。第六十一条规定：</w:t>
      </w:r>
      <w:r>
        <w:rPr>
          <w:rFonts w:hint="eastAsia" w:eastAsia="新宋体"/>
          <w:bCs/>
          <w:kern w:val="0"/>
          <w:sz w:val="24"/>
        </w:rPr>
        <w:t>“</w:t>
      </w:r>
      <w:r>
        <w:rPr>
          <w:rFonts w:eastAsia="新宋体"/>
          <w:bCs/>
          <w:kern w:val="0"/>
          <w:sz w:val="24"/>
        </w:rPr>
        <w:t>有限合伙企业由二个以上五十个以下合伙人设立；但是，法律另有规定的除外。有限合伙企业至少应当有一个普通合伙人</w:t>
      </w:r>
      <w:r>
        <w:rPr>
          <w:rFonts w:hint="eastAsia" w:eastAsia="新宋体"/>
          <w:bCs/>
          <w:kern w:val="0"/>
          <w:sz w:val="24"/>
        </w:rPr>
        <w:t>”</w:t>
      </w:r>
      <w:r>
        <w:rPr>
          <w:rFonts w:eastAsia="新宋体"/>
          <w:bCs/>
          <w:kern w:val="0"/>
          <w:sz w:val="24"/>
        </w:rPr>
        <w:t>。普通合伙人在有限合伙企业中需提供无限连带责任，该规定实质上确立了有限合伙企业最终必须对外提供无限责任，其破产隔离的作用受到了极大的限制。</w:t>
      </w:r>
    </w:p>
    <w:p w14:paraId="7468BFC0">
      <w:pPr>
        <w:spacing w:line="440" w:lineRule="exact"/>
        <w:ind w:firstLine="645"/>
        <w:rPr>
          <w:rFonts w:eastAsia="新宋体"/>
          <w:sz w:val="24"/>
        </w:rPr>
      </w:pPr>
      <w:r>
        <w:rPr>
          <w:rFonts w:eastAsia="新宋体"/>
          <w:bCs/>
          <w:kern w:val="0"/>
          <w:sz w:val="24"/>
        </w:rPr>
        <w:t>2007年6月1日，《中华人民共和国合伙企业法》</w:t>
      </w:r>
      <w:r>
        <w:rPr>
          <w:rFonts w:hint="eastAsia" w:eastAsia="新宋体"/>
          <w:bCs/>
          <w:kern w:val="0"/>
          <w:sz w:val="24"/>
        </w:rPr>
        <w:t>（中华人民共和国主席令[2006]第五十五号）</w:t>
      </w:r>
      <w:r>
        <w:rPr>
          <w:rFonts w:eastAsia="新宋体"/>
          <w:bCs/>
          <w:kern w:val="0"/>
          <w:sz w:val="24"/>
        </w:rPr>
        <w:t>正式施行。我国已经陆续成立了一批有限合伙企业，如青岛葳尔</w:t>
      </w:r>
      <w:r>
        <w:rPr>
          <w:rFonts w:hint="eastAsia" w:eastAsia="新宋体"/>
          <w:bCs/>
          <w:kern w:val="0"/>
          <w:sz w:val="24"/>
        </w:rPr>
        <w:t>和</w:t>
      </w:r>
      <w:r>
        <w:rPr>
          <w:rFonts w:eastAsia="新宋体"/>
          <w:bCs/>
          <w:kern w:val="0"/>
          <w:sz w:val="24"/>
        </w:rPr>
        <w:t>南海创投等，但当前我国的有限合伙企业都集中在私募股权投资领域</w:t>
      </w:r>
      <w:r>
        <w:rPr>
          <w:rFonts w:hint="eastAsia" w:eastAsia="新宋体"/>
          <w:bCs/>
          <w:kern w:val="0"/>
          <w:sz w:val="24"/>
        </w:rPr>
        <w:t>，</w:t>
      </w:r>
      <w:r>
        <w:rPr>
          <w:rFonts w:eastAsia="新宋体"/>
          <w:bCs/>
          <w:kern w:val="0"/>
          <w:sz w:val="24"/>
        </w:rPr>
        <w:t>并且由于有限合伙企业不是法人机构，尽管《中华人民共和国合伙企业法》</w:t>
      </w:r>
      <w:r>
        <w:rPr>
          <w:rFonts w:hint="eastAsia" w:eastAsia="新宋体"/>
          <w:bCs/>
          <w:kern w:val="0"/>
          <w:sz w:val="24"/>
        </w:rPr>
        <w:t>（中华人民共和国主席令[2006]第五十五号）</w:t>
      </w:r>
      <w:r>
        <w:rPr>
          <w:rFonts w:eastAsia="新宋体"/>
          <w:bCs/>
          <w:kern w:val="0"/>
          <w:sz w:val="24"/>
        </w:rPr>
        <w:t>确立了有限合伙企业的法律地位，但在相关的配套规定并未作出及时的规定，在实际运作中仍然存在若干限制。</w:t>
      </w:r>
    </w:p>
    <w:p w14:paraId="7191250E">
      <w:pPr>
        <w:pStyle w:val="4"/>
        <w:adjustRightInd w:val="0"/>
        <w:spacing w:before="156" w:beforeLines="50" w:after="156" w:afterLines="50" w:line="440" w:lineRule="exact"/>
        <w:ind w:firstLine="562" w:firstLineChars="200"/>
        <w:jc w:val="left"/>
        <w:rPr>
          <w:rFonts w:ascii="黑体" w:eastAsia="黑体"/>
          <w:b/>
          <w:sz w:val="28"/>
          <w:szCs w:val="28"/>
        </w:rPr>
      </w:pPr>
      <w:bookmarkStart w:id="4" w:name="_Toc239689306"/>
      <w:bookmarkStart w:id="5" w:name="_Toc217581347"/>
      <w:bookmarkStart w:id="6" w:name="_Toc217963560"/>
      <w:bookmarkStart w:id="7" w:name="_Toc256506356"/>
      <w:r>
        <w:rPr>
          <w:rFonts w:hint="eastAsia" w:ascii="黑体" w:eastAsia="黑体"/>
          <w:b/>
          <w:sz w:val="28"/>
          <w:szCs w:val="28"/>
        </w:rPr>
        <w:t>二、</w:t>
      </w:r>
      <w:r>
        <w:rPr>
          <w:rFonts w:ascii="黑体" w:eastAsia="黑体"/>
          <w:b/>
          <w:sz w:val="28"/>
          <w:szCs w:val="28"/>
        </w:rPr>
        <w:t>资产池的监督和管理</w:t>
      </w:r>
      <w:bookmarkEnd w:id="4"/>
      <w:bookmarkEnd w:id="5"/>
      <w:bookmarkEnd w:id="6"/>
      <w:bookmarkEnd w:id="7"/>
    </w:p>
    <w:p w14:paraId="6847711C">
      <w:pPr>
        <w:spacing w:line="440" w:lineRule="exact"/>
        <w:ind w:firstLine="480" w:firstLineChars="200"/>
        <w:rPr>
          <w:rFonts w:eastAsia="新宋体"/>
          <w:bCs/>
          <w:kern w:val="0"/>
          <w:sz w:val="24"/>
        </w:rPr>
      </w:pPr>
      <w:r>
        <w:rPr>
          <w:rFonts w:eastAsia="新宋体"/>
          <w:bCs/>
          <w:kern w:val="0"/>
          <w:sz w:val="24"/>
        </w:rPr>
        <w:t>全覆盖债券发行后，为保障其持续的高信用等级，必须由具有公信力的机构对资产池的质量进行持续的检测，并由发起人及时替换不合格的资产，全覆盖债券的资产池是一个动态的资产池。如何保证资产池中不合格的资产及时替换，如何让债券投资者能够方便查询资产池中资产的种类、数量、历史价值和当前的价值，以及抵押资产是否符合规定，发起人是否及时替换不合格的资产，都需要根据国内的环境作出相应规定。</w:t>
      </w:r>
    </w:p>
    <w:p w14:paraId="17CB3616">
      <w:pPr>
        <w:spacing w:line="440" w:lineRule="exact"/>
        <w:ind w:firstLine="470" w:firstLineChars="196"/>
        <w:rPr>
          <w:rFonts w:eastAsia="新宋体"/>
          <w:bCs/>
          <w:kern w:val="0"/>
          <w:sz w:val="24"/>
        </w:rPr>
      </w:pPr>
      <w:r>
        <w:rPr>
          <w:rFonts w:eastAsia="新宋体"/>
          <w:bCs/>
          <w:kern w:val="0"/>
          <w:sz w:val="24"/>
        </w:rPr>
        <w:t>在资产池的质量的监督和检测方面，国外一般由评级机构、会计师事务所或资产评估机构进行持续检测。如在美国，标准普尔（</w:t>
      </w:r>
      <w:r>
        <w:rPr>
          <w:sz w:val="24"/>
        </w:rPr>
        <w:t>Standard &amp; Poor’</w:t>
      </w:r>
      <w:r>
        <w:rPr>
          <w:rFonts w:hint="eastAsia"/>
          <w:sz w:val="24"/>
        </w:rPr>
        <w:t>s</w:t>
      </w:r>
      <w:r>
        <w:rPr>
          <w:rFonts w:eastAsia="新宋体"/>
          <w:bCs/>
          <w:kern w:val="0"/>
          <w:sz w:val="24"/>
        </w:rPr>
        <w:t>）、穆迪（Moody’</w:t>
      </w:r>
      <w:r>
        <w:rPr>
          <w:rFonts w:hint="eastAsia" w:eastAsia="新宋体"/>
          <w:bCs/>
          <w:kern w:val="0"/>
          <w:sz w:val="24"/>
        </w:rPr>
        <w:t>s</w:t>
      </w:r>
      <w:r>
        <w:rPr>
          <w:rFonts w:eastAsia="新宋体"/>
          <w:bCs/>
          <w:kern w:val="0"/>
          <w:sz w:val="24"/>
        </w:rPr>
        <w:t>）和惠誉（Fitch）在资产池质量的监督方面起着决定性作用</w:t>
      </w:r>
      <w:r>
        <w:rPr>
          <w:rFonts w:hint="eastAsia" w:eastAsia="新宋体"/>
          <w:bCs/>
          <w:kern w:val="0"/>
          <w:sz w:val="24"/>
        </w:rPr>
        <w:t>。</w:t>
      </w:r>
      <w:r>
        <w:rPr>
          <w:rFonts w:eastAsia="新宋体"/>
          <w:bCs/>
          <w:kern w:val="0"/>
          <w:sz w:val="24"/>
        </w:rPr>
        <w:t>全覆盖资产池需满足评级机构要求的各种适用性标准，根据发起人每季度提供的数据，评级机构可调整资产百分比以维持全覆盖债券的</w:t>
      </w:r>
      <w:r>
        <w:rPr>
          <w:rFonts w:hint="eastAsia" w:eastAsia="新宋体"/>
          <w:kern w:val="0"/>
          <w:sz w:val="24"/>
        </w:rPr>
        <w:t>信用等级</w:t>
      </w:r>
      <w:r>
        <w:rPr>
          <w:rFonts w:eastAsia="新宋体"/>
          <w:bCs/>
          <w:kern w:val="0"/>
          <w:sz w:val="24"/>
        </w:rPr>
        <w:t>级别。</w:t>
      </w:r>
    </w:p>
    <w:p w14:paraId="69E6A795">
      <w:pPr>
        <w:spacing w:line="440" w:lineRule="exact"/>
        <w:ind w:firstLine="480" w:firstLineChars="200"/>
        <w:rPr>
          <w:rFonts w:eastAsia="新宋体"/>
          <w:bCs/>
          <w:kern w:val="0"/>
          <w:sz w:val="24"/>
        </w:rPr>
      </w:pPr>
      <w:r>
        <w:rPr>
          <w:rFonts w:eastAsia="新宋体"/>
          <w:bCs/>
          <w:kern w:val="0"/>
          <w:sz w:val="24"/>
        </w:rPr>
        <w:t>从国内的情况来看，当前我国的评级机构、会计师事务所和资产评估监督机构均已形成一定的规模，</w:t>
      </w:r>
      <w:r>
        <w:rPr>
          <w:rFonts w:hint="eastAsia" w:eastAsia="新宋体"/>
          <w:bCs/>
          <w:kern w:val="0"/>
          <w:sz w:val="24"/>
        </w:rPr>
        <w:t>但</w:t>
      </w:r>
      <w:r>
        <w:rPr>
          <w:rFonts w:eastAsia="新宋体"/>
          <w:bCs/>
          <w:kern w:val="0"/>
          <w:sz w:val="24"/>
        </w:rPr>
        <w:t>仍需建立相应机制对资产池质量的相关信息进行保障。其中，一种有效而且可行的方式是抵押资产的登记制度。我国目前尚未建立系统的抵押资产登记制度，抵押资产登记的范围和登记机关散见于各个法律，其中最主要的为《中华人民共和国担保法》和《中华人民共和国信托法》的相关规定。</w:t>
      </w:r>
    </w:p>
    <w:p w14:paraId="50B7E4CE">
      <w:pPr>
        <w:spacing w:line="440" w:lineRule="exact"/>
        <w:ind w:firstLine="480" w:firstLineChars="200"/>
        <w:rPr>
          <w:rFonts w:eastAsia="新宋体"/>
          <w:bCs/>
          <w:kern w:val="0"/>
          <w:sz w:val="24"/>
        </w:rPr>
      </w:pPr>
      <w:r>
        <w:rPr>
          <w:rFonts w:eastAsia="新宋体"/>
          <w:bCs/>
          <w:kern w:val="0"/>
          <w:sz w:val="24"/>
        </w:rPr>
        <w:t>《中华人民共和国担保法》</w:t>
      </w:r>
      <w:r>
        <w:rPr>
          <w:rFonts w:hint="eastAsia" w:eastAsia="新宋体"/>
          <w:bCs/>
          <w:kern w:val="0"/>
          <w:sz w:val="24"/>
        </w:rPr>
        <w:t>（</w:t>
      </w:r>
      <w:r>
        <w:rPr>
          <w:rFonts w:hint="eastAsia"/>
          <w:sz w:val="24"/>
        </w:rPr>
        <w:t>中华人民共和国主席令[1995]第五十号</w:t>
      </w:r>
      <w:r>
        <w:rPr>
          <w:rFonts w:hint="eastAsia" w:eastAsia="新宋体"/>
          <w:bCs/>
          <w:kern w:val="0"/>
          <w:sz w:val="24"/>
        </w:rPr>
        <w:t>）</w:t>
      </w:r>
      <w:r>
        <w:rPr>
          <w:rFonts w:eastAsia="新宋体"/>
          <w:bCs/>
          <w:kern w:val="0"/>
          <w:sz w:val="24"/>
        </w:rPr>
        <w:t>第四十</w:t>
      </w:r>
      <w:r>
        <w:rPr>
          <w:rFonts w:hint="eastAsia" w:eastAsia="新宋体"/>
          <w:bCs/>
          <w:kern w:val="0"/>
          <w:sz w:val="24"/>
        </w:rPr>
        <w:t>二</w:t>
      </w:r>
      <w:r>
        <w:rPr>
          <w:rFonts w:eastAsia="新宋体"/>
          <w:bCs/>
          <w:kern w:val="0"/>
          <w:sz w:val="24"/>
        </w:rPr>
        <w:t>条规定，当事人以规定财产抵押的，应当办理抵押物登记，抵押合同自登记之日起生效。</w:t>
      </w:r>
      <w:r>
        <w:rPr>
          <w:rStyle w:val="16"/>
          <w:rFonts w:eastAsia="新宋体"/>
          <w:bCs/>
          <w:kern w:val="0"/>
          <w:sz w:val="24"/>
        </w:rPr>
        <w:footnoteReference w:id="0"/>
      </w:r>
    </w:p>
    <w:p w14:paraId="39D19F55">
      <w:pPr>
        <w:spacing w:line="440" w:lineRule="exact"/>
        <w:ind w:firstLine="480" w:firstLineChars="200"/>
        <w:rPr>
          <w:rFonts w:eastAsia="新宋体"/>
          <w:bCs/>
          <w:kern w:val="0"/>
          <w:sz w:val="24"/>
        </w:rPr>
      </w:pPr>
      <w:r>
        <w:rPr>
          <w:rFonts w:hint="eastAsia" w:eastAsia="新宋体"/>
          <w:bCs/>
          <w:kern w:val="0"/>
          <w:sz w:val="24"/>
        </w:rPr>
        <w:t>《</w:t>
      </w:r>
      <w:r>
        <w:rPr>
          <w:rFonts w:eastAsia="新宋体"/>
          <w:bCs/>
          <w:kern w:val="0"/>
          <w:sz w:val="24"/>
        </w:rPr>
        <w:t>中华人民共和国信托法</w:t>
      </w:r>
      <w:r>
        <w:rPr>
          <w:rFonts w:hint="eastAsia" w:eastAsia="新宋体"/>
          <w:bCs/>
          <w:kern w:val="0"/>
          <w:sz w:val="24"/>
        </w:rPr>
        <w:t>》（</w:t>
      </w:r>
      <w:r>
        <w:rPr>
          <w:rFonts w:hint="eastAsia"/>
          <w:sz w:val="24"/>
        </w:rPr>
        <w:t>中华人民共和国主席令[2001]第五十号</w:t>
      </w:r>
      <w:r>
        <w:rPr>
          <w:rFonts w:hint="eastAsia" w:eastAsia="新宋体"/>
          <w:bCs/>
          <w:kern w:val="0"/>
          <w:sz w:val="24"/>
        </w:rPr>
        <w:t>）</w:t>
      </w:r>
      <w:r>
        <w:rPr>
          <w:rFonts w:eastAsia="新宋体"/>
          <w:bCs/>
          <w:kern w:val="0"/>
          <w:sz w:val="24"/>
        </w:rPr>
        <w:t>则规定了信托财产的登记生效原则，未经登记的信托无效，对包括第三人在内的任何人都不产生约束力。然而，登记制度本身尚要求财产具有相对可确定性，否则无法通过登记来明确，这与信托登记的特殊要求构成了矛盾。因此，在实际的执行过程中，通常只对可确定的财产进行登记。</w:t>
      </w:r>
    </w:p>
    <w:p w14:paraId="39DA5A51">
      <w:pPr>
        <w:spacing w:line="440" w:lineRule="exact"/>
        <w:ind w:firstLine="480" w:firstLineChars="200"/>
        <w:rPr>
          <w:rFonts w:eastAsia="新宋体"/>
          <w:bCs/>
          <w:kern w:val="0"/>
          <w:sz w:val="24"/>
        </w:rPr>
      </w:pPr>
      <w:r>
        <w:rPr>
          <w:rFonts w:eastAsia="新宋体"/>
          <w:bCs/>
          <w:kern w:val="0"/>
          <w:sz w:val="24"/>
        </w:rPr>
        <w:t>从以上的规定可以看出，我国目前的登记部门众多，登记权限分散，没有一个统一的登记部门；不同部门间权限交叉重复的现象非常普遍，在没有统一的登记法典的情况下，不同的部门就同一事项的登记可能不一致甚至相互矛盾，给公众查询和识别造成了困难，其公示力和公信力</w:t>
      </w:r>
      <w:r>
        <w:rPr>
          <w:rFonts w:hint="eastAsia" w:eastAsia="新宋体"/>
          <w:bCs/>
          <w:kern w:val="0"/>
          <w:sz w:val="24"/>
        </w:rPr>
        <w:t>也因此</w:t>
      </w:r>
      <w:r>
        <w:rPr>
          <w:rFonts w:eastAsia="新宋体"/>
          <w:bCs/>
          <w:kern w:val="0"/>
          <w:sz w:val="24"/>
        </w:rPr>
        <w:t>大打折扣。以证券投资基金的登记为例，涉及的登记注册机构至少有中国证券监督管理委员会、</w:t>
      </w:r>
      <w:r>
        <w:rPr>
          <w:rFonts w:hint="eastAsia" w:eastAsia="新宋体"/>
          <w:bCs/>
          <w:kern w:val="0"/>
          <w:sz w:val="24"/>
        </w:rPr>
        <w:t>中华人民共和国国家工商行政管理总局</w:t>
      </w:r>
      <w:r>
        <w:rPr>
          <w:rFonts w:eastAsia="新宋体"/>
          <w:bCs/>
          <w:kern w:val="0"/>
          <w:sz w:val="24"/>
        </w:rPr>
        <w:t>和中国银行业监督管理委员会等部门。在实践中，</w:t>
      </w:r>
      <w:r>
        <w:rPr>
          <w:rFonts w:hint="eastAsia" w:eastAsia="新宋体"/>
          <w:bCs/>
          <w:kern w:val="0"/>
          <w:sz w:val="24"/>
        </w:rPr>
        <w:t>当事人经常</w:t>
      </w:r>
      <w:r>
        <w:rPr>
          <w:rFonts w:eastAsia="新宋体"/>
          <w:bCs/>
          <w:kern w:val="0"/>
          <w:sz w:val="24"/>
        </w:rPr>
        <w:t>以无法可依为由，不予登记，则更使抵押资产登记的规定形同虚设。</w:t>
      </w:r>
    </w:p>
    <w:p w14:paraId="08C7B87C">
      <w:pPr>
        <w:spacing w:line="440" w:lineRule="exact"/>
        <w:ind w:firstLine="480" w:firstLineChars="200"/>
        <w:rPr>
          <w:rFonts w:eastAsia="新宋体"/>
          <w:bCs/>
          <w:kern w:val="0"/>
          <w:sz w:val="24"/>
        </w:rPr>
      </w:pPr>
      <w:r>
        <w:rPr>
          <w:rFonts w:eastAsia="新宋体"/>
          <w:bCs/>
          <w:kern w:val="0"/>
          <w:sz w:val="24"/>
        </w:rPr>
        <w:t>全覆盖债券的抵押资产不属于《中华人民共和国担保法》</w:t>
      </w:r>
      <w:r>
        <w:rPr>
          <w:rFonts w:hint="eastAsia" w:eastAsia="新宋体"/>
          <w:bCs/>
          <w:kern w:val="0"/>
          <w:sz w:val="24"/>
        </w:rPr>
        <w:t>（</w:t>
      </w:r>
      <w:r>
        <w:rPr>
          <w:rFonts w:hint="eastAsia"/>
          <w:sz w:val="24"/>
        </w:rPr>
        <w:t>中华人民共和国主席令[1995]第五十号</w:t>
      </w:r>
      <w:r>
        <w:rPr>
          <w:rFonts w:hint="eastAsia" w:eastAsia="新宋体"/>
          <w:bCs/>
          <w:kern w:val="0"/>
          <w:sz w:val="24"/>
        </w:rPr>
        <w:t>）</w:t>
      </w:r>
      <w:r>
        <w:rPr>
          <w:rFonts w:eastAsia="新宋体"/>
          <w:bCs/>
          <w:kern w:val="0"/>
          <w:sz w:val="24"/>
        </w:rPr>
        <w:t>第四十</w:t>
      </w:r>
      <w:r>
        <w:rPr>
          <w:rFonts w:hint="eastAsia" w:eastAsia="新宋体"/>
          <w:bCs/>
          <w:kern w:val="0"/>
          <w:sz w:val="24"/>
        </w:rPr>
        <w:t>二</w:t>
      </w:r>
      <w:r>
        <w:rPr>
          <w:rFonts w:eastAsia="新宋体"/>
          <w:bCs/>
          <w:kern w:val="0"/>
          <w:sz w:val="24"/>
        </w:rPr>
        <w:t>条的范围，只能依据《中华人民共和国担保法》</w:t>
      </w:r>
      <w:r>
        <w:rPr>
          <w:rFonts w:hint="eastAsia" w:eastAsia="新宋体"/>
          <w:bCs/>
          <w:kern w:val="0"/>
          <w:sz w:val="24"/>
        </w:rPr>
        <w:t>（</w:t>
      </w:r>
      <w:r>
        <w:rPr>
          <w:rFonts w:hint="eastAsia"/>
          <w:sz w:val="24"/>
        </w:rPr>
        <w:t>中华人民共和国主席令[1995]第五十号</w:t>
      </w:r>
      <w:r>
        <w:rPr>
          <w:rFonts w:hint="eastAsia" w:eastAsia="新宋体"/>
          <w:bCs/>
          <w:kern w:val="0"/>
          <w:sz w:val="24"/>
        </w:rPr>
        <w:t>）</w:t>
      </w:r>
      <w:r>
        <w:rPr>
          <w:rFonts w:eastAsia="新宋体"/>
          <w:bCs/>
          <w:kern w:val="0"/>
          <w:sz w:val="24"/>
        </w:rPr>
        <w:t>第四十三条，采取自愿的方式，在抵押人所在地的公证部门进行登记。这种登记的方式是非强制性登记，同时公证部门大多为地方性机构，其影响力较为有限。</w:t>
      </w:r>
    </w:p>
    <w:p w14:paraId="70FD2577">
      <w:pPr>
        <w:pStyle w:val="4"/>
        <w:adjustRightInd w:val="0"/>
        <w:spacing w:before="156" w:beforeLines="50" w:after="156" w:afterLines="50" w:line="432" w:lineRule="exact"/>
        <w:ind w:firstLine="562" w:firstLineChars="200"/>
        <w:jc w:val="left"/>
        <w:rPr>
          <w:rFonts w:ascii="黑体" w:eastAsia="黑体"/>
          <w:b/>
          <w:sz w:val="28"/>
          <w:szCs w:val="28"/>
        </w:rPr>
      </w:pPr>
      <w:bookmarkStart w:id="8" w:name="_Toc217963561"/>
      <w:bookmarkStart w:id="9" w:name="_Toc217581348"/>
      <w:bookmarkStart w:id="10" w:name="_Toc256506357"/>
      <w:bookmarkStart w:id="11" w:name="_Toc239689307"/>
      <w:r>
        <w:rPr>
          <w:rFonts w:hint="eastAsia" w:ascii="黑体" w:eastAsia="黑体"/>
          <w:b/>
          <w:sz w:val="28"/>
          <w:szCs w:val="28"/>
        </w:rPr>
        <w:t>三、</w:t>
      </w:r>
      <w:r>
        <w:rPr>
          <w:rFonts w:ascii="黑体" w:eastAsia="黑体"/>
          <w:b/>
          <w:sz w:val="28"/>
          <w:szCs w:val="28"/>
        </w:rPr>
        <w:t>信贷资产证券化</w:t>
      </w:r>
      <w:bookmarkEnd w:id="8"/>
      <w:bookmarkEnd w:id="9"/>
      <w:r>
        <w:rPr>
          <w:rFonts w:ascii="黑体" w:eastAsia="黑体"/>
          <w:b/>
          <w:sz w:val="28"/>
          <w:szCs w:val="28"/>
        </w:rPr>
        <w:t>问题</w:t>
      </w:r>
      <w:bookmarkEnd w:id="10"/>
      <w:bookmarkEnd w:id="11"/>
    </w:p>
    <w:p w14:paraId="3A933DD1">
      <w:pPr>
        <w:spacing w:line="432" w:lineRule="exact"/>
        <w:ind w:firstLine="480" w:firstLineChars="200"/>
        <w:rPr>
          <w:rFonts w:eastAsia="新宋体"/>
          <w:bCs/>
          <w:kern w:val="0"/>
          <w:sz w:val="24"/>
        </w:rPr>
      </w:pPr>
      <w:r>
        <w:rPr>
          <w:rFonts w:eastAsia="新宋体"/>
          <w:bCs/>
          <w:kern w:val="0"/>
          <w:sz w:val="24"/>
        </w:rPr>
        <w:t>全覆盖债券是由实力雄厚的大型银行发起的，由优质资产进行担保的金融债券。全覆盖债券由抵押贷款或公共部门贷款组成的资产池提供抵押，因此国内信贷资产证券化的有关规定可为全覆盖债券业务的开展提供若干借鉴。</w:t>
      </w:r>
    </w:p>
    <w:p w14:paraId="3DB750DE">
      <w:pPr>
        <w:autoSpaceDE w:val="0"/>
        <w:autoSpaceDN w:val="0"/>
        <w:adjustRightInd w:val="0"/>
        <w:spacing w:line="432" w:lineRule="exact"/>
        <w:ind w:firstLine="480" w:firstLineChars="200"/>
        <w:jc w:val="left"/>
        <w:rPr>
          <w:rFonts w:eastAsia="新宋体"/>
          <w:bCs/>
          <w:kern w:val="0"/>
          <w:sz w:val="24"/>
        </w:rPr>
      </w:pPr>
      <w:r>
        <w:rPr>
          <w:rFonts w:eastAsia="新宋体"/>
          <w:bCs/>
          <w:kern w:val="0"/>
          <w:sz w:val="24"/>
        </w:rPr>
        <w:t>2005年4月，中国人民银行和</w:t>
      </w:r>
      <w:r>
        <w:rPr>
          <w:rFonts w:hint="eastAsia" w:eastAsia="新宋体"/>
          <w:bCs/>
          <w:kern w:val="0"/>
          <w:sz w:val="24"/>
        </w:rPr>
        <w:t>中国</w:t>
      </w:r>
      <w:r>
        <w:rPr>
          <w:rFonts w:eastAsia="新宋体"/>
          <w:bCs/>
          <w:kern w:val="0"/>
          <w:sz w:val="24"/>
        </w:rPr>
        <w:t>银行业监督管理委员会联合发布了《信贷资产证券化试点管理办法》</w:t>
      </w:r>
      <w:r>
        <w:rPr>
          <w:rFonts w:hint="eastAsia" w:eastAsia="新宋体"/>
          <w:bCs/>
          <w:kern w:val="0"/>
          <w:sz w:val="24"/>
        </w:rPr>
        <w:t>（</w:t>
      </w:r>
      <w:r>
        <w:rPr>
          <w:rFonts w:hint="eastAsia"/>
          <w:sz w:val="24"/>
        </w:rPr>
        <w:t>中国人民银行公告[2005]第7号</w:t>
      </w:r>
      <w:r>
        <w:rPr>
          <w:rFonts w:hint="eastAsia" w:eastAsia="新宋体"/>
          <w:bCs/>
          <w:kern w:val="0"/>
          <w:sz w:val="24"/>
        </w:rPr>
        <w:t>）</w:t>
      </w:r>
      <w:r>
        <w:rPr>
          <w:rFonts w:eastAsia="新宋体"/>
          <w:bCs/>
          <w:kern w:val="0"/>
          <w:sz w:val="24"/>
        </w:rPr>
        <w:t>，确定了在我国开展信贷资产证券化试点的基本法律框架。管理办法提出以银行业金融机构作为发起机构，将信贷资产信托给受托机构，由受托机构以资产支持证券的形式向投资机构发行受益证券，以该财产所产生的现金</w:t>
      </w:r>
      <w:r>
        <w:rPr>
          <w:rFonts w:hint="eastAsia" w:eastAsia="新宋体"/>
          <w:bCs/>
          <w:kern w:val="0"/>
          <w:sz w:val="24"/>
        </w:rPr>
        <w:t>流</w:t>
      </w:r>
      <w:r>
        <w:rPr>
          <w:rFonts w:eastAsia="新宋体"/>
          <w:bCs/>
          <w:kern w:val="0"/>
          <w:sz w:val="24"/>
        </w:rPr>
        <w:t>支付资产支持证券收益的结构性融资活动属于信贷资产证券化。并从市场准入、业务规则</w:t>
      </w:r>
      <w:r>
        <w:rPr>
          <w:rFonts w:hint="eastAsia" w:eastAsia="新宋体"/>
          <w:bCs/>
          <w:kern w:val="0"/>
          <w:sz w:val="24"/>
        </w:rPr>
        <w:t>、</w:t>
      </w:r>
      <w:r>
        <w:rPr>
          <w:rFonts w:eastAsia="新宋体"/>
          <w:bCs/>
          <w:kern w:val="0"/>
          <w:sz w:val="24"/>
        </w:rPr>
        <w:t>风险管理</w:t>
      </w:r>
      <w:r>
        <w:rPr>
          <w:rFonts w:hint="eastAsia" w:eastAsia="新宋体"/>
          <w:bCs/>
          <w:kern w:val="0"/>
          <w:sz w:val="24"/>
        </w:rPr>
        <w:t>和</w:t>
      </w:r>
      <w:r>
        <w:rPr>
          <w:rFonts w:eastAsia="新宋体"/>
          <w:bCs/>
          <w:kern w:val="0"/>
          <w:sz w:val="24"/>
        </w:rPr>
        <w:t>资本要求等方面，对中国银行业监督管理委员会所监管金融机构的信贷资产证券化业务活动进行了全面的规范。</w:t>
      </w:r>
    </w:p>
    <w:p w14:paraId="3CA63B9A">
      <w:pPr>
        <w:autoSpaceDE w:val="0"/>
        <w:autoSpaceDN w:val="0"/>
        <w:adjustRightInd w:val="0"/>
        <w:spacing w:line="432" w:lineRule="exact"/>
        <w:ind w:firstLine="480" w:firstLineChars="200"/>
        <w:jc w:val="left"/>
        <w:rPr>
          <w:rFonts w:eastAsia="新宋体"/>
          <w:bCs/>
          <w:kern w:val="0"/>
          <w:sz w:val="24"/>
        </w:rPr>
      </w:pPr>
      <w:r>
        <w:rPr>
          <w:rFonts w:eastAsia="新宋体"/>
          <w:bCs/>
          <w:kern w:val="0"/>
          <w:sz w:val="24"/>
        </w:rPr>
        <w:t>2005年5月</w:t>
      </w:r>
      <w:r>
        <w:rPr>
          <w:rFonts w:hint="eastAsia" w:eastAsia="新宋体"/>
          <w:bCs/>
          <w:kern w:val="0"/>
          <w:sz w:val="24"/>
        </w:rPr>
        <w:t>至</w:t>
      </w:r>
      <w:r>
        <w:rPr>
          <w:rFonts w:eastAsia="新宋体"/>
          <w:bCs/>
          <w:kern w:val="0"/>
          <w:sz w:val="24"/>
        </w:rPr>
        <w:t>2005年8月，</w:t>
      </w:r>
      <w:r>
        <w:rPr>
          <w:rFonts w:hint="eastAsia" w:eastAsia="新宋体"/>
          <w:bCs/>
          <w:kern w:val="0"/>
          <w:sz w:val="24"/>
        </w:rPr>
        <w:t>中国</w:t>
      </w:r>
      <w:r>
        <w:rPr>
          <w:rFonts w:eastAsia="新宋体"/>
          <w:bCs/>
          <w:kern w:val="0"/>
          <w:sz w:val="24"/>
        </w:rPr>
        <w:t>人民银行</w:t>
      </w:r>
      <w:r>
        <w:rPr>
          <w:rFonts w:hint="eastAsia" w:eastAsia="新宋体"/>
          <w:bCs/>
          <w:kern w:val="0"/>
          <w:sz w:val="24"/>
        </w:rPr>
        <w:t>和</w:t>
      </w:r>
      <w:r>
        <w:rPr>
          <w:rFonts w:eastAsia="新宋体"/>
          <w:bCs/>
          <w:kern w:val="0"/>
          <w:sz w:val="24"/>
        </w:rPr>
        <w:t>中华人民共和国财政部、中央国债登记结算有限公司先后颁布《全国银行间债券市场金融债券发行管理办法》</w:t>
      </w:r>
      <w:r>
        <w:rPr>
          <w:rFonts w:hint="eastAsia" w:eastAsia="新宋体"/>
          <w:bCs/>
          <w:kern w:val="0"/>
          <w:sz w:val="24"/>
        </w:rPr>
        <w:t>（</w:t>
      </w:r>
      <w:r>
        <w:rPr>
          <w:rFonts w:hint="eastAsia"/>
          <w:sz w:val="24"/>
        </w:rPr>
        <w:t>中国人民银行令[2005]第1号</w:t>
      </w:r>
      <w:r>
        <w:rPr>
          <w:rFonts w:hint="eastAsia" w:eastAsia="新宋体"/>
          <w:bCs/>
          <w:kern w:val="0"/>
          <w:sz w:val="24"/>
        </w:rPr>
        <w:t>）</w:t>
      </w:r>
      <w:r>
        <w:rPr>
          <w:rFonts w:eastAsia="新宋体"/>
          <w:bCs/>
          <w:kern w:val="0"/>
          <w:sz w:val="24"/>
        </w:rPr>
        <w:t>、《资产支持证券信息披露规则》</w:t>
      </w:r>
      <w:r>
        <w:rPr>
          <w:rFonts w:hint="eastAsia" w:eastAsia="新宋体"/>
          <w:bCs/>
          <w:kern w:val="0"/>
          <w:sz w:val="24"/>
        </w:rPr>
        <w:t>（</w:t>
      </w:r>
      <w:r>
        <w:rPr>
          <w:rFonts w:hint="eastAsia"/>
          <w:sz w:val="24"/>
        </w:rPr>
        <w:t>中国人民银行公告[2005]第14号</w:t>
      </w:r>
      <w:r>
        <w:rPr>
          <w:rFonts w:hint="eastAsia" w:eastAsia="新宋体"/>
          <w:bCs/>
          <w:kern w:val="0"/>
          <w:sz w:val="24"/>
        </w:rPr>
        <w:t>）</w:t>
      </w:r>
      <w:r>
        <w:rPr>
          <w:rFonts w:eastAsia="新宋体"/>
          <w:bCs/>
          <w:kern w:val="0"/>
          <w:sz w:val="24"/>
        </w:rPr>
        <w:t>、《信贷资产证券化试点会计处理规定》</w:t>
      </w:r>
      <w:r>
        <w:rPr>
          <w:rFonts w:hint="eastAsia" w:eastAsia="新宋体"/>
          <w:bCs/>
          <w:kern w:val="0"/>
          <w:sz w:val="24"/>
        </w:rPr>
        <w:t>（</w:t>
      </w:r>
      <w:r>
        <w:rPr>
          <w:sz w:val="24"/>
        </w:rPr>
        <w:t>财会[2005]12号</w:t>
      </w:r>
      <w:r>
        <w:rPr>
          <w:rFonts w:hint="eastAsia" w:eastAsia="新宋体"/>
          <w:bCs/>
          <w:kern w:val="0"/>
          <w:sz w:val="24"/>
        </w:rPr>
        <w:t>）和</w:t>
      </w:r>
      <w:r>
        <w:rPr>
          <w:rFonts w:eastAsia="新宋体"/>
          <w:bCs/>
          <w:kern w:val="0"/>
          <w:sz w:val="24"/>
        </w:rPr>
        <w:t>《资产支持证券发行登记与托管结算业务操作规则》</w:t>
      </w:r>
      <w:r>
        <w:rPr>
          <w:rFonts w:hint="eastAsia" w:eastAsia="新宋体"/>
          <w:bCs/>
          <w:kern w:val="0"/>
          <w:sz w:val="24"/>
        </w:rPr>
        <w:t>（</w:t>
      </w:r>
      <w:r>
        <w:rPr>
          <w:rFonts w:ascii="Arial" w:hAnsi="Arial" w:cs="Arial"/>
          <w:sz w:val="24"/>
        </w:rPr>
        <w:t>中债函字[2005]第37号</w:t>
      </w:r>
      <w:r>
        <w:rPr>
          <w:rFonts w:hint="eastAsia" w:eastAsia="新宋体"/>
          <w:bCs/>
          <w:kern w:val="0"/>
          <w:sz w:val="24"/>
        </w:rPr>
        <w:t>）</w:t>
      </w:r>
      <w:r>
        <w:rPr>
          <w:rFonts w:eastAsia="新宋体"/>
          <w:bCs/>
          <w:kern w:val="0"/>
          <w:sz w:val="24"/>
        </w:rPr>
        <w:t>，对金融债券发行行为做出规范。</w:t>
      </w:r>
    </w:p>
    <w:p w14:paraId="50494C73">
      <w:pPr>
        <w:autoSpaceDE w:val="0"/>
        <w:autoSpaceDN w:val="0"/>
        <w:adjustRightInd w:val="0"/>
        <w:spacing w:line="432" w:lineRule="exact"/>
        <w:ind w:firstLine="480" w:firstLineChars="200"/>
        <w:jc w:val="left"/>
        <w:rPr>
          <w:rFonts w:eastAsia="新宋体"/>
          <w:bCs/>
          <w:kern w:val="0"/>
          <w:sz w:val="24"/>
        </w:rPr>
      </w:pPr>
      <w:r>
        <w:rPr>
          <w:rFonts w:eastAsia="新宋体"/>
          <w:bCs/>
          <w:kern w:val="0"/>
          <w:sz w:val="24"/>
        </w:rPr>
        <w:t>2005年11月，</w:t>
      </w:r>
      <w:r>
        <w:rPr>
          <w:rFonts w:hint="eastAsia" w:eastAsia="新宋体"/>
          <w:bCs/>
          <w:kern w:val="0"/>
          <w:sz w:val="24"/>
        </w:rPr>
        <w:t>中</w:t>
      </w:r>
      <w:r>
        <w:rPr>
          <w:rFonts w:eastAsia="新宋体"/>
          <w:bCs/>
          <w:kern w:val="0"/>
          <w:sz w:val="24"/>
        </w:rPr>
        <w:t>国银行业监督管理委员会发布了《金融机构信贷资产证券化试点监督管理办法》</w:t>
      </w:r>
      <w:r>
        <w:rPr>
          <w:rFonts w:hint="eastAsia" w:eastAsia="新宋体"/>
          <w:bCs/>
          <w:kern w:val="0"/>
          <w:sz w:val="24"/>
        </w:rPr>
        <w:t>（</w:t>
      </w:r>
      <w:r>
        <w:rPr>
          <w:rFonts w:hint="eastAsia"/>
          <w:sz w:val="24"/>
        </w:rPr>
        <w:t>中国银行业监督管理委员会令[2005]第3号</w:t>
      </w:r>
      <w:r>
        <w:rPr>
          <w:rFonts w:hint="eastAsia" w:eastAsia="新宋体"/>
          <w:bCs/>
          <w:kern w:val="0"/>
          <w:sz w:val="24"/>
        </w:rPr>
        <w:t>）</w:t>
      </w:r>
      <w:r>
        <w:rPr>
          <w:rFonts w:eastAsia="新宋体"/>
          <w:bCs/>
          <w:kern w:val="0"/>
          <w:sz w:val="24"/>
        </w:rPr>
        <w:t>，从市场准入、业务规则</w:t>
      </w:r>
      <w:r>
        <w:rPr>
          <w:rFonts w:hint="eastAsia" w:eastAsia="新宋体"/>
          <w:bCs/>
          <w:kern w:val="0"/>
          <w:sz w:val="24"/>
        </w:rPr>
        <w:t>、</w:t>
      </w:r>
      <w:r>
        <w:rPr>
          <w:rFonts w:eastAsia="新宋体"/>
          <w:bCs/>
          <w:kern w:val="0"/>
          <w:sz w:val="24"/>
        </w:rPr>
        <w:t>风险管理</w:t>
      </w:r>
      <w:r>
        <w:rPr>
          <w:rFonts w:hint="eastAsia" w:eastAsia="新宋体"/>
          <w:bCs/>
          <w:kern w:val="0"/>
          <w:sz w:val="24"/>
        </w:rPr>
        <w:t>和</w:t>
      </w:r>
      <w:r>
        <w:rPr>
          <w:rFonts w:eastAsia="新宋体"/>
          <w:bCs/>
          <w:kern w:val="0"/>
          <w:sz w:val="24"/>
        </w:rPr>
        <w:t>资本要求</w:t>
      </w:r>
      <w:r>
        <w:rPr>
          <w:rFonts w:hint="eastAsia" w:eastAsia="新宋体"/>
          <w:bCs/>
          <w:kern w:val="0"/>
          <w:sz w:val="24"/>
        </w:rPr>
        <w:t>等</w:t>
      </w:r>
      <w:r>
        <w:rPr>
          <w:rFonts w:eastAsia="新宋体"/>
          <w:bCs/>
          <w:kern w:val="0"/>
          <w:sz w:val="24"/>
        </w:rPr>
        <w:t>方面对金融机构参与资产证券化业务制定了监管标准，提出了监管要求。对《信贷资产证券化试点管理办法》中有关监管要求进行了更进一步的细化。</w:t>
      </w:r>
    </w:p>
    <w:p w14:paraId="2706B8E3">
      <w:pPr>
        <w:autoSpaceDE w:val="0"/>
        <w:autoSpaceDN w:val="0"/>
        <w:adjustRightInd w:val="0"/>
        <w:spacing w:line="432" w:lineRule="exact"/>
        <w:ind w:firstLine="480" w:firstLineChars="200"/>
        <w:jc w:val="left"/>
        <w:rPr>
          <w:rFonts w:eastAsia="新宋体"/>
          <w:bCs/>
          <w:kern w:val="0"/>
          <w:sz w:val="24"/>
        </w:rPr>
      </w:pPr>
      <w:r>
        <w:rPr>
          <w:rFonts w:eastAsia="新宋体"/>
          <w:bCs/>
          <w:kern w:val="0"/>
          <w:sz w:val="24"/>
        </w:rPr>
        <w:t>2006年3月，中华人民共和国财政部</w:t>
      </w:r>
      <w:r>
        <w:rPr>
          <w:rFonts w:hint="eastAsia" w:eastAsia="新宋体"/>
          <w:bCs/>
          <w:kern w:val="0"/>
          <w:sz w:val="24"/>
        </w:rPr>
        <w:t>和</w:t>
      </w:r>
      <w:r>
        <w:rPr>
          <w:rFonts w:eastAsia="新宋体"/>
          <w:bCs/>
          <w:kern w:val="0"/>
          <w:sz w:val="24"/>
        </w:rPr>
        <w:t>中华人民共和国国家税务总局发出关于</w:t>
      </w:r>
      <w:r>
        <w:rPr>
          <w:rFonts w:hint="eastAsia" w:eastAsia="新宋体"/>
          <w:bCs/>
          <w:kern w:val="0"/>
          <w:sz w:val="24"/>
        </w:rPr>
        <w:t>《</w:t>
      </w:r>
      <w:r>
        <w:rPr>
          <w:rFonts w:eastAsia="新宋体"/>
          <w:bCs/>
          <w:kern w:val="0"/>
          <w:sz w:val="24"/>
        </w:rPr>
        <w:t>信贷资产证券化有关税收政策问题的通知</w:t>
      </w:r>
      <w:r>
        <w:rPr>
          <w:rFonts w:hint="eastAsia" w:eastAsia="新宋体"/>
          <w:bCs/>
          <w:kern w:val="0"/>
          <w:sz w:val="24"/>
        </w:rPr>
        <w:t>》（财税［2006]第5号）</w:t>
      </w:r>
      <w:r>
        <w:rPr>
          <w:rFonts w:eastAsia="新宋体"/>
          <w:bCs/>
          <w:kern w:val="0"/>
          <w:sz w:val="24"/>
        </w:rPr>
        <w:t>，明确了我国银行业开展信贷资产证券化业务试点中的有关税收政策：证券化业务中所涉及的法律合同暂不征收印花</w:t>
      </w:r>
      <w:r>
        <w:rPr>
          <w:rFonts w:hint="eastAsia" w:eastAsia="新宋体"/>
          <w:bCs/>
          <w:kern w:val="0"/>
          <w:sz w:val="24"/>
        </w:rPr>
        <w:t>，</w:t>
      </w:r>
      <w:r>
        <w:rPr>
          <w:rFonts w:eastAsia="新宋体"/>
          <w:bCs/>
          <w:kern w:val="0"/>
          <w:sz w:val="24"/>
        </w:rPr>
        <w:t>对非金融机构投资者的买卖差价收入不征收营业税，对信托项目收益在信托环节暂不征收所得税等。文件还对在信贷资产证券化的过程中，发起机构转让、赎回</w:t>
      </w:r>
      <w:r>
        <w:rPr>
          <w:rFonts w:hint="eastAsia" w:eastAsia="新宋体"/>
          <w:bCs/>
          <w:kern w:val="0"/>
          <w:sz w:val="24"/>
        </w:rPr>
        <w:t>和</w:t>
      </w:r>
      <w:r>
        <w:rPr>
          <w:rFonts w:eastAsia="新宋体"/>
          <w:bCs/>
          <w:kern w:val="0"/>
          <w:sz w:val="24"/>
        </w:rPr>
        <w:t>置换信贷资产等涉税业务，贷款服务机构</w:t>
      </w:r>
      <w:r>
        <w:rPr>
          <w:rFonts w:hint="eastAsia" w:eastAsia="新宋体"/>
          <w:bCs/>
          <w:kern w:val="0"/>
          <w:sz w:val="24"/>
        </w:rPr>
        <w:t>和</w:t>
      </w:r>
      <w:r>
        <w:rPr>
          <w:rFonts w:eastAsia="新宋体"/>
          <w:bCs/>
          <w:kern w:val="0"/>
          <w:sz w:val="24"/>
        </w:rPr>
        <w:t>受托机构等资产证券化过程所涉及的机构的所得税政策问题予以明确并做出具体规定。</w:t>
      </w:r>
    </w:p>
    <w:p w14:paraId="0F822332">
      <w:pPr>
        <w:autoSpaceDE w:val="0"/>
        <w:autoSpaceDN w:val="0"/>
        <w:adjustRightInd w:val="0"/>
        <w:spacing w:line="432" w:lineRule="exact"/>
        <w:ind w:firstLine="480" w:firstLineChars="200"/>
        <w:jc w:val="left"/>
      </w:pPr>
      <w:r>
        <w:rPr>
          <w:rFonts w:eastAsia="新宋体"/>
          <w:bCs/>
          <w:kern w:val="0"/>
          <w:sz w:val="24"/>
        </w:rPr>
        <w:t>此外，</w:t>
      </w:r>
      <w:r>
        <w:rPr>
          <w:rFonts w:hint="eastAsia" w:eastAsia="新宋体"/>
          <w:bCs/>
          <w:kern w:val="0"/>
          <w:sz w:val="24"/>
        </w:rPr>
        <w:t>中华人民共和国建设部</w:t>
      </w:r>
      <w:r>
        <w:rPr>
          <w:rFonts w:eastAsia="新宋体"/>
          <w:bCs/>
          <w:kern w:val="0"/>
          <w:sz w:val="24"/>
        </w:rPr>
        <w:t>下发的《关于个人住房抵押贷款证券化涉及的抵押权变更登记有关问题的试行通知》</w:t>
      </w:r>
      <w:r>
        <w:rPr>
          <w:rFonts w:hint="eastAsia" w:eastAsia="新宋体"/>
          <w:bCs/>
          <w:kern w:val="0"/>
          <w:sz w:val="24"/>
        </w:rPr>
        <w:t>（建住房[2005]77号）</w:t>
      </w:r>
      <w:r>
        <w:rPr>
          <w:rFonts w:eastAsia="新宋体"/>
          <w:bCs/>
          <w:kern w:val="0"/>
          <w:sz w:val="24"/>
        </w:rPr>
        <w:t>就批量办理抵押权变更登记的条件、程序和时限做出了规定。全国银行间同业拆借中心发布的《资产支持证券交易操作规则》</w:t>
      </w:r>
      <w:r>
        <w:rPr>
          <w:rFonts w:hint="eastAsia" w:eastAsia="新宋体"/>
          <w:bCs/>
          <w:kern w:val="0"/>
          <w:sz w:val="24"/>
        </w:rPr>
        <w:t>（</w:t>
      </w:r>
      <w:r>
        <w:rPr>
          <w:rFonts w:hAnsi="Arial"/>
          <w:sz w:val="24"/>
        </w:rPr>
        <w:t>中汇交发</w:t>
      </w:r>
      <w:r>
        <w:rPr>
          <w:sz w:val="24"/>
        </w:rPr>
        <w:t>[2005]</w:t>
      </w:r>
      <w:r>
        <w:rPr>
          <w:rFonts w:hAnsi="Arial"/>
          <w:sz w:val="24"/>
        </w:rPr>
        <w:t>第</w:t>
      </w:r>
      <w:r>
        <w:rPr>
          <w:sz w:val="24"/>
        </w:rPr>
        <w:t>232</w:t>
      </w:r>
      <w:r>
        <w:rPr>
          <w:rFonts w:hAnsi="Arial"/>
          <w:sz w:val="24"/>
        </w:rPr>
        <w:t>号</w:t>
      </w:r>
      <w:r>
        <w:rPr>
          <w:rFonts w:hint="eastAsia" w:eastAsia="新宋体"/>
          <w:bCs/>
          <w:kern w:val="0"/>
          <w:sz w:val="24"/>
        </w:rPr>
        <w:t>）</w:t>
      </w:r>
      <w:r>
        <w:rPr>
          <w:rFonts w:eastAsia="新宋体"/>
          <w:bCs/>
          <w:kern w:val="0"/>
          <w:sz w:val="24"/>
        </w:rPr>
        <w:t>和中央国债登记结算有限责任公司发布的《资产支持证券发行登记与托管结算业务规则》</w:t>
      </w:r>
      <w:r>
        <w:rPr>
          <w:rFonts w:hint="eastAsia" w:eastAsia="新宋体"/>
          <w:bCs/>
          <w:kern w:val="0"/>
          <w:sz w:val="24"/>
        </w:rPr>
        <w:t>（中债字[2005]第60号）</w:t>
      </w:r>
      <w:r>
        <w:rPr>
          <w:rFonts w:eastAsia="新宋体"/>
          <w:bCs/>
          <w:kern w:val="0"/>
          <w:sz w:val="24"/>
        </w:rPr>
        <w:t>完善了资产证券化产品的隔离和防范风险的登记、托管、交易和结算机制。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4EC7C752">
      <w:pPr>
        <w:pStyle w:val="12"/>
        <w:rPr>
          <w:rFonts w:hint="eastAsia"/>
        </w:rPr>
      </w:pPr>
      <w:r>
        <w:rPr>
          <w:rStyle w:val="16"/>
        </w:rPr>
        <w:footnoteRef/>
      </w:r>
      <w:r>
        <w:t xml:space="preserve"> </w:t>
      </w:r>
      <w:r>
        <w:rPr>
          <w:rFonts w:hint="eastAsia"/>
        </w:rPr>
        <w:t xml:space="preserve"> 具体规定见7.2.2部分。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539E"/>
    <w:rsid w:val="00614B4E"/>
    <w:rsid w:val="00BB539E"/>
    <w:rsid w:val="00C7398C"/>
    <w:rsid w:val="00F900CB"/>
    <w:rsid w:val="76F5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19"/>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footnote text"/>
    <w:basedOn w:val="1"/>
    <w:link w:val="37"/>
    <w:semiHidden/>
    <w:qFormat/>
    <w:uiPriority w:val="0"/>
    <w:pPr>
      <w:snapToGrid w:val="0"/>
      <w:jc w:val="left"/>
    </w:pPr>
    <w:rPr>
      <w:sz w:val="18"/>
      <w:szCs w:val="18"/>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footnote reference"/>
    <w:semiHidden/>
    <w:qFormat/>
    <w:uiPriority w:val="0"/>
    <w:rPr>
      <w:vertAlign w:val="superscript"/>
    </w:rPr>
  </w:style>
  <w:style w:type="character" w:customStyle="1" w:styleId="17">
    <w:name w:val="标题 1 字符"/>
    <w:basedOn w:val="15"/>
    <w:link w:val="2"/>
    <w:qFormat/>
    <w:uiPriority w:val="9"/>
    <w:rPr>
      <w:rFonts w:asciiTheme="majorHAnsi" w:hAnsiTheme="majorHAnsi" w:eastAsiaTheme="majorEastAsia" w:cstheme="majorBidi"/>
      <w:color w:val="366091"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0">
    <w:name w:val="标题 4 字符"/>
    <w:basedOn w:val="15"/>
    <w:link w:val="5"/>
    <w:semiHidden/>
    <w:qFormat/>
    <w:uiPriority w:val="9"/>
    <w:rPr>
      <w:rFonts w:cstheme="majorBidi"/>
      <w:color w:val="366091" w:themeColor="accent1" w:themeShade="BF"/>
      <w:sz w:val="28"/>
      <w:szCs w:val="28"/>
    </w:rPr>
  </w:style>
  <w:style w:type="character" w:customStyle="1" w:styleId="21">
    <w:name w:val="标题 5 字符"/>
    <w:basedOn w:val="15"/>
    <w:link w:val="6"/>
    <w:semiHidden/>
    <w:qFormat/>
    <w:uiPriority w:val="9"/>
    <w:rPr>
      <w:rFonts w:cstheme="majorBidi"/>
      <w:color w:val="366091" w:themeColor="accent1" w:themeShade="BF"/>
      <w:sz w:val="24"/>
      <w:szCs w:val="24"/>
    </w:rPr>
  </w:style>
  <w:style w:type="character" w:customStyle="1" w:styleId="22">
    <w:name w:val="标题 6 字符"/>
    <w:basedOn w:val="15"/>
    <w:link w:val="7"/>
    <w:semiHidden/>
    <w:qFormat/>
    <w:uiPriority w:val="9"/>
    <w:rPr>
      <w:rFonts w:cstheme="majorBidi"/>
      <w:b/>
      <w:bCs/>
      <w:color w:val="366091" w:themeColor="accent1" w:themeShade="BF"/>
    </w:rPr>
  </w:style>
  <w:style w:type="character" w:customStyle="1" w:styleId="23">
    <w:name w:val="标题 7 字符"/>
    <w:basedOn w:val="15"/>
    <w:link w:val="8"/>
    <w:semiHidden/>
    <w:qFormat/>
    <w:uiPriority w:val="9"/>
    <w:rPr>
      <w:rFonts w:cstheme="majorBidi"/>
      <w:b/>
      <w:bCs/>
      <w:color w:val="585858" w:themeColor="text1" w:themeTint="A6"/>
    </w:rPr>
  </w:style>
  <w:style w:type="character" w:customStyle="1" w:styleId="24">
    <w:name w:val="标题 8 字符"/>
    <w:basedOn w:val="15"/>
    <w:link w:val="9"/>
    <w:semiHidden/>
    <w:qFormat/>
    <w:uiPriority w:val="9"/>
    <w:rPr>
      <w:rFonts w:cstheme="majorBidi"/>
      <w:color w:val="585858" w:themeColor="text1" w:themeTint="A6"/>
    </w:rPr>
  </w:style>
  <w:style w:type="character" w:customStyle="1" w:styleId="25">
    <w:name w:val="标题 9 字符"/>
    <w:basedOn w:val="15"/>
    <w:link w:val="10"/>
    <w:semiHidden/>
    <w:qFormat/>
    <w:uiPriority w:val="9"/>
    <w:rPr>
      <w:rFonts w:eastAsiaTheme="majorEastAsia" w:cstheme="majorBidi"/>
      <w:color w:val="585858" w:themeColor="text1" w:themeTint="A6"/>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5"/>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366091"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3">
    <w:name w:val="明显引用 字符"/>
    <w:basedOn w:val="15"/>
    <w:link w:val="32"/>
    <w:qFormat/>
    <w:uiPriority w:val="30"/>
    <w:rPr>
      <w:i/>
      <w:iCs/>
      <w:color w:val="366091" w:themeColor="accent1" w:themeShade="BF"/>
    </w:rPr>
  </w:style>
  <w:style w:type="character" w:customStyle="1" w:styleId="34">
    <w:name w:val="Intense Reference"/>
    <w:basedOn w:val="15"/>
    <w:qFormat/>
    <w:uiPriority w:val="32"/>
    <w:rPr>
      <w:b/>
      <w:bCs/>
      <w:smallCaps/>
      <w:color w:val="366091" w:themeColor="accent1" w:themeShade="BF"/>
      <w:spacing w:val="5"/>
    </w:rPr>
  </w:style>
  <w:style w:type="character" w:customStyle="1" w:styleId="35">
    <w:name w:val="标题 3 Char"/>
    <w:qFormat/>
    <w:uiPriority w:val="0"/>
    <w:rPr>
      <w:b/>
      <w:bCs/>
      <w:kern w:val="2"/>
      <w:sz w:val="32"/>
      <w:szCs w:val="32"/>
    </w:rPr>
  </w:style>
  <w:style w:type="character" w:customStyle="1" w:styleId="36">
    <w:name w:val="脚注文本 字符"/>
    <w:basedOn w:val="15"/>
    <w:semiHidden/>
    <w:qFormat/>
    <w:uiPriority w:val="99"/>
    <w:rPr>
      <w:rFonts w:ascii="Times New Roman" w:hAnsi="Times New Roman" w:eastAsia="宋体" w:cs="Times New Roman"/>
      <w:sz w:val="18"/>
      <w:szCs w:val="18"/>
    </w:rPr>
  </w:style>
  <w:style w:type="character" w:customStyle="1" w:styleId="37">
    <w:name w:val="脚注文本 Char"/>
    <w:link w:val="12"/>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2876</Words>
  <Characters>2994</Characters>
  <Lines>44</Lines>
  <Paragraphs>12</Paragraphs>
  <TotalTime>2</TotalTime>
  <ScaleCrop>false</ScaleCrop>
  <LinksUpToDate>false</LinksUpToDate>
  <CharactersWithSpaces>2997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2025-10-21T09:43:00Z</dcterms:created>
  <dc:creator>lenovo</dc:creator>
  <cp:lastModifiedBy>User</cp:lastModifiedBy>
  <dcterms:modified xsi:type="dcterms:W3CDTF">2025-10-22T06:35:18Z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E2A2D65931FE40BEA800548D7AB9AFFF_12</vt:lpwstr>
  </property>
</Properties>
</file>