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7729" w14:textId="4F87F65B" w:rsidR="007C7637" w:rsidRDefault="00000000">
      <w:pPr>
        <w:spacing w:after="0" w:line="360" w:lineRule="auto"/>
        <w:jc w:val="center"/>
        <w:rPr>
          <w:rFonts w:ascii="仿宋_GB2312" w:eastAsia="仿宋_GB2312" w:hAnsi="仿宋_GB2312" w:cs="仿宋_GB2312" w:hint="eastAsia"/>
          <w:sz w:val="32"/>
          <w:szCs w:val="32"/>
        </w:rPr>
      </w:pPr>
      <w:r>
        <w:rPr>
          <w:rFonts w:ascii="宋体" w:eastAsia="宋体" w:hAnsi="宋体" w:cs="宋体" w:hint="eastAsia"/>
          <w:b/>
          <w:bCs/>
          <w:sz w:val="44"/>
          <w:szCs w:val="44"/>
        </w:rPr>
        <w:t>地方政府债券发行总体</w:t>
      </w:r>
      <w:r w:rsidR="002E62F9">
        <w:rPr>
          <w:rFonts w:ascii="宋体" w:eastAsia="宋体" w:hAnsi="宋体" w:cs="宋体" w:hint="eastAsia"/>
          <w:b/>
          <w:bCs/>
          <w:sz w:val="44"/>
          <w:szCs w:val="44"/>
        </w:rPr>
        <w:t>情况分析</w:t>
      </w:r>
    </w:p>
    <w:p w14:paraId="15601C97" w14:textId="77777777" w:rsidR="007C7637" w:rsidRDefault="007C7637">
      <w:pPr>
        <w:spacing w:line="360" w:lineRule="auto"/>
        <w:ind w:firstLineChars="200" w:firstLine="640"/>
        <w:rPr>
          <w:rFonts w:ascii="仿宋_GB2312" w:eastAsia="仿宋_GB2312" w:hAnsi="仿宋_GB2312" w:cs="仿宋_GB2312" w:hint="eastAsia"/>
          <w:sz w:val="32"/>
          <w:szCs w:val="32"/>
        </w:rPr>
      </w:pPr>
    </w:p>
    <w:p w14:paraId="23358547" w14:textId="77777777" w:rsidR="007C763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2015年1月1日，新《中华人民共和国预算法》的实施，标志着自发自</w:t>
      </w:r>
      <w:proofErr w:type="gramStart"/>
      <w:r>
        <w:rPr>
          <w:rFonts w:ascii="仿宋_GB2312" w:eastAsia="仿宋_GB2312" w:hAnsi="仿宋_GB2312" w:cs="仿宋_GB2312" w:hint="eastAsia"/>
          <w:sz w:val="32"/>
          <w:szCs w:val="32"/>
        </w:rPr>
        <w:t>还模式</w:t>
      </w:r>
      <w:proofErr w:type="gramEnd"/>
      <w:r>
        <w:rPr>
          <w:rFonts w:ascii="仿宋_GB2312" w:eastAsia="仿宋_GB2312" w:hAnsi="仿宋_GB2312" w:cs="仿宋_GB2312" w:hint="eastAsia"/>
          <w:sz w:val="32"/>
          <w:szCs w:val="32"/>
        </w:rPr>
        <w:t>地方政府债券发行的元年，从2015年5月18日江苏省公开发行的第一支地方政府债券至2016年12月31日不足两年的时间内，共计发行地方政府债券2194期，规模总计约9.88</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其中2015年发行规模合计38350.62亿元，2016年为60458.4亿元。在对地方政府信用评级展开论述之前，本文首先对地方政府债券的市场情况做简单的分析。我国地方政府债券按照功能划分，可以划分为一般性债券和专项债券两类，按照财政部发布的《地方政府一般债券发行管理暂行办法》和《地方政府专项债券发行管理办法》中的定义，一般性债券是指省、自治区、直辖市政府（</w:t>
      </w:r>
      <w:proofErr w:type="gramStart"/>
      <w:r>
        <w:rPr>
          <w:rFonts w:ascii="仿宋_GB2312" w:eastAsia="仿宋_GB2312" w:hAnsi="仿宋_GB2312" w:cs="仿宋_GB2312" w:hint="eastAsia"/>
          <w:sz w:val="32"/>
          <w:szCs w:val="32"/>
        </w:rPr>
        <w:t>含经省级</w:t>
      </w:r>
      <w:proofErr w:type="gramEnd"/>
      <w:r>
        <w:rPr>
          <w:rFonts w:ascii="仿宋_GB2312" w:eastAsia="仿宋_GB2312" w:hAnsi="仿宋_GB2312" w:cs="仿宋_GB2312" w:hint="eastAsia"/>
          <w:sz w:val="32"/>
          <w:szCs w:val="32"/>
        </w:rPr>
        <w:t>政府批准自办债券发行的计划单列市）作为负债主体，以一般公共预算收入作为偿债资金来源，资金管理纳入一般性公共预算，募集资金用途为没有收益的公益性项目的债券；与之相区别，专项债券是指省、自治区、直辖市政府（</w:t>
      </w:r>
      <w:proofErr w:type="gramStart"/>
      <w:r>
        <w:rPr>
          <w:rFonts w:ascii="仿宋_GB2312" w:eastAsia="仿宋_GB2312" w:hAnsi="仿宋_GB2312" w:cs="仿宋_GB2312" w:hint="eastAsia"/>
          <w:sz w:val="32"/>
          <w:szCs w:val="32"/>
        </w:rPr>
        <w:t>含经省级</w:t>
      </w:r>
      <w:proofErr w:type="gramEnd"/>
      <w:r>
        <w:rPr>
          <w:rFonts w:ascii="仿宋_GB2312" w:eastAsia="仿宋_GB2312" w:hAnsi="仿宋_GB2312" w:cs="仿宋_GB2312" w:hint="eastAsia"/>
          <w:sz w:val="32"/>
          <w:szCs w:val="32"/>
        </w:rPr>
        <w:t>政府批准自办债券发行的计划单列市）作为负债主体，以单项政府性基金收入（不足部分从相应的公益性项目单位调入专项收入弥补）作为偿债资金来源，资金管理纳入政府性基金收入预算，募集资金用途为有一定收益的公益性项目。从债券的性质划分，可以分为新增债券与置换债券，置换债</w:t>
      </w:r>
      <w:r>
        <w:rPr>
          <w:rFonts w:ascii="仿宋_GB2312" w:eastAsia="仿宋_GB2312" w:hAnsi="仿宋_GB2312" w:cs="仿宋_GB2312" w:hint="eastAsia"/>
          <w:sz w:val="32"/>
          <w:szCs w:val="32"/>
        </w:rPr>
        <w:lastRenderedPageBreak/>
        <w:t>券主要是用于置换经财政部甄别清理的截至2015年初的地方政府负有偿还责任的债务（指旧《中华人民共和国预算法》融资约束下形成的债务），其中债务置换的总规模约为15</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置换年度为2015-2017分批完成。按照发行方式划分，可以区分为公开发行与定向承销两种方式，其中根据财政部、中国人民银行和银保监会联合印发《明确2015年采用定向承销方式发行地方政府债券有关事宜》的通知中明确“采用定向承销方式发行地方债，是指省级政府面向地方政府存量债务中特定债权人，采取簿记建档方式发行地方债，用以置换本地区地方政府相应的存量债务”，并规定“对于地方政府存量债务中的银行贷款部分，地方财政部门应当与银行贷款对应债权人协商后，采用定向承销方式发行地方债予以置换。对于地方政府存量债务中的信托、证券、保险等其他机构融资形成的债务，经各方协商一致，地方财政部门也可采用定向承销方式发行地方债予以置换”。截至2016年底，地方政府债券的发行情况如下表所示：</w:t>
      </w:r>
    </w:p>
    <w:p w14:paraId="5746C604" w14:textId="77777777" w:rsidR="007C7637" w:rsidRDefault="00000000">
      <w:pPr>
        <w:spacing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表1 地方政府债券发行规模</w:t>
      </w:r>
    </w:p>
    <w:tbl>
      <w:tblPr>
        <w:tblW w:w="7312" w:type="dxa"/>
        <w:jc w:val="center"/>
        <w:tblLook w:val="04A0" w:firstRow="1" w:lastRow="0" w:firstColumn="1" w:lastColumn="0" w:noHBand="0" w:noVBand="1"/>
      </w:tblPr>
      <w:tblGrid>
        <w:gridCol w:w="3160"/>
        <w:gridCol w:w="1336"/>
        <w:gridCol w:w="1480"/>
        <w:gridCol w:w="1336"/>
      </w:tblGrid>
      <w:tr w:rsidR="007C7637" w14:paraId="37D70A9D" w14:textId="77777777">
        <w:trPr>
          <w:trHeight w:val="285"/>
          <w:jc w:val="center"/>
        </w:trPr>
        <w:tc>
          <w:tcPr>
            <w:tcW w:w="3160" w:type="dxa"/>
            <w:tcBorders>
              <w:top w:val="single" w:sz="4" w:space="0" w:color="auto"/>
              <w:left w:val="single" w:sz="4" w:space="0" w:color="auto"/>
              <w:bottom w:val="single" w:sz="4" w:space="0" w:color="auto"/>
              <w:right w:val="single" w:sz="4" w:space="0" w:color="auto"/>
            </w:tcBorders>
            <w:noWrap/>
            <w:vAlign w:val="center"/>
          </w:tcPr>
          <w:p w14:paraId="51275D65"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地方政府债券（单位：亿元）</w:t>
            </w:r>
          </w:p>
        </w:tc>
        <w:tc>
          <w:tcPr>
            <w:tcW w:w="1336" w:type="dxa"/>
            <w:tcBorders>
              <w:top w:val="single" w:sz="4" w:space="0" w:color="auto"/>
              <w:left w:val="nil"/>
              <w:bottom w:val="single" w:sz="4" w:space="0" w:color="auto"/>
              <w:right w:val="single" w:sz="4" w:space="0" w:color="auto"/>
            </w:tcBorders>
            <w:noWrap/>
            <w:vAlign w:val="center"/>
          </w:tcPr>
          <w:p w14:paraId="6E36D2A4"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2015年</w:t>
            </w:r>
          </w:p>
        </w:tc>
        <w:tc>
          <w:tcPr>
            <w:tcW w:w="1480" w:type="dxa"/>
            <w:tcBorders>
              <w:top w:val="single" w:sz="4" w:space="0" w:color="auto"/>
              <w:left w:val="nil"/>
              <w:bottom w:val="single" w:sz="4" w:space="0" w:color="auto"/>
              <w:right w:val="single" w:sz="4" w:space="0" w:color="auto"/>
            </w:tcBorders>
            <w:noWrap/>
            <w:vAlign w:val="center"/>
          </w:tcPr>
          <w:p w14:paraId="483BCD72"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2016年</w:t>
            </w:r>
          </w:p>
        </w:tc>
        <w:tc>
          <w:tcPr>
            <w:tcW w:w="1336" w:type="dxa"/>
            <w:tcBorders>
              <w:top w:val="single" w:sz="4" w:space="0" w:color="auto"/>
              <w:left w:val="nil"/>
              <w:bottom w:val="single" w:sz="4" w:space="0" w:color="auto"/>
              <w:right w:val="single" w:sz="4" w:space="0" w:color="auto"/>
            </w:tcBorders>
            <w:noWrap/>
            <w:vAlign w:val="center"/>
          </w:tcPr>
          <w:p w14:paraId="39456F99"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合计</w:t>
            </w:r>
          </w:p>
        </w:tc>
      </w:tr>
      <w:tr w:rsidR="007C7637" w14:paraId="3C08759A" w14:textId="77777777">
        <w:trPr>
          <w:trHeight w:val="285"/>
          <w:jc w:val="center"/>
        </w:trPr>
        <w:tc>
          <w:tcPr>
            <w:tcW w:w="3160" w:type="dxa"/>
            <w:tcBorders>
              <w:top w:val="nil"/>
              <w:left w:val="single" w:sz="4" w:space="0" w:color="auto"/>
              <w:bottom w:val="single" w:sz="4" w:space="0" w:color="auto"/>
              <w:right w:val="single" w:sz="4" w:space="0" w:color="auto"/>
            </w:tcBorders>
            <w:noWrap/>
            <w:vAlign w:val="center"/>
          </w:tcPr>
          <w:p w14:paraId="4FBEEE31"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发行规模</w:t>
            </w:r>
          </w:p>
        </w:tc>
        <w:tc>
          <w:tcPr>
            <w:tcW w:w="1336" w:type="dxa"/>
            <w:tcBorders>
              <w:top w:val="nil"/>
              <w:left w:val="nil"/>
              <w:bottom w:val="single" w:sz="4" w:space="0" w:color="auto"/>
              <w:right w:val="single" w:sz="4" w:space="0" w:color="auto"/>
            </w:tcBorders>
            <w:noWrap/>
            <w:vAlign w:val="center"/>
          </w:tcPr>
          <w:p w14:paraId="6AC4C0BD"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38350.62</w:t>
            </w:r>
          </w:p>
        </w:tc>
        <w:tc>
          <w:tcPr>
            <w:tcW w:w="1480" w:type="dxa"/>
            <w:tcBorders>
              <w:top w:val="nil"/>
              <w:left w:val="nil"/>
              <w:bottom w:val="single" w:sz="4" w:space="0" w:color="auto"/>
              <w:right w:val="single" w:sz="4" w:space="0" w:color="auto"/>
            </w:tcBorders>
            <w:noWrap/>
            <w:vAlign w:val="center"/>
          </w:tcPr>
          <w:p w14:paraId="192304EE"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60458.40</w:t>
            </w:r>
          </w:p>
        </w:tc>
        <w:tc>
          <w:tcPr>
            <w:tcW w:w="1336" w:type="dxa"/>
            <w:tcBorders>
              <w:top w:val="nil"/>
              <w:left w:val="nil"/>
              <w:bottom w:val="single" w:sz="4" w:space="0" w:color="auto"/>
              <w:right w:val="single" w:sz="4" w:space="0" w:color="auto"/>
            </w:tcBorders>
            <w:noWrap/>
            <w:vAlign w:val="center"/>
          </w:tcPr>
          <w:p w14:paraId="6F80D215"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98809.02</w:t>
            </w:r>
          </w:p>
        </w:tc>
      </w:tr>
      <w:tr w:rsidR="007C7637" w14:paraId="771D75B1" w14:textId="77777777">
        <w:trPr>
          <w:trHeight w:val="270"/>
          <w:jc w:val="center"/>
        </w:trPr>
        <w:tc>
          <w:tcPr>
            <w:tcW w:w="7312" w:type="dxa"/>
            <w:gridSpan w:val="4"/>
            <w:tcBorders>
              <w:top w:val="single" w:sz="4" w:space="0" w:color="auto"/>
              <w:left w:val="single" w:sz="4" w:space="0" w:color="auto"/>
              <w:bottom w:val="single" w:sz="4" w:space="0" w:color="auto"/>
              <w:right w:val="single" w:sz="4" w:space="0" w:color="000000"/>
            </w:tcBorders>
            <w:noWrap/>
            <w:vAlign w:val="center"/>
          </w:tcPr>
          <w:p w14:paraId="2B946618"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功能分类</w:t>
            </w:r>
          </w:p>
        </w:tc>
      </w:tr>
      <w:tr w:rsidR="007C7637" w14:paraId="7FA76829" w14:textId="77777777">
        <w:trPr>
          <w:trHeight w:val="285"/>
          <w:jc w:val="center"/>
        </w:trPr>
        <w:tc>
          <w:tcPr>
            <w:tcW w:w="3160" w:type="dxa"/>
            <w:tcBorders>
              <w:top w:val="nil"/>
              <w:left w:val="single" w:sz="4" w:space="0" w:color="auto"/>
              <w:bottom w:val="single" w:sz="4" w:space="0" w:color="auto"/>
              <w:right w:val="single" w:sz="4" w:space="0" w:color="auto"/>
            </w:tcBorders>
            <w:noWrap/>
            <w:vAlign w:val="center"/>
          </w:tcPr>
          <w:p w14:paraId="4038F260"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一般性债券</w:t>
            </w:r>
          </w:p>
        </w:tc>
        <w:tc>
          <w:tcPr>
            <w:tcW w:w="1336" w:type="dxa"/>
            <w:tcBorders>
              <w:top w:val="nil"/>
              <w:left w:val="nil"/>
              <w:bottom w:val="single" w:sz="4" w:space="0" w:color="auto"/>
              <w:right w:val="single" w:sz="4" w:space="0" w:color="auto"/>
            </w:tcBorders>
            <w:noWrap/>
            <w:vAlign w:val="center"/>
          </w:tcPr>
          <w:p w14:paraId="63B71614"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28606.92</w:t>
            </w:r>
          </w:p>
        </w:tc>
        <w:tc>
          <w:tcPr>
            <w:tcW w:w="1480" w:type="dxa"/>
            <w:tcBorders>
              <w:top w:val="nil"/>
              <w:left w:val="nil"/>
              <w:bottom w:val="single" w:sz="4" w:space="0" w:color="auto"/>
              <w:right w:val="single" w:sz="4" w:space="0" w:color="auto"/>
            </w:tcBorders>
            <w:noWrap/>
            <w:vAlign w:val="center"/>
          </w:tcPr>
          <w:p w14:paraId="01D6E8DE"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35260.43</w:t>
            </w:r>
          </w:p>
        </w:tc>
        <w:tc>
          <w:tcPr>
            <w:tcW w:w="1336" w:type="dxa"/>
            <w:tcBorders>
              <w:top w:val="nil"/>
              <w:left w:val="nil"/>
              <w:bottom w:val="single" w:sz="4" w:space="0" w:color="auto"/>
              <w:right w:val="single" w:sz="4" w:space="0" w:color="auto"/>
            </w:tcBorders>
            <w:noWrap/>
            <w:vAlign w:val="center"/>
          </w:tcPr>
          <w:p w14:paraId="2CB039D5"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63867.35</w:t>
            </w:r>
          </w:p>
        </w:tc>
      </w:tr>
      <w:tr w:rsidR="007C7637" w14:paraId="1DD684AE" w14:textId="77777777">
        <w:trPr>
          <w:trHeight w:val="285"/>
          <w:jc w:val="center"/>
        </w:trPr>
        <w:tc>
          <w:tcPr>
            <w:tcW w:w="3160" w:type="dxa"/>
            <w:tcBorders>
              <w:top w:val="nil"/>
              <w:left w:val="single" w:sz="4" w:space="0" w:color="auto"/>
              <w:bottom w:val="single" w:sz="4" w:space="0" w:color="auto"/>
              <w:right w:val="single" w:sz="4" w:space="0" w:color="auto"/>
            </w:tcBorders>
            <w:noWrap/>
            <w:vAlign w:val="center"/>
          </w:tcPr>
          <w:p w14:paraId="5453DE2F"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专项债券</w:t>
            </w:r>
          </w:p>
        </w:tc>
        <w:tc>
          <w:tcPr>
            <w:tcW w:w="1336" w:type="dxa"/>
            <w:tcBorders>
              <w:top w:val="nil"/>
              <w:left w:val="nil"/>
              <w:bottom w:val="single" w:sz="4" w:space="0" w:color="auto"/>
              <w:right w:val="single" w:sz="4" w:space="0" w:color="auto"/>
            </w:tcBorders>
            <w:noWrap/>
            <w:vAlign w:val="center"/>
          </w:tcPr>
          <w:p w14:paraId="307FA37E"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9743.70</w:t>
            </w:r>
          </w:p>
        </w:tc>
        <w:tc>
          <w:tcPr>
            <w:tcW w:w="1480" w:type="dxa"/>
            <w:tcBorders>
              <w:top w:val="nil"/>
              <w:left w:val="nil"/>
              <w:bottom w:val="single" w:sz="4" w:space="0" w:color="auto"/>
              <w:right w:val="single" w:sz="4" w:space="0" w:color="auto"/>
            </w:tcBorders>
            <w:noWrap/>
            <w:vAlign w:val="center"/>
          </w:tcPr>
          <w:p w14:paraId="2BAFDA43"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25197.97</w:t>
            </w:r>
          </w:p>
        </w:tc>
        <w:tc>
          <w:tcPr>
            <w:tcW w:w="1336" w:type="dxa"/>
            <w:tcBorders>
              <w:top w:val="nil"/>
              <w:left w:val="nil"/>
              <w:bottom w:val="single" w:sz="4" w:space="0" w:color="auto"/>
              <w:right w:val="single" w:sz="4" w:space="0" w:color="auto"/>
            </w:tcBorders>
            <w:noWrap/>
            <w:vAlign w:val="center"/>
          </w:tcPr>
          <w:p w14:paraId="14550CBE"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34941.67</w:t>
            </w:r>
          </w:p>
        </w:tc>
      </w:tr>
      <w:tr w:rsidR="007C7637" w14:paraId="058520F4" w14:textId="77777777">
        <w:trPr>
          <w:trHeight w:val="270"/>
          <w:jc w:val="center"/>
        </w:trPr>
        <w:tc>
          <w:tcPr>
            <w:tcW w:w="7312" w:type="dxa"/>
            <w:gridSpan w:val="4"/>
            <w:tcBorders>
              <w:top w:val="single" w:sz="4" w:space="0" w:color="auto"/>
              <w:left w:val="single" w:sz="4" w:space="0" w:color="auto"/>
              <w:bottom w:val="single" w:sz="4" w:space="0" w:color="auto"/>
              <w:right w:val="single" w:sz="4" w:space="0" w:color="000000"/>
            </w:tcBorders>
            <w:noWrap/>
            <w:vAlign w:val="center"/>
          </w:tcPr>
          <w:p w14:paraId="49ACCEC4"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债券属性分类</w:t>
            </w:r>
          </w:p>
        </w:tc>
      </w:tr>
      <w:tr w:rsidR="007C7637" w14:paraId="4C896CD4" w14:textId="77777777">
        <w:trPr>
          <w:trHeight w:val="285"/>
          <w:jc w:val="center"/>
        </w:trPr>
        <w:tc>
          <w:tcPr>
            <w:tcW w:w="3160" w:type="dxa"/>
            <w:tcBorders>
              <w:top w:val="nil"/>
              <w:left w:val="single" w:sz="4" w:space="0" w:color="auto"/>
              <w:bottom w:val="single" w:sz="4" w:space="0" w:color="auto"/>
              <w:right w:val="single" w:sz="4" w:space="0" w:color="auto"/>
            </w:tcBorders>
            <w:noWrap/>
            <w:vAlign w:val="center"/>
          </w:tcPr>
          <w:p w14:paraId="5F4DEBC2"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新增债券</w:t>
            </w:r>
          </w:p>
        </w:tc>
        <w:tc>
          <w:tcPr>
            <w:tcW w:w="1336" w:type="dxa"/>
            <w:tcBorders>
              <w:top w:val="nil"/>
              <w:left w:val="nil"/>
              <w:bottom w:val="single" w:sz="4" w:space="0" w:color="auto"/>
              <w:right w:val="single" w:sz="4" w:space="0" w:color="auto"/>
            </w:tcBorders>
            <w:noWrap/>
            <w:vAlign w:val="center"/>
          </w:tcPr>
          <w:p w14:paraId="4B5A5761"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6350.62</w:t>
            </w:r>
          </w:p>
        </w:tc>
        <w:tc>
          <w:tcPr>
            <w:tcW w:w="1480" w:type="dxa"/>
            <w:tcBorders>
              <w:top w:val="nil"/>
              <w:left w:val="nil"/>
              <w:bottom w:val="single" w:sz="4" w:space="0" w:color="auto"/>
              <w:right w:val="single" w:sz="4" w:space="0" w:color="auto"/>
            </w:tcBorders>
            <w:noWrap/>
            <w:vAlign w:val="center"/>
          </w:tcPr>
          <w:p w14:paraId="63D6FF46"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11698.41</w:t>
            </w:r>
          </w:p>
        </w:tc>
        <w:tc>
          <w:tcPr>
            <w:tcW w:w="1336" w:type="dxa"/>
            <w:tcBorders>
              <w:top w:val="nil"/>
              <w:left w:val="nil"/>
              <w:bottom w:val="single" w:sz="4" w:space="0" w:color="auto"/>
              <w:right w:val="single" w:sz="4" w:space="0" w:color="auto"/>
            </w:tcBorders>
            <w:noWrap/>
            <w:vAlign w:val="center"/>
          </w:tcPr>
          <w:p w14:paraId="4A0C14DE"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18049.03</w:t>
            </w:r>
          </w:p>
        </w:tc>
      </w:tr>
      <w:tr w:rsidR="007C7637" w14:paraId="51F5FFE4" w14:textId="77777777">
        <w:trPr>
          <w:trHeight w:val="270"/>
          <w:jc w:val="center"/>
        </w:trPr>
        <w:tc>
          <w:tcPr>
            <w:tcW w:w="3160" w:type="dxa"/>
            <w:tcBorders>
              <w:top w:val="nil"/>
              <w:left w:val="single" w:sz="4" w:space="0" w:color="auto"/>
              <w:bottom w:val="single" w:sz="4" w:space="0" w:color="auto"/>
              <w:right w:val="single" w:sz="4" w:space="0" w:color="auto"/>
            </w:tcBorders>
            <w:noWrap/>
            <w:vAlign w:val="center"/>
          </w:tcPr>
          <w:p w14:paraId="4F20D53C"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置换债券</w:t>
            </w:r>
          </w:p>
        </w:tc>
        <w:tc>
          <w:tcPr>
            <w:tcW w:w="1336" w:type="dxa"/>
            <w:tcBorders>
              <w:top w:val="nil"/>
              <w:left w:val="nil"/>
              <w:bottom w:val="single" w:sz="4" w:space="0" w:color="auto"/>
              <w:right w:val="single" w:sz="4" w:space="0" w:color="auto"/>
            </w:tcBorders>
            <w:noWrap/>
            <w:vAlign w:val="center"/>
          </w:tcPr>
          <w:p w14:paraId="39A13EEE"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32000.00</w:t>
            </w:r>
          </w:p>
        </w:tc>
        <w:tc>
          <w:tcPr>
            <w:tcW w:w="1480" w:type="dxa"/>
            <w:tcBorders>
              <w:top w:val="nil"/>
              <w:left w:val="nil"/>
              <w:bottom w:val="single" w:sz="4" w:space="0" w:color="auto"/>
              <w:right w:val="single" w:sz="4" w:space="0" w:color="auto"/>
            </w:tcBorders>
            <w:noWrap/>
            <w:vAlign w:val="center"/>
          </w:tcPr>
          <w:p w14:paraId="79F80C05"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48760.00</w:t>
            </w:r>
          </w:p>
        </w:tc>
        <w:tc>
          <w:tcPr>
            <w:tcW w:w="1336" w:type="dxa"/>
            <w:tcBorders>
              <w:top w:val="nil"/>
              <w:left w:val="nil"/>
              <w:bottom w:val="single" w:sz="4" w:space="0" w:color="auto"/>
              <w:right w:val="single" w:sz="4" w:space="0" w:color="auto"/>
            </w:tcBorders>
            <w:noWrap/>
            <w:vAlign w:val="center"/>
          </w:tcPr>
          <w:p w14:paraId="3BF21AAC"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80760.00</w:t>
            </w:r>
          </w:p>
        </w:tc>
      </w:tr>
      <w:tr w:rsidR="007C7637" w14:paraId="2ED375F1" w14:textId="77777777">
        <w:trPr>
          <w:trHeight w:val="270"/>
          <w:jc w:val="center"/>
        </w:trPr>
        <w:tc>
          <w:tcPr>
            <w:tcW w:w="7312" w:type="dxa"/>
            <w:gridSpan w:val="4"/>
            <w:tcBorders>
              <w:top w:val="single" w:sz="4" w:space="0" w:color="auto"/>
              <w:left w:val="single" w:sz="4" w:space="0" w:color="auto"/>
              <w:bottom w:val="single" w:sz="4" w:space="0" w:color="auto"/>
              <w:right w:val="single" w:sz="4" w:space="0" w:color="000000"/>
            </w:tcBorders>
            <w:noWrap/>
            <w:vAlign w:val="center"/>
          </w:tcPr>
          <w:p w14:paraId="6566ABA3"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发行方式分类</w:t>
            </w:r>
          </w:p>
        </w:tc>
      </w:tr>
      <w:tr w:rsidR="007C7637" w14:paraId="57EEEC58" w14:textId="77777777">
        <w:trPr>
          <w:trHeight w:val="285"/>
          <w:jc w:val="center"/>
        </w:trPr>
        <w:tc>
          <w:tcPr>
            <w:tcW w:w="3160" w:type="dxa"/>
            <w:tcBorders>
              <w:top w:val="nil"/>
              <w:left w:val="single" w:sz="4" w:space="0" w:color="auto"/>
              <w:bottom w:val="single" w:sz="4" w:space="0" w:color="auto"/>
              <w:right w:val="single" w:sz="4" w:space="0" w:color="auto"/>
            </w:tcBorders>
            <w:noWrap/>
            <w:vAlign w:val="center"/>
          </w:tcPr>
          <w:p w14:paraId="01605D58"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公开发行</w:t>
            </w:r>
          </w:p>
        </w:tc>
        <w:tc>
          <w:tcPr>
            <w:tcW w:w="1336" w:type="dxa"/>
            <w:tcBorders>
              <w:top w:val="nil"/>
              <w:left w:val="nil"/>
              <w:bottom w:val="single" w:sz="4" w:space="0" w:color="auto"/>
              <w:right w:val="single" w:sz="4" w:space="0" w:color="auto"/>
            </w:tcBorders>
            <w:noWrap/>
            <w:vAlign w:val="center"/>
          </w:tcPr>
          <w:p w14:paraId="68E9B4AF"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30428.84</w:t>
            </w:r>
          </w:p>
        </w:tc>
        <w:tc>
          <w:tcPr>
            <w:tcW w:w="1480" w:type="dxa"/>
            <w:tcBorders>
              <w:top w:val="nil"/>
              <w:left w:val="nil"/>
              <w:bottom w:val="single" w:sz="4" w:space="0" w:color="auto"/>
              <w:right w:val="single" w:sz="4" w:space="0" w:color="auto"/>
            </w:tcBorders>
            <w:noWrap/>
            <w:vAlign w:val="center"/>
          </w:tcPr>
          <w:p w14:paraId="68C594DC"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44674.66</w:t>
            </w:r>
          </w:p>
        </w:tc>
        <w:tc>
          <w:tcPr>
            <w:tcW w:w="1336" w:type="dxa"/>
            <w:tcBorders>
              <w:top w:val="nil"/>
              <w:left w:val="nil"/>
              <w:bottom w:val="single" w:sz="4" w:space="0" w:color="auto"/>
              <w:right w:val="single" w:sz="4" w:space="0" w:color="auto"/>
            </w:tcBorders>
            <w:noWrap/>
            <w:vAlign w:val="center"/>
          </w:tcPr>
          <w:p w14:paraId="7EECA7D1"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75103.50</w:t>
            </w:r>
          </w:p>
        </w:tc>
      </w:tr>
      <w:tr w:rsidR="007C7637" w14:paraId="6214D4E1" w14:textId="77777777">
        <w:trPr>
          <w:trHeight w:val="285"/>
          <w:jc w:val="center"/>
        </w:trPr>
        <w:tc>
          <w:tcPr>
            <w:tcW w:w="3160" w:type="dxa"/>
            <w:tcBorders>
              <w:top w:val="nil"/>
              <w:left w:val="single" w:sz="4" w:space="0" w:color="auto"/>
              <w:bottom w:val="single" w:sz="4" w:space="0" w:color="auto"/>
              <w:right w:val="single" w:sz="4" w:space="0" w:color="auto"/>
            </w:tcBorders>
            <w:noWrap/>
            <w:vAlign w:val="center"/>
          </w:tcPr>
          <w:p w14:paraId="03EDC9B5"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定向承销</w:t>
            </w:r>
          </w:p>
        </w:tc>
        <w:tc>
          <w:tcPr>
            <w:tcW w:w="1336" w:type="dxa"/>
            <w:tcBorders>
              <w:top w:val="nil"/>
              <w:left w:val="nil"/>
              <w:bottom w:val="single" w:sz="4" w:space="0" w:color="auto"/>
              <w:right w:val="single" w:sz="4" w:space="0" w:color="auto"/>
            </w:tcBorders>
            <w:noWrap/>
            <w:vAlign w:val="center"/>
          </w:tcPr>
          <w:p w14:paraId="545FE125"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7921.78</w:t>
            </w:r>
          </w:p>
        </w:tc>
        <w:tc>
          <w:tcPr>
            <w:tcW w:w="1480" w:type="dxa"/>
            <w:tcBorders>
              <w:top w:val="nil"/>
              <w:left w:val="nil"/>
              <w:bottom w:val="single" w:sz="4" w:space="0" w:color="auto"/>
              <w:right w:val="single" w:sz="4" w:space="0" w:color="auto"/>
            </w:tcBorders>
            <w:noWrap/>
            <w:vAlign w:val="center"/>
          </w:tcPr>
          <w:p w14:paraId="7D4D31B6"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15783.74</w:t>
            </w:r>
          </w:p>
        </w:tc>
        <w:tc>
          <w:tcPr>
            <w:tcW w:w="1336" w:type="dxa"/>
            <w:tcBorders>
              <w:top w:val="nil"/>
              <w:left w:val="nil"/>
              <w:bottom w:val="single" w:sz="4" w:space="0" w:color="auto"/>
              <w:right w:val="single" w:sz="4" w:space="0" w:color="auto"/>
            </w:tcBorders>
            <w:noWrap/>
            <w:vAlign w:val="center"/>
          </w:tcPr>
          <w:p w14:paraId="15791B31" w14:textId="77777777" w:rsidR="007C7637" w:rsidRDefault="00000000">
            <w:pPr>
              <w:spacing w:after="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23705.52</w:t>
            </w:r>
          </w:p>
        </w:tc>
      </w:tr>
    </w:tbl>
    <w:p w14:paraId="5437B0C6" w14:textId="77777777" w:rsidR="007C7637"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资料来源：wind资讯。</w:t>
      </w:r>
    </w:p>
    <w:p w14:paraId="7785917D" w14:textId="77777777" w:rsidR="007C763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从发行的地方政府债券期限结构来看，目前地方政府债券期限主要分布于3年、5年、7年和10年，其中中值为5年期，其中2015年五年期债券规模占比达到31.45%，2016年五年期的债券占比为31.8%。一年期的债券发行仅在2015年发行过2只，2016年地方债券期限结构中已没有1年期债券，整个债券的期限结构有所拉长。债券发行的期限结构如下图所示：</w:t>
      </w:r>
    </w:p>
    <w:p w14:paraId="5A2B6863" w14:textId="77777777" w:rsidR="007C763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inline distT="0" distB="0" distL="0" distR="0" wp14:anchorId="56E25D22" wp14:editId="451BCB4D">
            <wp:extent cx="4133850" cy="2085975"/>
            <wp:effectExtent l="0" t="0" r="1905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508118" w14:textId="77777777" w:rsidR="007C7637" w:rsidRDefault="00000000">
      <w:pPr>
        <w:spacing w:line="360" w:lineRule="auto"/>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图1 全国地方性政府发行期限结构</w:t>
      </w:r>
    </w:p>
    <w:p w14:paraId="01755B7A" w14:textId="77777777" w:rsidR="007C7637"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资料来源：wind资讯。</w:t>
      </w:r>
    </w:p>
    <w:p w14:paraId="0E42FE10" w14:textId="77777777" w:rsidR="007C763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从发行区域对地方政府债券的发行进行考察，2015—2016年两年间，共计有35个省市（包括计划单列市）发行了地方债，从总体发行规模与发行期数方面来看，东部沿海</w:t>
      </w:r>
      <w:r>
        <w:rPr>
          <w:rFonts w:ascii="仿宋_GB2312" w:eastAsia="仿宋_GB2312" w:hAnsi="仿宋_GB2312" w:cs="仿宋_GB2312" w:hint="eastAsia"/>
          <w:sz w:val="32"/>
          <w:szCs w:val="32"/>
        </w:rPr>
        <w:lastRenderedPageBreak/>
        <w:t>地区的发行较多，这也反映了地区的融资需求旺盛，经济总量较大，偿债能力较强。其中江苏省的发行规模最大，2015年达到3194亿元，2016年共发行了4511.75亿元，其次发行规模较大的有山东省和浙江省。从发行时间来看，两年的集中发行月份并不一致，且表现出较强的行政因素。从2015年的情况来看，公开发行时间多集中于6月份、7月份、9月份和11月份，2016年则主要集中于上半年的3月份、4月份和6月份，其中考虑到2016年3月份与4月份债券市场流动性趋紧、波动剧烈，地方政府在债券发行的过程中的影响因素更多的是受当年到期偿债的时间因素影响而并未考虑对市场择机发行的选择。</w:t>
      </w:r>
    </w:p>
    <w:p w14:paraId="3B195BC5" w14:textId="77777777" w:rsidR="007C7637" w:rsidRDefault="007C7637"/>
    <w:sectPr w:rsidR="007C7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962B" w14:textId="77777777" w:rsidR="00131C43" w:rsidRDefault="00131C43">
      <w:pPr>
        <w:spacing w:after="0"/>
      </w:pPr>
      <w:r>
        <w:separator/>
      </w:r>
    </w:p>
  </w:endnote>
  <w:endnote w:type="continuationSeparator" w:id="0">
    <w:p w14:paraId="0F6DAACA" w14:textId="77777777" w:rsidR="00131C43" w:rsidRDefault="00131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088A" w14:textId="77777777" w:rsidR="00131C43" w:rsidRDefault="00131C43">
      <w:pPr>
        <w:spacing w:after="0"/>
      </w:pPr>
      <w:r>
        <w:separator/>
      </w:r>
    </w:p>
  </w:footnote>
  <w:footnote w:type="continuationSeparator" w:id="0">
    <w:p w14:paraId="29A67C90" w14:textId="77777777" w:rsidR="00131C43" w:rsidRDefault="00131C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B13535"/>
    <w:rsid w:val="000B48BF"/>
    <w:rsid w:val="00131C43"/>
    <w:rsid w:val="002E62F9"/>
    <w:rsid w:val="007C7637"/>
    <w:rsid w:val="59B13535"/>
    <w:rsid w:val="701A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AC40B"/>
  <w15:docId w15:val="{A4A2ED7B-8C1B-40AE-8381-B2D05890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20Wong\Desktop\&#22320;&#26041;&#25919;&#24220;&#20538;&#21048;&#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Sheet1!$A$20</c:f>
              <c:strCache>
                <c:ptCount val="1"/>
                <c:pt idx="0">
                  <c:v>发行占比</c:v>
                </c:pt>
              </c:strCache>
            </c:strRef>
          </c:tx>
          <c:dPt>
            <c:idx val="0"/>
            <c:bubble3D val="0"/>
            <c:extLst>
              <c:ext xmlns:c16="http://schemas.microsoft.com/office/drawing/2014/chart" uri="{C3380CC4-5D6E-409C-BE32-E72D297353CC}">
                <c16:uniqueId val="{00000000-8477-4802-9D86-C94EE6A69224}"/>
              </c:ext>
            </c:extLst>
          </c:dPt>
          <c:dPt>
            <c:idx val="1"/>
            <c:bubble3D val="0"/>
            <c:extLst>
              <c:ext xmlns:c16="http://schemas.microsoft.com/office/drawing/2014/chart" uri="{C3380CC4-5D6E-409C-BE32-E72D297353CC}">
                <c16:uniqueId val="{00000001-8477-4802-9D86-C94EE6A69224}"/>
              </c:ext>
            </c:extLst>
          </c:dPt>
          <c:dPt>
            <c:idx val="2"/>
            <c:bubble3D val="0"/>
            <c:extLst>
              <c:ext xmlns:c16="http://schemas.microsoft.com/office/drawing/2014/chart" uri="{C3380CC4-5D6E-409C-BE32-E72D297353CC}">
                <c16:uniqueId val="{00000002-8477-4802-9D86-C94EE6A69224}"/>
              </c:ext>
            </c:extLst>
          </c:dPt>
          <c:dPt>
            <c:idx val="3"/>
            <c:bubble3D val="0"/>
            <c:extLst>
              <c:ext xmlns:c16="http://schemas.microsoft.com/office/drawing/2014/chart" uri="{C3380CC4-5D6E-409C-BE32-E72D297353CC}">
                <c16:uniqueId val="{00000003-8477-4802-9D86-C94EE6A69224}"/>
              </c:ext>
            </c:extLst>
          </c:dPt>
          <c:dLbls>
            <c:dLbl>
              <c:idx val="0"/>
              <c:layout>
                <c:manualLayout>
                  <c:x val="-0.108333333333333"/>
                  <c:y val="9.259259259259269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8477-4802-9D86-C94EE6A69224}"/>
                </c:ext>
              </c:extLst>
            </c:dLbl>
            <c:dLbl>
              <c:idx val="1"/>
              <c:layout>
                <c:manualLayout>
                  <c:x val="-0.21666666666666701"/>
                  <c:y val="-0.16203703703703701"/>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477-4802-9D86-C94EE6A69224}"/>
                </c:ext>
              </c:extLst>
            </c:dLbl>
            <c:dLbl>
              <c:idx val="2"/>
              <c:layout>
                <c:manualLayout>
                  <c:x val="0.20833333333333301"/>
                  <c:y val="-0.19444444444444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8477-4802-9D86-C94EE6A69224}"/>
                </c:ext>
              </c:extLst>
            </c:dLbl>
            <c:dLbl>
              <c:idx val="3"/>
              <c:layout>
                <c:manualLayout>
                  <c:x val="0.15277777777777801"/>
                  <c:y val="8.33333333333333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477-4802-9D86-C94EE6A69224}"/>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mn-cs"/>
                  </a:defRPr>
                </a:pPr>
                <a:endParaRPr lang="zh-CN"/>
              </a:p>
            </c:txPr>
            <c:dLblPos val="outEnd"/>
            <c:showLegendKey val="0"/>
            <c:showVal val="0"/>
            <c:showCatName val="1"/>
            <c:showSerName val="0"/>
            <c:showPercent val="0"/>
            <c:showBubbleSize val="0"/>
            <c:separator> </c:separator>
            <c:showLeaderLines val="1"/>
            <c:extLst>
              <c:ext xmlns:c15="http://schemas.microsoft.com/office/drawing/2012/chart" uri="{CE6537A1-D6FC-4f65-9D91-7224C49458BB}"/>
            </c:extLst>
          </c:dLbls>
          <c:cat>
            <c:strRef>
              <c:f>Sheet1!$B$19:$E$19</c:f>
              <c:strCache>
                <c:ptCount val="4"/>
                <c:pt idx="0">
                  <c:v>3年</c:v>
                </c:pt>
                <c:pt idx="1">
                  <c:v>5年</c:v>
                </c:pt>
                <c:pt idx="2">
                  <c:v>7年</c:v>
                </c:pt>
                <c:pt idx="3">
                  <c:v>10年</c:v>
                </c:pt>
              </c:strCache>
            </c:strRef>
          </c:cat>
          <c:val>
            <c:numRef>
              <c:f>Sheet1!$B$20:$E$20</c:f>
              <c:numCache>
                <c:formatCode>0.00%</c:formatCode>
                <c:ptCount val="4"/>
                <c:pt idx="0">
                  <c:v>0.180467633420512</c:v>
                </c:pt>
                <c:pt idx="1">
                  <c:v>0.31661340219749201</c:v>
                </c:pt>
                <c:pt idx="2">
                  <c:v>0.27608552336618702</c:v>
                </c:pt>
                <c:pt idx="3">
                  <c:v>0.22671209581878299</c:v>
                </c:pt>
              </c:numCache>
            </c:numRef>
          </c:val>
          <c:extLst>
            <c:ext xmlns:c16="http://schemas.microsoft.com/office/drawing/2014/chart" uri="{C3380CC4-5D6E-409C-BE32-E72D297353CC}">
              <c16:uniqueId val="{00000004-8477-4802-9D86-C94EE6A69224}"/>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ea"/>
              <a:ea typeface="+mn-ea"/>
              <a:cs typeface="+mn-cs"/>
            </a:defRPr>
          </a:pPr>
          <a:endParaRPr lang="zh-CN"/>
        </a:p>
      </c:txPr>
    </c:legend>
    <c:plotVisOnly val="1"/>
    <c:dispBlanksAs val="zero"/>
    <c:showDLblsOverMax val="0"/>
    <c:extLst>
      <c:ext uri="{0b15fc19-7d7d-44ad-8c2d-2c3a37ce22c3}">
        <chartProps xmlns="https://web.wps.cn/et/2018/main" chartId="{bf9f82f4-5064-43c5-a553-b45122a3d774}"/>
      </c:ext>
    </c:extLst>
  </c:chart>
  <c:spPr>
    <a:ln w="9525" cap="flat" cmpd="sng" algn="ctr">
      <a:solidFill>
        <a:schemeClr val="tx1"/>
      </a:solidFill>
      <a:prstDash val="solid"/>
      <a:round/>
    </a:ln>
  </c:spPr>
  <c:txPr>
    <a:bodyPr/>
    <a:lstStyle/>
    <a:p>
      <a:pPr>
        <a:defRPr lang="zh-CN">
          <a:latin typeface="+mn-ea"/>
          <a:ea typeface="+mn-ea"/>
        </a:defRPr>
      </a:pPr>
      <a:endParaRPr lang="zh-CN"/>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charles nomercy</cp:lastModifiedBy>
  <cp:revision>2</cp:revision>
  <dcterms:created xsi:type="dcterms:W3CDTF">2024-12-23T03:29:00Z</dcterms:created>
  <dcterms:modified xsi:type="dcterms:W3CDTF">2025-10-21T10:17:00Z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3F11723A2965438C85F25169515907C2_11</vt:lpwstr>
  </property>
  <property fmtid="{D5CDD505-2E9C-101B-9397-08002B2CF9AE}" pid="4" name="KSOTemplateDocerSaveRecord">
    <vt:lpwstr>eyJoZGlkIjoiNTZmMDJkNjg1Mjg4MWE5MGJmMDM0N2I3N2FiMjQyNmQiLCJ1c2VySWQiOiI0MTA3MjgzMTYifQ==</vt:lpwstr>
  </property>
</Properties>
</file>