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48F7" w14:textId="77777777" w:rsidR="00D7265E" w:rsidRPr="00D7265E" w:rsidRDefault="00D7265E" w:rsidP="00D7265E">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D7265E">
        <w:rPr>
          <w:rFonts w:ascii="黑体" w:eastAsia="黑体" w:hAnsi="Times New Roman" w:cs="Times New Roman"/>
          <w:bCs/>
          <w:color w:val="auto"/>
          <w:sz w:val="44"/>
          <w:szCs w:val="44"/>
        </w:rPr>
        <w:t>抵/质押担保增信</w:t>
      </w:r>
      <w:r w:rsidRPr="00D7265E">
        <w:rPr>
          <w:rFonts w:ascii="黑体" w:eastAsia="黑体" w:hAnsi="Times New Roman" w:cs="Times New Roman" w:hint="eastAsia"/>
          <w:bCs/>
          <w:color w:val="auto"/>
          <w:sz w:val="44"/>
          <w:szCs w:val="44"/>
        </w:rPr>
        <w:t>原理</w:t>
      </w:r>
      <w:r w:rsidRPr="00D7265E">
        <w:rPr>
          <w:rFonts w:ascii="黑体" w:eastAsia="黑体" w:hAnsi="Times New Roman" w:cs="Times New Roman"/>
          <w:bCs/>
          <w:color w:val="auto"/>
          <w:sz w:val="44"/>
          <w:szCs w:val="44"/>
        </w:rPr>
        <w:t>分析</w:t>
      </w:r>
    </w:p>
    <w:p w14:paraId="5140C25C" w14:textId="77777777" w:rsidR="008D0AC4" w:rsidRPr="00D7265E" w:rsidRDefault="008D0AC4"/>
    <w:p w14:paraId="289CBEF0" w14:textId="77777777" w:rsidR="00D7265E" w:rsidRDefault="00D7265E"/>
    <w:p w14:paraId="766216EB" w14:textId="77777777" w:rsidR="00D7265E" w:rsidRPr="00800D22" w:rsidRDefault="00D7265E" w:rsidP="00D7265E">
      <w:pPr>
        <w:spacing w:line="440" w:lineRule="exact"/>
        <w:ind w:firstLineChars="200" w:firstLine="480"/>
        <w:rPr>
          <w:sz w:val="24"/>
        </w:rPr>
      </w:pPr>
      <w:r w:rsidRPr="00800D22">
        <w:rPr>
          <w:sz w:val="24"/>
        </w:rPr>
        <w:t>抵</w:t>
      </w:r>
      <w:r w:rsidRPr="00800D22">
        <w:rPr>
          <w:sz w:val="24"/>
        </w:rPr>
        <w:t>/</w:t>
      </w:r>
      <w:r w:rsidRPr="00800D22">
        <w:rPr>
          <w:sz w:val="24"/>
        </w:rPr>
        <w:t>质押债券是指以抵押或留置债券发行人的动产和不动产作为担保而发行的债券，债券发行人不能如期还本付息时，债券持有人有权要求处理抵押品或留置品，以取得本息。在这一法律关系中有债券和信托协议两个凭证，涉及债券发行人、债券持有人和债券信托人三方面的关系。债券信托人代表债券持有人保管抵押品或留置品，债券发行人到期无力偿还本息时，债券持有人通过其信托人行使对抵押品或留置品的处理权。</w:t>
      </w:r>
    </w:p>
    <w:p w14:paraId="2C162863" w14:textId="77777777" w:rsidR="00D7265E" w:rsidRPr="00800D22" w:rsidRDefault="00D7265E" w:rsidP="00D7265E">
      <w:pPr>
        <w:spacing w:line="440" w:lineRule="exact"/>
        <w:ind w:firstLineChars="200" w:firstLine="480"/>
        <w:rPr>
          <w:sz w:val="24"/>
        </w:rPr>
      </w:pPr>
      <w:r w:rsidRPr="00800D22">
        <w:rPr>
          <w:rFonts w:hint="eastAsia"/>
          <w:sz w:val="24"/>
        </w:rPr>
        <w:t>在抵</w:t>
      </w:r>
      <w:r w:rsidRPr="00800D22">
        <w:rPr>
          <w:rFonts w:hint="eastAsia"/>
          <w:sz w:val="24"/>
        </w:rPr>
        <w:t>/</w:t>
      </w:r>
      <w:r w:rsidRPr="00800D22">
        <w:rPr>
          <w:rFonts w:hint="eastAsia"/>
          <w:sz w:val="24"/>
        </w:rPr>
        <w:t>质押担保中，</w:t>
      </w:r>
      <w:r w:rsidRPr="00800D22">
        <w:rPr>
          <w:sz w:val="24"/>
        </w:rPr>
        <w:t>由于足额的抵押品或留置品为债权人提供了第二层保障，即使发行人违约，债权人也能够通过处理抵押品或留置品来得到补偿，</w:t>
      </w:r>
      <w:r w:rsidRPr="00800D22">
        <w:rPr>
          <w:rFonts w:hint="eastAsia"/>
          <w:sz w:val="24"/>
        </w:rPr>
        <w:t>此时，</w:t>
      </w:r>
      <w:r w:rsidRPr="00800D22">
        <w:rPr>
          <w:sz w:val="24"/>
        </w:rPr>
        <w:t>抵</w:t>
      </w:r>
      <w:r w:rsidRPr="00800D22">
        <w:rPr>
          <w:sz w:val="24"/>
        </w:rPr>
        <w:t>/</w:t>
      </w:r>
      <w:r w:rsidRPr="00800D22">
        <w:rPr>
          <w:sz w:val="24"/>
        </w:rPr>
        <w:t>质押担保往往能够起到良好的增信作用。在实践中，为了使抵押对发行的债券真正产生增信作用，抵押资产一般要求价值高、折旧率低且变现能力较强。</w:t>
      </w:r>
    </w:p>
    <w:p w14:paraId="691830E9" w14:textId="77777777" w:rsidR="00D7265E" w:rsidRPr="00800D22" w:rsidRDefault="00D7265E" w:rsidP="00D7265E">
      <w:pPr>
        <w:spacing w:line="440" w:lineRule="exact"/>
        <w:ind w:firstLineChars="225" w:firstLine="540"/>
        <w:rPr>
          <w:rFonts w:hint="eastAsia"/>
          <w:sz w:val="24"/>
        </w:rPr>
      </w:pPr>
      <w:r w:rsidRPr="00800D22">
        <w:rPr>
          <w:sz w:val="24"/>
        </w:rPr>
        <w:t>抵</w:t>
      </w:r>
      <w:r w:rsidRPr="00800D22">
        <w:rPr>
          <w:sz w:val="24"/>
        </w:rPr>
        <w:t>/</w:t>
      </w:r>
      <w:r w:rsidRPr="00800D22">
        <w:rPr>
          <w:sz w:val="24"/>
        </w:rPr>
        <w:t>质押担保债券信用等级应当等于无担保</w:t>
      </w:r>
      <w:r w:rsidRPr="00800D22">
        <w:rPr>
          <w:rFonts w:hint="eastAsia"/>
          <w:sz w:val="24"/>
        </w:rPr>
        <w:t>和</w:t>
      </w:r>
      <w:proofErr w:type="gramStart"/>
      <w:r w:rsidRPr="00800D22">
        <w:rPr>
          <w:sz w:val="24"/>
        </w:rPr>
        <w:t>无抵</w:t>
      </w:r>
      <w:r w:rsidRPr="00800D22">
        <w:rPr>
          <w:sz w:val="24"/>
        </w:rPr>
        <w:t>/</w:t>
      </w:r>
      <w:proofErr w:type="gramEnd"/>
      <w:r w:rsidRPr="00800D22">
        <w:rPr>
          <w:sz w:val="24"/>
        </w:rPr>
        <w:t>质押情况下主体信用等级加上抵</w:t>
      </w:r>
      <w:r w:rsidRPr="00800D22">
        <w:rPr>
          <w:sz w:val="24"/>
        </w:rPr>
        <w:t>/</w:t>
      </w:r>
      <w:r w:rsidRPr="00800D22">
        <w:rPr>
          <w:sz w:val="24"/>
        </w:rPr>
        <w:t>质押担保增信</w:t>
      </w:r>
      <w:r w:rsidRPr="00800D22">
        <w:rPr>
          <w:rFonts w:hint="eastAsia"/>
          <w:sz w:val="24"/>
        </w:rPr>
        <w:t>等级</w:t>
      </w:r>
      <w:r w:rsidRPr="00800D22">
        <w:rPr>
          <w:sz w:val="24"/>
        </w:rPr>
        <w:t>。对于信用评级机构来说，主体信用等级容易确定，因此，对抵</w:t>
      </w:r>
      <w:r w:rsidRPr="00800D22">
        <w:rPr>
          <w:sz w:val="24"/>
        </w:rPr>
        <w:t>/</w:t>
      </w:r>
      <w:r w:rsidRPr="00800D22">
        <w:rPr>
          <w:sz w:val="24"/>
        </w:rPr>
        <w:t>质押担保债券信用评级的关键在于确定债券增信</w:t>
      </w:r>
      <w:r w:rsidRPr="00800D22">
        <w:rPr>
          <w:rFonts w:hint="eastAsia"/>
          <w:sz w:val="24"/>
        </w:rPr>
        <w:t>等级</w:t>
      </w:r>
      <w:r w:rsidRPr="00800D22">
        <w:rPr>
          <w:sz w:val="24"/>
        </w:rPr>
        <w:t>，也即抵</w:t>
      </w:r>
      <w:r w:rsidRPr="00800D22">
        <w:rPr>
          <w:sz w:val="24"/>
        </w:rPr>
        <w:t>/</w:t>
      </w:r>
      <w:r w:rsidRPr="00800D22">
        <w:rPr>
          <w:sz w:val="24"/>
        </w:rPr>
        <w:t>质押资产的增信效果。理论上，增</w:t>
      </w:r>
      <w:proofErr w:type="gramStart"/>
      <w:r w:rsidRPr="00800D22">
        <w:rPr>
          <w:sz w:val="24"/>
        </w:rPr>
        <w:t>信效果</w:t>
      </w:r>
      <w:proofErr w:type="gramEnd"/>
      <w:r w:rsidRPr="00800D22">
        <w:rPr>
          <w:sz w:val="24"/>
        </w:rPr>
        <w:t>的高低主要取决于到期日抵</w:t>
      </w:r>
      <w:r w:rsidRPr="00800D22">
        <w:rPr>
          <w:sz w:val="24"/>
        </w:rPr>
        <w:t>/</w:t>
      </w:r>
      <w:r w:rsidRPr="00800D22">
        <w:rPr>
          <w:sz w:val="24"/>
        </w:rPr>
        <w:t>质押资产的价值对债券本息的覆盖率，抵</w:t>
      </w:r>
      <w:r w:rsidRPr="00800D22">
        <w:rPr>
          <w:sz w:val="24"/>
        </w:rPr>
        <w:t>/</w:t>
      </w:r>
      <w:r w:rsidRPr="00800D22">
        <w:rPr>
          <w:sz w:val="24"/>
        </w:rPr>
        <w:t>质押资产覆盖率越高，违约时债权人的权益保障程度越高，违约损失则越小，因此增</w:t>
      </w:r>
      <w:proofErr w:type="gramStart"/>
      <w:r w:rsidRPr="00800D22">
        <w:rPr>
          <w:sz w:val="24"/>
        </w:rPr>
        <w:t>信效果</w:t>
      </w:r>
      <w:proofErr w:type="gramEnd"/>
      <w:r w:rsidRPr="00800D22">
        <w:rPr>
          <w:sz w:val="24"/>
        </w:rPr>
        <w:t>就越好。</w:t>
      </w:r>
    </w:p>
    <w:p w14:paraId="60193767" w14:textId="77777777" w:rsidR="00D7265E" w:rsidRPr="00800D22" w:rsidRDefault="00D7265E" w:rsidP="00D7265E">
      <w:pPr>
        <w:spacing w:line="440" w:lineRule="exact"/>
        <w:ind w:firstLineChars="225" w:firstLine="540"/>
        <w:rPr>
          <w:rFonts w:hint="eastAsia"/>
          <w:sz w:val="24"/>
        </w:rPr>
      </w:pPr>
    </w:p>
    <w:p w14:paraId="426F65AD" w14:textId="77777777" w:rsidR="00D7265E" w:rsidRPr="00800D22" w:rsidRDefault="00D7265E" w:rsidP="00D7265E">
      <w:pPr>
        <w:spacing w:line="440" w:lineRule="exact"/>
        <w:ind w:firstLineChars="225" w:firstLine="540"/>
        <w:rPr>
          <w:rFonts w:hint="eastAsia"/>
          <w:sz w:val="24"/>
        </w:rPr>
      </w:pPr>
    </w:p>
    <w:p w14:paraId="469C6FF8" w14:textId="77777777" w:rsidR="00D7265E" w:rsidRPr="00800D22" w:rsidRDefault="00D7265E" w:rsidP="00D7265E">
      <w:pPr>
        <w:spacing w:line="360" w:lineRule="auto"/>
        <w:ind w:firstLine="420"/>
        <w:rPr>
          <w:rFonts w:hint="eastAsia"/>
          <w:sz w:val="24"/>
        </w:rPr>
      </w:pPr>
    </w:p>
    <w:p w14:paraId="7A8059ED" w14:textId="741EBA33" w:rsidR="00D7265E" w:rsidRPr="00800D22" w:rsidRDefault="00D7265E" w:rsidP="00D7265E">
      <w:pPr>
        <w:spacing w:line="360" w:lineRule="auto"/>
        <w:ind w:firstLine="420"/>
        <w:rPr>
          <w:rFonts w:hint="eastAsia"/>
          <w:sz w:val="24"/>
        </w:rPr>
      </w:pPr>
      <w:r w:rsidRPr="00800D22">
        <w:rPr>
          <w:rFonts w:hint="eastAsia"/>
          <w:noProof/>
          <w:sz w:val="24"/>
        </w:rPr>
        <mc:AlternateContent>
          <mc:Choice Requires="wpg">
            <w:drawing>
              <wp:anchor distT="0" distB="0" distL="114300" distR="114300" simplePos="0" relativeHeight="251659264" behindDoc="0" locked="0" layoutInCell="1" allowOverlap="1" wp14:anchorId="0E9A3247" wp14:editId="39C921B4">
                <wp:simplePos x="0" y="0"/>
                <wp:positionH relativeFrom="column">
                  <wp:posOffset>114300</wp:posOffset>
                </wp:positionH>
                <wp:positionV relativeFrom="paragraph">
                  <wp:posOffset>0</wp:posOffset>
                </wp:positionV>
                <wp:extent cx="4895850" cy="2179320"/>
                <wp:effectExtent l="9525" t="9525" r="9525" b="11430"/>
                <wp:wrapNone/>
                <wp:docPr id="1511371220"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0" cy="2179320"/>
                          <a:chOff x="2190" y="7602"/>
                          <a:chExt cx="7710" cy="3432"/>
                        </a:xfrm>
                      </wpg:grpSpPr>
                      <wps:wsp>
                        <wps:cNvPr id="1395595265" name="AutoShape 3"/>
                        <wps:cNvSpPr>
                          <a:spLocks noChangeArrowheads="1"/>
                        </wps:cNvSpPr>
                        <wps:spPr bwMode="auto">
                          <a:xfrm>
                            <a:off x="2190" y="7743"/>
                            <a:ext cx="2878" cy="468"/>
                          </a:xfrm>
                          <a:prstGeom prst="flowChartAlternateProcess">
                            <a:avLst/>
                          </a:prstGeom>
                          <a:solidFill>
                            <a:srgbClr val="CCFFCC"/>
                          </a:solidFill>
                          <a:ln w="9525">
                            <a:solidFill>
                              <a:srgbClr val="000000"/>
                            </a:solidFill>
                            <a:miter lim="800000"/>
                            <a:headEnd/>
                            <a:tailEnd/>
                          </a:ln>
                        </wps:spPr>
                        <wps:txbx>
                          <w:txbxContent>
                            <w:p w14:paraId="001F42C0" w14:textId="77777777" w:rsidR="00D7265E" w:rsidRPr="004E7D7A" w:rsidRDefault="00D7265E" w:rsidP="00D7265E">
                              <w:pPr>
                                <w:jc w:val="center"/>
                                <w:rPr>
                                  <w:b/>
                                  <w:color w:val="000000"/>
                                </w:rPr>
                              </w:pPr>
                              <w:r w:rsidRPr="004E7D7A">
                                <w:rPr>
                                  <w:rFonts w:ascii="宋体" w:hAnsi="宋体" w:hint="eastAsia"/>
                                  <w:b/>
                                  <w:color w:val="000000"/>
                                  <w:szCs w:val="21"/>
                                </w:rPr>
                                <w:t>抵/质押担保债券信用等级</w:t>
                              </w:r>
                            </w:p>
                          </w:txbxContent>
                        </wps:txbx>
                        <wps:bodyPr rot="0" vert="horz" wrap="square" lIns="91440" tIns="45720" rIns="91440" bIns="45720" anchor="t" anchorCtr="0" upright="1">
                          <a:noAutofit/>
                        </wps:bodyPr>
                      </wps:wsp>
                      <wps:wsp>
                        <wps:cNvPr id="311459586" name="Text Box 4"/>
                        <wps:cNvSpPr txBox="1">
                          <a:spLocks noChangeArrowheads="1"/>
                        </wps:cNvSpPr>
                        <wps:spPr bwMode="auto">
                          <a:xfrm>
                            <a:off x="5070" y="7617"/>
                            <a:ext cx="540" cy="624"/>
                          </a:xfrm>
                          <a:prstGeom prst="rect">
                            <a:avLst/>
                          </a:prstGeom>
                          <a:solidFill>
                            <a:srgbClr val="FFFFFF"/>
                          </a:solidFill>
                          <a:ln w="9525">
                            <a:solidFill>
                              <a:srgbClr val="FFFFFF"/>
                            </a:solidFill>
                            <a:miter lim="800000"/>
                            <a:headEnd/>
                            <a:tailEnd/>
                          </a:ln>
                        </wps:spPr>
                        <wps:txbx>
                          <w:txbxContent>
                            <w:p w14:paraId="0CFF3720" w14:textId="77777777" w:rsidR="00D7265E" w:rsidRPr="00393514" w:rsidRDefault="00D7265E" w:rsidP="00D7265E">
                              <w:pPr>
                                <w:rPr>
                                  <w:rFonts w:hint="eastAsia"/>
                                  <w:b/>
                                  <w:sz w:val="32"/>
                                  <w:szCs w:val="32"/>
                                </w:rPr>
                              </w:pPr>
                              <w:r w:rsidRPr="00393514">
                                <w:rPr>
                                  <w:rFonts w:hint="eastAsia"/>
                                  <w:b/>
                                  <w:sz w:val="32"/>
                                  <w:szCs w:val="32"/>
                                </w:rPr>
                                <w:t>=</w:t>
                              </w:r>
                            </w:p>
                          </w:txbxContent>
                        </wps:txbx>
                        <wps:bodyPr rot="0" vert="horz" wrap="square" lIns="91440" tIns="45720" rIns="91440" bIns="45720" anchor="t" anchorCtr="0" upright="1">
                          <a:noAutofit/>
                        </wps:bodyPr>
                      </wps:wsp>
                      <wps:wsp>
                        <wps:cNvPr id="253209805" name="AutoShape 5"/>
                        <wps:cNvSpPr>
                          <a:spLocks noChangeArrowheads="1"/>
                        </wps:cNvSpPr>
                        <wps:spPr bwMode="auto">
                          <a:xfrm>
                            <a:off x="5610" y="7743"/>
                            <a:ext cx="1620" cy="468"/>
                          </a:xfrm>
                          <a:prstGeom prst="flowChartAlternateProcess">
                            <a:avLst/>
                          </a:prstGeom>
                          <a:solidFill>
                            <a:srgbClr val="CCFFFF"/>
                          </a:solidFill>
                          <a:ln w="9525">
                            <a:solidFill>
                              <a:srgbClr val="000000"/>
                            </a:solidFill>
                            <a:miter lim="800000"/>
                            <a:headEnd/>
                            <a:tailEnd/>
                          </a:ln>
                        </wps:spPr>
                        <wps:txbx>
                          <w:txbxContent>
                            <w:p w14:paraId="31A7D01A" w14:textId="77777777" w:rsidR="00D7265E" w:rsidRPr="004E7D7A" w:rsidRDefault="00D7265E" w:rsidP="00D7265E">
                              <w:pPr>
                                <w:jc w:val="center"/>
                                <w:rPr>
                                  <w:b/>
                                  <w:color w:val="000000"/>
                                </w:rPr>
                              </w:pPr>
                              <w:r w:rsidRPr="004E7D7A">
                                <w:rPr>
                                  <w:rFonts w:ascii="宋体" w:hAnsi="宋体" w:hint="eastAsia"/>
                                  <w:b/>
                                  <w:color w:val="000000"/>
                                  <w:szCs w:val="21"/>
                                </w:rPr>
                                <w:t>主体</w:t>
                              </w:r>
                              <w:r>
                                <w:rPr>
                                  <w:rFonts w:ascii="宋体" w:hAnsi="宋体" w:hint="eastAsia"/>
                                  <w:b/>
                                  <w:color w:val="000000"/>
                                  <w:szCs w:val="21"/>
                                </w:rPr>
                                <w:t>等级</w:t>
                              </w:r>
                            </w:p>
                          </w:txbxContent>
                        </wps:txbx>
                        <wps:bodyPr rot="0" vert="horz" wrap="square" lIns="91440" tIns="45720" rIns="91440" bIns="45720" anchor="t" anchorCtr="0" upright="1">
                          <a:noAutofit/>
                        </wps:bodyPr>
                      </wps:wsp>
                      <wps:wsp>
                        <wps:cNvPr id="521007539" name="AutoShape 6"/>
                        <wps:cNvSpPr>
                          <a:spLocks noChangeArrowheads="1"/>
                        </wps:cNvSpPr>
                        <wps:spPr bwMode="auto">
                          <a:xfrm>
                            <a:off x="7755" y="7728"/>
                            <a:ext cx="1620" cy="468"/>
                          </a:xfrm>
                          <a:prstGeom prst="flowChartAlternateProcess">
                            <a:avLst/>
                          </a:prstGeom>
                          <a:solidFill>
                            <a:srgbClr val="FFCC00"/>
                          </a:solidFill>
                          <a:ln w="9525">
                            <a:solidFill>
                              <a:srgbClr val="000000"/>
                            </a:solidFill>
                            <a:miter lim="800000"/>
                            <a:headEnd/>
                            <a:tailEnd/>
                          </a:ln>
                        </wps:spPr>
                        <wps:txbx>
                          <w:txbxContent>
                            <w:p w14:paraId="7CA30328" w14:textId="77777777" w:rsidR="00D7265E" w:rsidRPr="004E7D7A" w:rsidRDefault="00D7265E" w:rsidP="00D7265E">
                              <w:pPr>
                                <w:jc w:val="center"/>
                                <w:rPr>
                                  <w:b/>
                                  <w:color w:val="000000"/>
                                </w:rPr>
                              </w:pPr>
                              <w:r w:rsidRPr="004E7D7A">
                                <w:rPr>
                                  <w:rFonts w:ascii="宋体" w:hAnsi="宋体" w:hint="eastAsia"/>
                                  <w:b/>
                                  <w:color w:val="000000"/>
                                  <w:szCs w:val="21"/>
                                </w:rPr>
                                <w:t>增信等级</w:t>
                              </w:r>
                            </w:p>
                          </w:txbxContent>
                        </wps:txbx>
                        <wps:bodyPr rot="0" vert="horz" wrap="square" lIns="91440" tIns="45720" rIns="91440" bIns="45720" anchor="t" anchorCtr="0" upright="1">
                          <a:noAutofit/>
                        </wps:bodyPr>
                      </wps:wsp>
                      <wps:wsp>
                        <wps:cNvPr id="1343009127" name="Text Box 7"/>
                        <wps:cNvSpPr txBox="1">
                          <a:spLocks noChangeArrowheads="1"/>
                        </wps:cNvSpPr>
                        <wps:spPr bwMode="auto">
                          <a:xfrm>
                            <a:off x="7260" y="7602"/>
                            <a:ext cx="465" cy="624"/>
                          </a:xfrm>
                          <a:prstGeom prst="rect">
                            <a:avLst/>
                          </a:prstGeom>
                          <a:solidFill>
                            <a:srgbClr val="FFFFFF"/>
                          </a:solidFill>
                          <a:ln w="9525">
                            <a:solidFill>
                              <a:srgbClr val="FFFFFF"/>
                            </a:solidFill>
                            <a:miter lim="800000"/>
                            <a:headEnd/>
                            <a:tailEnd/>
                          </a:ln>
                        </wps:spPr>
                        <wps:txbx>
                          <w:txbxContent>
                            <w:p w14:paraId="329BFA34" w14:textId="77777777" w:rsidR="00D7265E" w:rsidRPr="00393514" w:rsidRDefault="00D7265E" w:rsidP="00D7265E">
                              <w:pPr>
                                <w:rPr>
                                  <w:rFonts w:hint="eastAsia"/>
                                  <w:b/>
                                  <w:sz w:val="32"/>
                                  <w:szCs w:val="32"/>
                                </w:rPr>
                              </w:pPr>
                              <w:r w:rsidRPr="00393514">
                                <w:rPr>
                                  <w:rFonts w:hint="eastAsia"/>
                                  <w:b/>
                                  <w:sz w:val="32"/>
                                  <w:szCs w:val="32"/>
                                </w:rPr>
                                <w:t>+</w:t>
                              </w:r>
                            </w:p>
                          </w:txbxContent>
                        </wps:txbx>
                        <wps:bodyPr rot="0" vert="horz" wrap="square" lIns="91440" tIns="45720" rIns="91440" bIns="45720" anchor="t" anchorCtr="0" upright="1">
                          <a:noAutofit/>
                        </wps:bodyPr>
                      </wps:wsp>
                      <wps:wsp>
                        <wps:cNvPr id="77785012" name="AutoShape 8"/>
                        <wps:cNvSpPr>
                          <a:spLocks noChangeArrowheads="1"/>
                        </wps:cNvSpPr>
                        <wps:spPr bwMode="auto">
                          <a:xfrm>
                            <a:off x="8460" y="8226"/>
                            <a:ext cx="180" cy="780"/>
                          </a:xfrm>
                          <a:prstGeom prst="downArrow">
                            <a:avLst>
                              <a:gd name="adj1" fmla="val 50000"/>
                              <a:gd name="adj2" fmla="val 108333"/>
                            </a:avLst>
                          </a:prstGeom>
                          <a:solidFill>
                            <a:srgbClr val="FFCC99"/>
                          </a:solidFill>
                          <a:ln w="9525">
                            <a:solidFill>
                              <a:srgbClr val="000000"/>
                            </a:solidFill>
                            <a:miter lim="800000"/>
                            <a:headEnd/>
                            <a:tailEnd/>
                          </a:ln>
                        </wps:spPr>
                        <wps:bodyPr rot="0" vert="eaVert" wrap="square" lIns="91440" tIns="45720" rIns="91440" bIns="45720" anchor="t" anchorCtr="0" upright="1">
                          <a:noAutofit/>
                        </wps:bodyPr>
                      </wps:wsp>
                      <wps:wsp>
                        <wps:cNvPr id="1411053096" name="AutoShape 9"/>
                        <wps:cNvSpPr>
                          <a:spLocks noChangeArrowheads="1"/>
                        </wps:cNvSpPr>
                        <wps:spPr bwMode="auto">
                          <a:xfrm>
                            <a:off x="7380" y="9006"/>
                            <a:ext cx="2340" cy="468"/>
                          </a:xfrm>
                          <a:prstGeom prst="flowChartAlternateProcess">
                            <a:avLst/>
                          </a:prstGeom>
                          <a:solidFill>
                            <a:srgbClr val="FF00FF"/>
                          </a:solidFill>
                          <a:ln w="9525">
                            <a:solidFill>
                              <a:srgbClr val="000000"/>
                            </a:solidFill>
                            <a:miter lim="800000"/>
                            <a:headEnd/>
                            <a:tailEnd/>
                          </a:ln>
                        </wps:spPr>
                        <wps:txbx>
                          <w:txbxContent>
                            <w:p w14:paraId="6A7A2794" w14:textId="77777777" w:rsidR="00D7265E" w:rsidRPr="0048745A" w:rsidRDefault="00D7265E" w:rsidP="00D7265E">
                              <w:pPr>
                                <w:jc w:val="center"/>
                                <w:rPr>
                                  <w:b/>
                                  <w:color w:val="FFFFFF"/>
                                </w:rPr>
                              </w:pPr>
                              <w:r w:rsidRPr="0048745A">
                                <w:rPr>
                                  <w:rFonts w:ascii="宋体" w:hAnsi="宋体" w:hint="eastAsia"/>
                                  <w:b/>
                                  <w:color w:val="FFFFFF"/>
                                  <w:szCs w:val="21"/>
                                </w:rPr>
                                <w:t>抵/质押资产覆盖率</w:t>
                              </w:r>
                            </w:p>
                          </w:txbxContent>
                        </wps:txbx>
                        <wps:bodyPr rot="0" vert="horz" wrap="square" lIns="91440" tIns="45720" rIns="91440" bIns="45720" anchor="t" anchorCtr="0" upright="1">
                          <a:noAutofit/>
                        </wps:bodyPr>
                      </wps:wsp>
                      <wps:wsp>
                        <wps:cNvPr id="501576287" name="AutoShape 10"/>
                        <wps:cNvSpPr>
                          <a:spLocks noChangeArrowheads="1"/>
                        </wps:cNvSpPr>
                        <wps:spPr bwMode="auto">
                          <a:xfrm>
                            <a:off x="8460" y="9474"/>
                            <a:ext cx="180" cy="1092"/>
                          </a:xfrm>
                          <a:prstGeom prst="downArrow">
                            <a:avLst>
                              <a:gd name="adj1" fmla="val 50000"/>
                              <a:gd name="adj2" fmla="val 151667"/>
                            </a:avLst>
                          </a:prstGeom>
                          <a:solidFill>
                            <a:srgbClr val="FFCC99"/>
                          </a:solidFill>
                          <a:ln w="9525">
                            <a:solidFill>
                              <a:srgbClr val="000000"/>
                            </a:solidFill>
                            <a:miter lim="800000"/>
                            <a:headEnd/>
                            <a:tailEnd/>
                          </a:ln>
                        </wps:spPr>
                        <wps:bodyPr rot="0" vert="eaVert" wrap="square" lIns="91440" tIns="45720" rIns="91440" bIns="45720" anchor="t" anchorCtr="0" upright="1">
                          <a:noAutofit/>
                        </wps:bodyPr>
                      </wps:wsp>
                      <wps:wsp>
                        <wps:cNvPr id="2084099645" name="AutoShape 11"/>
                        <wps:cNvSpPr>
                          <a:spLocks noChangeArrowheads="1"/>
                        </wps:cNvSpPr>
                        <wps:spPr bwMode="auto">
                          <a:xfrm>
                            <a:off x="7200" y="10566"/>
                            <a:ext cx="2700" cy="468"/>
                          </a:xfrm>
                          <a:prstGeom prst="flowChartAlternateProcess">
                            <a:avLst/>
                          </a:prstGeom>
                          <a:solidFill>
                            <a:srgbClr val="33CCCC"/>
                          </a:solidFill>
                          <a:ln w="9525">
                            <a:solidFill>
                              <a:srgbClr val="000000"/>
                            </a:solidFill>
                            <a:miter lim="800000"/>
                            <a:headEnd/>
                            <a:tailEnd/>
                          </a:ln>
                        </wps:spPr>
                        <wps:txbx>
                          <w:txbxContent>
                            <w:p w14:paraId="10E51912" w14:textId="77777777" w:rsidR="00D7265E" w:rsidRPr="00CD34D1" w:rsidRDefault="00D7265E" w:rsidP="00D7265E">
                              <w:pPr>
                                <w:jc w:val="center"/>
                                <w:rPr>
                                  <w:color w:val="000000"/>
                                </w:rPr>
                              </w:pPr>
                              <w:r>
                                <w:rPr>
                                  <w:rFonts w:ascii="宋体" w:hAnsi="宋体" w:hint="eastAsia"/>
                                  <w:szCs w:val="21"/>
                                </w:rPr>
                                <w:t>到期日</w:t>
                              </w:r>
                              <w:r w:rsidRPr="00926AB1">
                                <w:rPr>
                                  <w:rFonts w:ascii="宋体" w:hAnsi="宋体" w:hint="eastAsia"/>
                                  <w:szCs w:val="21"/>
                                </w:rPr>
                                <w:t>抵/</w:t>
                              </w:r>
                              <w:r w:rsidRPr="00926AB1">
                                <w:rPr>
                                  <w:rFonts w:ascii="宋体" w:hAnsi="宋体" w:hint="eastAsia"/>
                                  <w:szCs w:val="21"/>
                                </w:rPr>
                                <w:t>质押</w:t>
                              </w:r>
                              <w:r>
                                <w:rPr>
                                  <w:rFonts w:ascii="宋体" w:hAnsi="宋体" w:hint="eastAsia"/>
                                  <w:color w:val="000000"/>
                                  <w:szCs w:val="21"/>
                                </w:rPr>
                                <w:t>资产价值</w:t>
                              </w:r>
                            </w:p>
                          </w:txbxContent>
                        </wps:txbx>
                        <wps:bodyPr rot="0" vert="horz" wrap="square" lIns="91440" tIns="45720" rIns="91440" bIns="45720" anchor="t" anchorCtr="0" upright="1">
                          <a:noAutofit/>
                        </wps:bodyPr>
                      </wps:wsp>
                      <wps:wsp>
                        <wps:cNvPr id="602679905" name="AutoShape 12"/>
                        <wps:cNvSpPr>
                          <a:spLocks noChangeArrowheads="1"/>
                        </wps:cNvSpPr>
                        <wps:spPr bwMode="auto">
                          <a:xfrm>
                            <a:off x="4995" y="10722"/>
                            <a:ext cx="2160" cy="156"/>
                          </a:xfrm>
                          <a:prstGeom prst="leftArrow">
                            <a:avLst>
                              <a:gd name="adj1" fmla="val 50000"/>
                              <a:gd name="adj2" fmla="val 346154"/>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2025673806" name="AutoShape 13"/>
                        <wps:cNvSpPr>
                          <a:spLocks noChangeArrowheads="1"/>
                        </wps:cNvSpPr>
                        <wps:spPr bwMode="auto">
                          <a:xfrm>
                            <a:off x="2280" y="10566"/>
                            <a:ext cx="2700" cy="468"/>
                          </a:xfrm>
                          <a:prstGeom prst="flowChartAlternateProcess">
                            <a:avLst/>
                          </a:prstGeom>
                          <a:solidFill>
                            <a:srgbClr val="FFFF99"/>
                          </a:solidFill>
                          <a:ln w="9525">
                            <a:solidFill>
                              <a:srgbClr val="000000"/>
                            </a:solidFill>
                            <a:miter lim="800000"/>
                            <a:headEnd/>
                            <a:tailEnd/>
                          </a:ln>
                        </wps:spPr>
                        <wps:txbx>
                          <w:txbxContent>
                            <w:p w14:paraId="4963C000" w14:textId="77777777" w:rsidR="00D7265E" w:rsidRPr="00C0599F" w:rsidRDefault="00D7265E" w:rsidP="00D7265E">
                              <w:pPr>
                                <w:jc w:val="center"/>
                                <w:rPr>
                                  <w:color w:val="000000"/>
                                </w:rPr>
                              </w:pPr>
                              <w:r w:rsidRPr="00C0599F">
                                <w:rPr>
                                  <w:rFonts w:ascii="宋体" w:hAnsi="宋体" w:hint="eastAsia"/>
                                  <w:color w:val="000000"/>
                                  <w:szCs w:val="21"/>
                                </w:rPr>
                                <w:t>抵/质押资产价值</w:t>
                              </w:r>
                            </w:p>
                          </w:txbxContent>
                        </wps:txbx>
                        <wps:bodyPr rot="0" vert="horz" wrap="square" lIns="91440" tIns="45720" rIns="91440" bIns="45720" anchor="t" anchorCtr="0" upright="1">
                          <a:noAutofit/>
                        </wps:bodyPr>
                      </wps:wsp>
                      <wps:wsp>
                        <wps:cNvPr id="2029119490" name="Text Box 14"/>
                        <wps:cNvSpPr txBox="1">
                          <a:spLocks noChangeArrowheads="1"/>
                        </wps:cNvSpPr>
                        <wps:spPr bwMode="auto">
                          <a:xfrm>
                            <a:off x="8640" y="8337"/>
                            <a:ext cx="1080" cy="468"/>
                          </a:xfrm>
                          <a:prstGeom prst="rect">
                            <a:avLst/>
                          </a:prstGeom>
                          <a:solidFill>
                            <a:srgbClr val="FFFFFF"/>
                          </a:solidFill>
                          <a:ln w="9525">
                            <a:solidFill>
                              <a:srgbClr val="FFFFFF"/>
                            </a:solidFill>
                            <a:miter lim="800000"/>
                            <a:headEnd/>
                            <a:tailEnd/>
                          </a:ln>
                        </wps:spPr>
                        <wps:txbx>
                          <w:txbxContent>
                            <w:p w14:paraId="5CC90BA3" w14:textId="77777777" w:rsidR="00D7265E" w:rsidRDefault="00D7265E" w:rsidP="00D7265E">
                              <w:pPr>
                                <w:rPr>
                                  <w:rFonts w:hint="eastAsia"/>
                                </w:rPr>
                              </w:pPr>
                              <w:r>
                                <w:rPr>
                                  <w:rFonts w:hint="eastAsia"/>
                                </w:rPr>
                                <w:t>取决于</w:t>
                              </w:r>
                            </w:p>
                          </w:txbxContent>
                        </wps:txbx>
                        <wps:bodyPr rot="0" vert="horz" wrap="square" lIns="91440" tIns="45720" rIns="91440" bIns="45720" anchor="t" anchorCtr="0" upright="1">
                          <a:noAutofit/>
                        </wps:bodyPr>
                      </wps:wsp>
                      <wps:wsp>
                        <wps:cNvPr id="1687194752" name="Oval 15"/>
                        <wps:cNvSpPr>
                          <a:spLocks noChangeArrowheads="1"/>
                        </wps:cNvSpPr>
                        <wps:spPr bwMode="auto">
                          <a:xfrm>
                            <a:off x="5400" y="9942"/>
                            <a:ext cx="1620" cy="624"/>
                          </a:xfrm>
                          <a:prstGeom prst="ellipse">
                            <a:avLst/>
                          </a:prstGeom>
                          <a:solidFill>
                            <a:srgbClr val="00FF00"/>
                          </a:solidFill>
                          <a:ln w="9525">
                            <a:solidFill>
                              <a:srgbClr val="000000"/>
                            </a:solidFill>
                            <a:round/>
                            <a:headEnd/>
                            <a:tailEnd/>
                          </a:ln>
                        </wps:spPr>
                        <wps:txbx>
                          <w:txbxContent>
                            <w:p w14:paraId="7CA092CE" w14:textId="77777777" w:rsidR="00D7265E" w:rsidRPr="00536AC9" w:rsidRDefault="00D7265E" w:rsidP="00D7265E">
                              <w:pPr>
                                <w:jc w:val="center"/>
                                <w:rPr>
                                  <w:rFonts w:hint="eastAsia"/>
                                  <w:b/>
                                </w:rPr>
                              </w:pPr>
                              <w:r>
                                <w:rPr>
                                  <w:rFonts w:hint="eastAsia"/>
                                  <w:b/>
                                </w:rPr>
                                <w:t>折扣率</w:t>
                              </w:r>
                            </w:p>
                          </w:txbxContent>
                        </wps:txbx>
                        <wps:bodyPr rot="0" vert="horz" wrap="square" lIns="91440" tIns="45720" rIns="91440" bIns="45720" anchor="t" anchorCtr="0" upright="1">
                          <a:noAutofit/>
                        </wps:bodyPr>
                      </wps:wsp>
                      <wps:wsp>
                        <wps:cNvPr id="1622080666" name="AutoShape 16"/>
                        <wps:cNvSpPr>
                          <a:spLocks noChangeArrowheads="1"/>
                        </wps:cNvSpPr>
                        <wps:spPr bwMode="auto">
                          <a:xfrm flipH="1">
                            <a:off x="4860" y="9318"/>
                            <a:ext cx="900" cy="468"/>
                          </a:xfrm>
                          <a:prstGeom prst="wedgeRoundRectCallout">
                            <a:avLst>
                              <a:gd name="adj1" fmla="val -56222"/>
                              <a:gd name="adj2" fmla="val 78204"/>
                              <a:gd name="adj3" fmla="val 16667"/>
                            </a:avLst>
                          </a:prstGeom>
                          <a:solidFill>
                            <a:srgbClr val="C0C0C0"/>
                          </a:solidFill>
                          <a:ln w="9525">
                            <a:solidFill>
                              <a:srgbClr val="000000"/>
                            </a:solidFill>
                            <a:miter lim="800000"/>
                            <a:headEnd/>
                            <a:tailEnd/>
                          </a:ln>
                        </wps:spPr>
                        <wps:txbx>
                          <w:txbxContent>
                            <w:p w14:paraId="5139F346" w14:textId="77777777" w:rsidR="00D7265E" w:rsidRPr="00222018" w:rsidRDefault="00D7265E" w:rsidP="00D7265E">
                              <w:pPr>
                                <w:jc w:val="center"/>
                                <w:rPr>
                                  <w:rFonts w:hint="eastAsia"/>
                                  <w:b/>
                                </w:rPr>
                              </w:pPr>
                              <w:r w:rsidRPr="00222018">
                                <w:rPr>
                                  <w:rFonts w:hint="eastAsia"/>
                                  <w:b/>
                                </w:rPr>
                                <w:t>关键</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A3247" id="组合 1" o:spid="_x0000_s1026" style="position:absolute;left:0;text-align:left;margin-left:9pt;margin-top:0;width:385.5pt;height:171.6pt;z-index:251659264" coordorigin="2190,7602" coordsize="771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7" type="#_x0000_t176" style="position:absolute;left:2190;top:7743;width:287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" fillcolor="#cfc">
                  <v:textbox>
                    <w:txbxContent>
                      <w:p w14:paraId="001F42C0" w14:textId="77777777" w:rsidR="00D7265E" w:rsidRPr="004E7D7A" w:rsidRDefault="00D7265E" w:rsidP="00D7265E">
                        <w:pPr>
                          <w:jc w:val="center"/>
                          <w:rPr>
                            <w:b/>
                            <w:color w:val="000000"/>
                          </w:rPr>
                        </w:pPr>
                        <w:r w:rsidRPr="004E7D7A">
                          <w:rPr>
                            <w:rFonts w:ascii="宋体" w:hAnsi="宋体" w:hint="eastAsia"/>
                            <w:b/>
                            <w:color w:val="000000"/>
                            <w:szCs w:val="21"/>
                          </w:rPr>
                          <w:t>抵/质押担保债券信用等级</w:t>
                        </w:r>
                      </w:p>
                    </w:txbxContent>
                  </v:textbox>
                </v:shape>
                <v:shapetype id="_x0000_t202" coordsize="21600,21600" o:spt="202" path="m,l,21600r21600,l21600,xe">
                  <v:stroke joinstyle="miter"/>
                  <v:path gradientshapeok="t" o:connecttype="rect"/>
                </v:shapetype>
                <v:shape id="Text Box 4" o:spid="_x0000_s1028" type="#_x0000_t202" style="position:absolute;left:5070;top:7617;width:5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" strokecolor="white">
                  <v:textbox>
                    <w:txbxContent>
                      <w:p w14:paraId="0CFF3720" w14:textId="77777777" w:rsidR="00D7265E" w:rsidRPr="00393514" w:rsidRDefault="00D7265E" w:rsidP="00D7265E">
                        <w:pPr>
                          <w:rPr>
                            <w:rFonts w:hint="eastAsia"/>
                            <w:b/>
                            <w:sz w:val="32"/>
                            <w:szCs w:val="32"/>
                          </w:rPr>
                        </w:pPr>
                        <w:r w:rsidRPr="00393514">
                          <w:rPr>
                            <w:rFonts w:hint="eastAsia"/>
                            <w:b/>
                            <w:sz w:val="32"/>
                            <w:szCs w:val="32"/>
                          </w:rPr>
                          <w:t>=</w:t>
                        </w:r>
                      </w:p>
                    </w:txbxContent>
                  </v:textbox>
                </v:shape>
                <v:shape id="AutoShape 5" o:spid="_x0000_s1029" type="#_x0000_t176" style="position:absolute;left:5610;top:7743;width:16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" fillcolor="#cff">
                  <v:textbox>
                    <w:txbxContent>
                      <w:p w14:paraId="31A7D01A" w14:textId="77777777" w:rsidR="00D7265E" w:rsidRPr="004E7D7A" w:rsidRDefault="00D7265E" w:rsidP="00D7265E">
                        <w:pPr>
                          <w:jc w:val="center"/>
                          <w:rPr>
                            <w:b/>
                            <w:color w:val="000000"/>
                          </w:rPr>
                        </w:pPr>
                        <w:r w:rsidRPr="004E7D7A">
                          <w:rPr>
                            <w:rFonts w:ascii="宋体" w:hAnsi="宋体" w:hint="eastAsia"/>
                            <w:b/>
                            <w:color w:val="000000"/>
                            <w:szCs w:val="21"/>
                          </w:rPr>
                          <w:t>主体</w:t>
                        </w:r>
                        <w:r>
                          <w:rPr>
                            <w:rFonts w:ascii="宋体" w:hAnsi="宋体" w:hint="eastAsia"/>
                            <w:b/>
                            <w:color w:val="000000"/>
                            <w:szCs w:val="21"/>
                          </w:rPr>
                          <w:t>等级</w:t>
                        </w:r>
                      </w:p>
                    </w:txbxContent>
                  </v:textbox>
                </v:shape>
                <v:shape id="AutoShape 6" o:spid="_x0000_s1030" type="#_x0000_t176" style="position:absolute;left:7755;top:7728;width:16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" fillcolor="#fc0">
                  <v:textbox>
                    <w:txbxContent>
                      <w:p w14:paraId="7CA30328" w14:textId="77777777" w:rsidR="00D7265E" w:rsidRPr="004E7D7A" w:rsidRDefault="00D7265E" w:rsidP="00D7265E">
                        <w:pPr>
                          <w:jc w:val="center"/>
                          <w:rPr>
                            <w:b/>
                            <w:color w:val="000000"/>
                          </w:rPr>
                        </w:pPr>
                        <w:r w:rsidRPr="004E7D7A">
                          <w:rPr>
                            <w:rFonts w:ascii="宋体" w:hAnsi="宋体" w:hint="eastAsia"/>
                            <w:b/>
                            <w:color w:val="000000"/>
                            <w:szCs w:val="21"/>
                          </w:rPr>
                          <w:t>增信等级</w:t>
                        </w:r>
                      </w:p>
                    </w:txbxContent>
                  </v:textbox>
                </v:shape>
                <v:shape id="Text Box 7" o:spid="_x0000_s1031" type="#_x0000_t202" style="position:absolute;left:7260;top:7602;width:46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" strokecolor="white">
                  <v:textbox>
                    <w:txbxContent>
                      <w:p w14:paraId="329BFA34" w14:textId="77777777" w:rsidR="00D7265E" w:rsidRPr="00393514" w:rsidRDefault="00D7265E" w:rsidP="00D7265E">
                        <w:pPr>
                          <w:rPr>
                            <w:rFonts w:hint="eastAsia"/>
                            <w:b/>
                            <w:sz w:val="32"/>
                            <w:szCs w:val="32"/>
                          </w:rPr>
                        </w:pPr>
                        <w:r w:rsidRPr="00393514">
                          <w:rPr>
                            <w:rFonts w:hint="eastAsia"/>
                            <w:b/>
                            <w:sz w:val="32"/>
                            <w:szCs w:val="32"/>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32" type="#_x0000_t67" style="position:absolute;left:8460;top:8226;width:1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" fillcolor="#fc9">
                  <v:textbox style="layout-flow:vertical-ideographic"/>
                </v:shape>
                <v:shape id="AutoShape 9" o:spid="_x0000_s1033" type="#_x0000_t176" style="position:absolute;left:7380;top:900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" fillcolor="fuchsia">
                  <v:textbox>
                    <w:txbxContent>
                      <w:p w14:paraId="6A7A2794" w14:textId="77777777" w:rsidR="00D7265E" w:rsidRPr="0048745A" w:rsidRDefault="00D7265E" w:rsidP="00D7265E">
                        <w:pPr>
                          <w:jc w:val="center"/>
                          <w:rPr>
                            <w:b/>
                            <w:color w:val="FFFFFF"/>
                          </w:rPr>
                        </w:pPr>
                        <w:r w:rsidRPr="0048745A">
                          <w:rPr>
                            <w:rFonts w:ascii="宋体" w:hAnsi="宋体" w:hint="eastAsia"/>
                            <w:b/>
                            <w:color w:val="FFFFFF"/>
                            <w:szCs w:val="21"/>
                          </w:rPr>
                          <w:t>抵/质押资产覆盖率</w:t>
                        </w:r>
                      </w:p>
                    </w:txbxContent>
                  </v:textbox>
                </v:shape>
                <v:shape id="AutoShape 10" o:spid="_x0000_s1034" type="#_x0000_t67" style="position:absolute;left:8460;top:9474;width:18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" fillcolor="#fc9">
                  <v:textbox style="layout-flow:vertical-ideographic"/>
                </v:shape>
                <v:shape id="AutoShape 11" o:spid="_x0000_s1035" type="#_x0000_t176" style="position:absolute;left:7200;top:10566;width:27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" fillcolor="#3cc">
                  <v:textbox>
                    <w:txbxContent>
                      <w:p w14:paraId="10E51912" w14:textId="77777777" w:rsidR="00D7265E" w:rsidRPr="00CD34D1" w:rsidRDefault="00D7265E" w:rsidP="00D7265E">
                        <w:pPr>
                          <w:jc w:val="center"/>
                          <w:rPr>
                            <w:color w:val="000000"/>
                          </w:rPr>
                        </w:pPr>
                        <w:r>
                          <w:rPr>
                            <w:rFonts w:ascii="宋体" w:hAnsi="宋体" w:hint="eastAsia"/>
                            <w:szCs w:val="21"/>
                          </w:rPr>
                          <w:t>到期日</w:t>
                        </w:r>
                        <w:r w:rsidRPr="00926AB1">
                          <w:rPr>
                            <w:rFonts w:ascii="宋体" w:hAnsi="宋体" w:hint="eastAsia"/>
                            <w:szCs w:val="21"/>
                          </w:rPr>
                          <w:t>抵/</w:t>
                        </w:r>
                        <w:r w:rsidRPr="00926AB1">
                          <w:rPr>
                            <w:rFonts w:ascii="宋体" w:hAnsi="宋体" w:hint="eastAsia"/>
                            <w:szCs w:val="21"/>
                          </w:rPr>
                          <w:t>质押</w:t>
                        </w:r>
                        <w:r>
                          <w:rPr>
                            <w:rFonts w:ascii="宋体" w:hAnsi="宋体" w:hint="eastAsia"/>
                            <w:color w:val="000000"/>
                            <w:szCs w:val="21"/>
                          </w:rPr>
                          <w:t>资产价值</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 o:spid="_x0000_s1036" type="#_x0000_t66" style="position:absolute;left:4995;top:10722;width:216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" fillcolor="#fc9"/>
                <v:shape id="AutoShape 13" o:spid="_x0000_s1037" type="#_x0000_t176" style="position:absolute;left:2280;top:10566;width:27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" fillcolor="#ff9">
                  <v:textbox>
                    <w:txbxContent>
                      <w:p w14:paraId="4963C000" w14:textId="77777777" w:rsidR="00D7265E" w:rsidRPr="00C0599F" w:rsidRDefault="00D7265E" w:rsidP="00D7265E">
                        <w:pPr>
                          <w:jc w:val="center"/>
                          <w:rPr>
                            <w:color w:val="000000"/>
                          </w:rPr>
                        </w:pPr>
                        <w:r w:rsidRPr="00C0599F">
                          <w:rPr>
                            <w:rFonts w:ascii="宋体" w:hAnsi="宋体" w:hint="eastAsia"/>
                            <w:color w:val="000000"/>
                            <w:szCs w:val="21"/>
                          </w:rPr>
                          <w:t>抵/质押资产价值</w:t>
                        </w:r>
                      </w:p>
                    </w:txbxContent>
                  </v:textbox>
                </v:shape>
                <v:shape id="Text Box 14" o:spid="_x0000_s1038" type="#_x0000_t202" style="position:absolute;left:8640;top:8337;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" strokecolor="white">
                  <v:textbox>
                    <w:txbxContent>
                      <w:p w14:paraId="5CC90BA3" w14:textId="77777777" w:rsidR="00D7265E" w:rsidRDefault="00D7265E" w:rsidP="00D7265E">
                        <w:pPr>
                          <w:rPr>
                            <w:rFonts w:hint="eastAsia"/>
                          </w:rPr>
                        </w:pPr>
                        <w:r>
                          <w:rPr>
                            <w:rFonts w:hint="eastAsia"/>
                          </w:rPr>
                          <w:t>取决于</w:t>
                        </w:r>
                      </w:p>
                    </w:txbxContent>
                  </v:textbox>
                </v:shape>
                <v:oval id="Oval 15" o:spid="_x0000_s1039" style="position:absolute;left:5400;top:9942;width:16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" fillcolor="lime">
                  <v:textbox>
                    <w:txbxContent>
                      <w:p w14:paraId="7CA092CE" w14:textId="77777777" w:rsidR="00D7265E" w:rsidRPr="00536AC9" w:rsidRDefault="00D7265E" w:rsidP="00D7265E">
                        <w:pPr>
                          <w:jc w:val="center"/>
                          <w:rPr>
                            <w:rFonts w:hint="eastAsia"/>
                            <w:b/>
                          </w:rPr>
                        </w:pPr>
                        <w:r>
                          <w:rPr>
                            <w:rFonts w:hint="eastAsia"/>
                            <w:b/>
                          </w:rPr>
                          <w:t>折扣率</w:t>
                        </w:r>
                      </w:p>
                    </w:txbxContent>
                  </v:textbox>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40" type="#_x0000_t62" style="position:absolute;left:4860;top:9318;width:900;height:4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" adj="-1344,27692" fillcolor="silver">
                  <v:textbox>
                    <w:txbxContent>
                      <w:p w14:paraId="5139F346" w14:textId="77777777" w:rsidR="00D7265E" w:rsidRPr="00222018" w:rsidRDefault="00D7265E" w:rsidP="00D7265E">
                        <w:pPr>
                          <w:jc w:val="center"/>
                          <w:rPr>
                            <w:rFonts w:hint="eastAsia"/>
                            <w:b/>
                          </w:rPr>
                        </w:pPr>
                        <w:r w:rsidRPr="00222018">
                          <w:rPr>
                            <w:rFonts w:hint="eastAsia"/>
                            <w:b/>
                          </w:rPr>
                          <w:t>关键</w:t>
                        </w:r>
                      </w:p>
                    </w:txbxContent>
                  </v:textbox>
                </v:shape>
              </v:group>
            </w:pict>
          </mc:Fallback>
        </mc:AlternateContent>
      </w:r>
    </w:p>
    <w:p w14:paraId="2906DB53" w14:textId="77777777" w:rsidR="00D7265E" w:rsidRPr="00800D22" w:rsidRDefault="00D7265E" w:rsidP="00D7265E">
      <w:pPr>
        <w:spacing w:line="360" w:lineRule="auto"/>
        <w:ind w:firstLine="420"/>
        <w:rPr>
          <w:rFonts w:hint="eastAsia"/>
          <w:sz w:val="24"/>
        </w:rPr>
      </w:pPr>
    </w:p>
    <w:p w14:paraId="0718CD4E" w14:textId="77777777" w:rsidR="00D7265E" w:rsidRPr="00800D22" w:rsidRDefault="00D7265E" w:rsidP="00D7265E">
      <w:pPr>
        <w:spacing w:line="360" w:lineRule="auto"/>
        <w:ind w:firstLine="420"/>
        <w:rPr>
          <w:rFonts w:hint="eastAsia"/>
          <w:sz w:val="24"/>
        </w:rPr>
      </w:pPr>
    </w:p>
    <w:p w14:paraId="5D88EE1E" w14:textId="77777777" w:rsidR="00D7265E" w:rsidRPr="00800D22" w:rsidRDefault="00D7265E" w:rsidP="00D7265E">
      <w:pPr>
        <w:spacing w:line="360" w:lineRule="auto"/>
        <w:ind w:firstLine="420"/>
        <w:rPr>
          <w:rFonts w:hint="eastAsia"/>
          <w:sz w:val="24"/>
        </w:rPr>
      </w:pPr>
    </w:p>
    <w:p w14:paraId="6923EB5C" w14:textId="77777777" w:rsidR="00D7265E" w:rsidRPr="00800D22" w:rsidRDefault="00D7265E" w:rsidP="00D7265E">
      <w:pPr>
        <w:spacing w:line="360" w:lineRule="auto"/>
        <w:ind w:firstLine="420"/>
        <w:rPr>
          <w:rFonts w:hint="eastAsia"/>
          <w:sz w:val="24"/>
        </w:rPr>
      </w:pPr>
    </w:p>
    <w:p w14:paraId="220908EF" w14:textId="77777777" w:rsidR="00D7265E" w:rsidRPr="00800D22" w:rsidRDefault="00D7265E" w:rsidP="00D7265E">
      <w:pPr>
        <w:spacing w:line="360" w:lineRule="auto"/>
        <w:ind w:firstLine="420"/>
        <w:rPr>
          <w:rFonts w:hint="eastAsia"/>
          <w:sz w:val="24"/>
        </w:rPr>
      </w:pPr>
    </w:p>
    <w:p w14:paraId="4FA86A80" w14:textId="77777777" w:rsidR="00D7265E" w:rsidRPr="00800D22" w:rsidRDefault="00D7265E" w:rsidP="00D7265E">
      <w:pPr>
        <w:spacing w:line="360" w:lineRule="auto"/>
        <w:ind w:firstLine="420"/>
        <w:rPr>
          <w:rFonts w:hint="eastAsia"/>
          <w:sz w:val="24"/>
        </w:rPr>
      </w:pPr>
    </w:p>
    <w:p w14:paraId="0B0A9AC0" w14:textId="77777777" w:rsidR="00D7265E" w:rsidRPr="00800D22" w:rsidRDefault="00D7265E" w:rsidP="00D7265E">
      <w:pPr>
        <w:spacing w:line="360" w:lineRule="auto"/>
        <w:rPr>
          <w:sz w:val="24"/>
        </w:rPr>
      </w:pPr>
    </w:p>
    <w:p w14:paraId="30DF80F5" w14:textId="77777777" w:rsidR="00D7265E" w:rsidRPr="00800D22" w:rsidRDefault="00D7265E" w:rsidP="00D7265E">
      <w:pPr>
        <w:keepNext/>
        <w:jc w:val="center"/>
        <w:rPr>
          <w:rFonts w:hint="eastAsia"/>
          <w:szCs w:val="21"/>
        </w:rPr>
      </w:pPr>
      <w:bookmarkStart w:id="0" w:name="_Toc216154409"/>
      <w:bookmarkStart w:id="1" w:name="_Toc256507111"/>
      <w:r w:rsidRPr="00800D22">
        <w:rPr>
          <w:rFonts w:hint="eastAsia"/>
          <w:szCs w:val="21"/>
        </w:rPr>
        <w:lastRenderedPageBreak/>
        <w:t>图</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5</w:t>
      </w:r>
      <w:r w:rsidRPr="00800D22">
        <w:rPr>
          <w:szCs w:val="21"/>
        </w:rPr>
        <w:fldChar w:fldCharType="end"/>
      </w:r>
      <w:r w:rsidRPr="00800D22">
        <w:rPr>
          <w:rFonts w:hint="eastAsia"/>
          <w:szCs w:val="21"/>
        </w:rPr>
        <w:t xml:space="preserve">  </w:t>
      </w:r>
      <w:r w:rsidRPr="00800D22">
        <w:rPr>
          <w:rFonts w:hint="eastAsia"/>
          <w:szCs w:val="21"/>
        </w:rPr>
        <w:t>抵</w:t>
      </w:r>
      <w:r w:rsidRPr="00800D22">
        <w:rPr>
          <w:rFonts w:hint="eastAsia"/>
          <w:szCs w:val="21"/>
        </w:rPr>
        <w:t>/</w:t>
      </w:r>
      <w:r w:rsidRPr="00800D22">
        <w:rPr>
          <w:rFonts w:hint="eastAsia"/>
          <w:szCs w:val="21"/>
        </w:rPr>
        <w:t>质押担保债券信用评级流程</w:t>
      </w:r>
      <w:bookmarkEnd w:id="1"/>
    </w:p>
    <w:p w14:paraId="0962FC3E" w14:textId="77777777" w:rsidR="00D7265E" w:rsidRPr="00800D22" w:rsidRDefault="00D7265E" w:rsidP="00D7265E">
      <w:pPr>
        <w:spacing w:afterLines="50" w:after="156"/>
        <w:jc w:val="center"/>
        <w:rPr>
          <w:rFonts w:hint="eastAsia"/>
          <w:szCs w:val="21"/>
        </w:rPr>
      </w:pPr>
      <w:r w:rsidRPr="00800D22">
        <w:rPr>
          <w:rFonts w:hint="eastAsia"/>
          <w:szCs w:val="21"/>
        </w:rPr>
        <w:t xml:space="preserve">Figure 6.5  Credit rating </w:t>
      </w:r>
      <w:hyperlink r:id="rId7" w:history="1">
        <w:r w:rsidRPr="00800D22">
          <w:rPr>
            <w:szCs w:val="21"/>
          </w:rPr>
          <w:t>process</w:t>
        </w:r>
      </w:hyperlink>
      <w:r w:rsidRPr="00800D22">
        <w:rPr>
          <w:szCs w:val="21"/>
        </w:rPr>
        <w:t xml:space="preserve"> </w:t>
      </w:r>
      <w:r w:rsidRPr="00800D22">
        <w:rPr>
          <w:rFonts w:hint="eastAsia"/>
          <w:szCs w:val="21"/>
        </w:rPr>
        <w:t xml:space="preserve">of </w:t>
      </w:r>
      <w:hyperlink r:id="rId8" w:tooltip="查找: collateral mortgage" w:history="1">
        <w:r w:rsidRPr="00800D22">
          <w:t>collateral mortgage</w:t>
        </w:r>
      </w:hyperlink>
      <w:r w:rsidRPr="00800D22">
        <w:rPr>
          <w:szCs w:val="21"/>
        </w:rPr>
        <w:t xml:space="preserve"> or pledge</w:t>
      </w:r>
      <w:r w:rsidRPr="00800D22">
        <w:rPr>
          <w:rFonts w:hint="eastAsia"/>
          <w:szCs w:val="21"/>
        </w:rPr>
        <w:t xml:space="preserve"> bonds</w:t>
      </w:r>
    </w:p>
    <w:p w14:paraId="357383B5" w14:textId="1449E6D7" w:rsidR="00D7265E" w:rsidRPr="00800D22" w:rsidRDefault="00D7265E" w:rsidP="00D7265E">
      <w:pPr>
        <w:spacing w:beforeLines="50" w:before="156" w:line="440" w:lineRule="exact"/>
        <w:outlineLvl w:val="3"/>
        <w:rPr>
          <w:rFonts w:ascii="黑体" w:eastAsia="黑体"/>
          <w:sz w:val="24"/>
        </w:rPr>
      </w:pPr>
      <w:bookmarkStart w:id="2" w:name="_Toc238701500"/>
      <w:bookmarkStart w:id="3" w:name="_Toc239689266"/>
      <w:r>
        <w:rPr>
          <w:rFonts w:ascii="黑体" w:eastAsia="黑体" w:hint="eastAsia"/>
          <w:sz w:val="24"/>
        </w:rPr>
        <w:t>一、</w:t>
      </w:r>
      <w:r w:rsidRPr="00800D22">
        <w:rPr>
          <w:rFonts w:ascii="黑体" w:eastAsia="黑体"/>
          <w:sz w:val="24"/>
        </w:rPr>
        <w:t>抵/质押资产价值覆盖率和抵/质押资产价值的确定</w:t>
      </w:r>
      <w:bookmarkEnd w:id="0"/>
      <w:bookmarkEnd w:id="2"/>
      <w:bookmarkEnd w:id="3"/>
    </w:p>
    <w:p w14:paraId="2B907E89" w14:textId="77777777" w:rsidR="00D7265E" w:rsidRPr="00800D22" w:rsidRDefault="00D7265E" w:rsidP="00D7265E">
      <w:pPr>
        <w:spacing w:line="440" w:lineRule="exact"/>
        <w:ind w:firstLineChars="200" w:firstLine="482"/>
        <w:rPr>
          <w:rFonts w:hint="eastAsia"/>
          <w:b/>
          <w:sz w:val="24"/>
        </w:rPr>
      </w:pPr>
      <w:r w:rsidRPr="00800D22">
        <w:rPr>
          <w:rFonts w:hint="eastAsia"/>
          <w:b/>
          <w:sz w:val="24"/>
        </w:rPr>
        <w:t>（</w:t>
      </w:r>
      <w:r w:rsidRPr="00800D22">
        <w:rPr>
          <w:rFonts w:hint="eastAsia"/>
          <w:b/>
          <w:sz w:val="24"/>
        </w:rPr>
        <w:t>1</w:t>
      </w:r>
      <w:r w:rsidRPr="00800D22">
        <w:rPr>
          <w:rFonts w:hint="eastAsia"/>
          <w:b/>
          <w:sz w:val="24"/>
        </w:rPr>
        <w:t>）模型构建</w:t>
      </w:r>
    </w:p>
    <w:p w14:paraId="6153280E" w14:textId="77777777" w:rsidR="00D7265E" w:rsidRPr="00800D22" w:rsidRDefault="00D7265E" w:rsidP="00D7265E">
      <w:pPr>
        <w:spacing w:line="440" w:lineRule="exact"/>
        <w:ind w:firstLineChars="200" w:firstLine="480"/>
        <w:rPr>
          <w:sz w:val="24"/>
        </w:rPr>
      </w:pPr>
      <w:r w:rsidRPr="00800D22">
        <w:rPr>
          <w:sz w:val="24"/>
        </w:rPr>
        <w:t>对于投资者来说，如果债务人不发生违约，那么就不涉及任何的预期损失；但如果债务人发生违约，那么最终的损失将取决于债券到期日抵</w:t>
      </w:r>
      <w:r w:rsidRPr="00800D22">
        <w:rPr>
          <w:sz w:val="24"/>
        </w:rPr>
        <w:t>/</w:t>
      </w:r>
      <w:r w:rsidRPr="00800D22">
        <w:rPr>
          <w:sz w:val="24"/>
        </w:rPr>
        <w:t>质押资产</w:t>
      </w:r>
      <w:proofErr w:type="gramStart"/>
      <w:r w:rsidRPr="00800D22">
        <w:rPr>
          <w:sz w:val="24"/>
        </w:rPr>
        <w:t>池资产</w:t>
      </w:r>
      <w:proofErr w:type="gramEnd"/>
      <w:r w:rsidRPr="00800D22">
        <w:rPr>
          <w:sz w:val="24"/>
        </w:rPr>
        <w:t>价值对债券本息的覆盖率</w:t>
      </w:r>
      <w:r w:rsidRPr="00800D22">
        <w:rPr>
          <w:rStyle w:val="af4"/>
          <w:sz w:val="24"/>
        </w:rPr>
        <w:footnoteReference w:id="1"/>
      </w:r>
      <w:r w:rsidRPr="00800D22">
        <w:rPr>
          <w:sz w:val="24"/>
        </w:rPr>
        <w:t>。</w:t>
      </w:r>
    </w:p>
    <w:p w14:paraId="4E349C91" w14:textId="77777777" w:rsidR="00D7265E" w:rsidRPr="00800D22" w:rsidRDefault="00D7265E" w:rsidP="00D7265E">
      <w:pPr>
        <w:spacing w:line="440" w:lineRule="exact"/>
        <w:ind w:firstLineChars="200" w:firstLine="480"/>
        <w:rPr>
          <w:sz w:val="24"/>
        </w:rPr>
      </w:pPr>
      <w:r w:rsidRPr="00800D22">
        <w:rPr>
          <w:sz w:val="24"/>
        </w:rPr>
        <w:t>在该部分的研究中，假设债务人和抵</w:t>
      </w:r>
      <w:r w:rsidRPr="00800D22">
        <w:rPr>
          <w:sz w:val="24"/>
        </w:rPr>
        <w:t>/</w:t>
      </w:r>
      <w:r w:rsidRPr="00800D22">
        <w:rPr>
          <w:sz w:val="24"/>
        </w:rPr>
        <w:t>质押资产之间完全独立。</w:t>
      </w:r>
    </w:p>
    <w:p w14:paraId="53674DB4" w14:textId="77777777" w:rsidR="00D7265E" w:rsidRPr="00800D22" w:rsidRDefault="00D7265E" w:rsidP="00D7265E">
      <w:pPr>
        <w:spacing w:line="440" w:lineRule="exact"/>
        <w:ind w:firstLineChars="200" w:firstLine="480"/>
        <w:rPr>
          <w:sz w:val="24"/>
        </w:rPr>
      </w:pPr>
      <w:r w:rsidRPr="00800D22">
        <w:rPr>
          <w:sz w:val="24"/>
        </w:rPr>
        <w:t>假设</w:t>
      </w:r>
      <w:r w:rsidRPr="00800D22">
        <w:rPr>
          <w:rFonts w:hint="eastAsia"/>
          <w:sz w:val="24"/>
        </w:rPr>
        <w:t>抵</w:t>
      </w:r>
      <w:r w:rsidRPr="00800D22">
        <w:rPr>
          <w:rFonts w:hint="eastAsia"/>
          <w:sz w:val="24"/>
        </w:rPr>
        <w:t>/</w:t>
      </w:r>
      <w:r w:rsidRPr="00800D22">
        <w:rPr>
          <w:rFonts w:hint="eastAsia"/>
          <w:sz w:val="24"/>
        </w:rPr>
        <w:t>质押</w:t>
      </w:r>
      <w:r w:rsidRPr="00800D22">
        <w:rPr>
          <w:sz w:val="24"/>
        </w:rPr>
        <w:t>债券预期违约损失</w:t>
      </w:r>
      <w:r w:rsidRPr="00800D22">
        <w:rPr>
          <w:rFonts w:hint="eastAsia"/>
          <w:sz w:val="24"/>
        </w:rPr>
        <w:t>率</w:t>
      </w:r>
      <w:r w:rsidRPr="00800D22">
        <w:rPr>
          <w:sz w:val="24"/>
        </w:rPr>
        <w:t>为</w:t>
      </w:r>
      <w:r w:rsidRPr="00800D22">
        <w:rPr>
          <w:position w:val="-4"/>
        </w:rPr>
        <w:object w:dxaOrig="560" w:dyaOrig="260" w14:anchorId="4C877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3pt" o:ole="">
            <v:imagedata r:id="rId9" o:title=""/>
          </v:shape>
          <o:OLEObject Type="Embed" ProgID="Equation.DSMT4" ShapeID="_x0000_i1025" DrawAspect="Content" ObjectID="_1822572588" r:id="rId10"/>
        </w:object>
      </w:r>
      <w:r w:rsidRPr="00800D22">
        <w:rPr>
          <w:sz w:val="24"/>
        </w:rPr>
        <w:t>，</w:t>
      </w:r>
      <w:r w:rsidRPr="00800D22">
        <w:rPr>
          <w:rFonts w:hint="eastAsia"/>
          <w:sz w:val="24"/>
        </w:rPr>
        <w:t>增信前债务人</w:t>
      </w:r>
      <w:r w:rsidRPr="00800D22">
        <w:rPr>
          <w:sz w:val="24"/>
        </w:rPr>
        <w:t>预期</w:t>
      </w:r>
      <w:r w:rsidRPr="00800D22">
        <w:rPr>
          <w:rFonts w:hint="eastAsia"/>
          <w:sz w:val="24"/>
        </w:rPr>
        <w:t>违约</w:t>
      </w:r>
      <w:r w:rsidRPr="00800D22">
        <w:rPr>
          <w:sz w:val="24"/>
        </w:rPr>
        <w:t>损失</w:t>
      </w:r>
      <w:r w:rsidRPr="00800D22">
        <w:rPr>
          <w:rFonts w:hint="eastAsia"/>
          <w:sz w:val="24"/>
        </w:rPr>
        <w:t>率（即无担保时的预期违约损失率）</w:t>
      </w:r>
      <w:r w:rsidRPr="00800D22">
        <w:rPr>
          <w:sz w:val="24"/>
        </w:rPr>
        <w:t>为</w:t>
      </w:r>
      <w:r w:rsidRPr="00800D22">
        <w:rPr>
          <w:position w:val="-4"/>
        </w:rPr>
        <w:object w:dxaOrig="360" w:dyaOrig="260" w14:anchorId="04B0AEAA">
          <v:shape id="_x0000_i1026" type="#_x0000_t75" style="width:18pt;height:13pt" o:ole="">
            <v:imagedata r:id="rId11" o:title=""/>
          </v:shape>
          <o:OLEObject Type="Embed" ProgID="Equation.DSMT4" ShapeID="_x0000_i1026" DrawAspect="Content" ObjectID="_1822572589" r:id="rId12"/>
        </w:object>
      </w:r>
      <w:r w:rsidRPr="00800D22">
        <w:rPr>
          <w:sz w:val="24"/>
        </w:rPr>
        <w:t>，抵</w:t>
      </w:r>
      <w:r w:rsidRPr="00800D22">
        <w:rPr>
          <w:sz w:val="24"/>
        </w:rPr>
        <w:t>/</w:t>
      </w:r>
      <w:r w:rsidRPr="00800D22">
        <w:rPr>
          <w:sz w:val="24"/>
        </w:rPr>
        <w:t>质押资产价值覆盖率为</w:t>
      </w:r>
      <w:r w:rsidRPr="00800D22">
        <w:rPr>
          <w:position w:val="-6"/>
        </w:rPr>
        <w:object w:dxaOrig="580" w:dyaOrig="279" w14:anchorId="09297299">
          <v:shape id="_x0000_i1027" type="#_x0000_t75" style="width:29pt;height:14pt" o:ole="">
            <v:imagedata r:id="rId13" o:title=""/>
          </v:shape>
          <o:OLEObject Type="Embed" ProgID="Equation.DSMT4" ShapeID="_x0000_i1027" DrawAspect="Content" ObjectID="_1822572590" r:id="rId14"/>
        </w:object>
      </w:r>
      <w:r w:rsidRPr="00800D22">
        <w:rPr>
          <w:sz w:val="24"/>
        </w:rPr>
        <w:t>，抵</w:t>
      </w:r>
      <w:r w:rsidRPr="00800D22">
        <w:rPr>
          <w:sz w:val="24"/>
        </w:rPr>
        <w:t>/</w:t>
      </w:r>
      <w:r w:rsidRPr="00800D22">
        <w:rPr>
          <w:sz w:val="24"/>
        </w:rPr>
        <w:t>质押资产价值为</w:t>
      </w:r>
      <w:r w:rsidRPr="00800D22">
        <w:rPr>
          <w:position w:val="-6"/>
        </w:rPr>
        <w:object w:dxaOrig="820" w:dyaOrig="279" w14:anchorId="161E0BF6">
          <v:shape id="_x0000_i1028" type="#_x0000_t75" style="width:41pt;height:14pt" o:ole="">
            <v:imagedata r:id="rId15" o:title=""/>
          </v:shape>
          <o:OLEObject Type="Embed" ProgID="Equation.DSMT4" ShapeID="_x0000_i1028" DrawAspect="Content" ObjectID="_1822572591" r:id="rId16"/>
        </w:object>
      </w:r>
      <w:r w:rsidRPr="00800D22">
        <w:rPr>
          <w:sz w:val="24"/>
        </w:rPr>
        <w:t>，债券本息为</w:t>
      </w:r>
      <w:r w:rsidRPr="00800D22">
        <w:rPr>
          <w:position w:val="-6"/>
        </w:rPr>
        <w:object w:dxaOrig="980" w:dyaOrig="279" w14:anchorId="19BD8E92">
          <v:shape id="_x0000_i1029" type="#_x0000_t75" style="width:49pt;height:14pt" o:ole="">
            <v:imagedata r:id="rId17" o:title=""/>
          </v:shape>
          <o:OLEObject Type="Embed" ProgID="Equation.DSMT4" ShapeID="_x0000_i1029" DrawAspect="Content" ObjectID="_1822572592" r:id="rId18"/>
        </w:object>
      </w:r>
      <w:r w:rsidRPr="00800D22">
        <w:t>。</w:t>
      </w:r>
      <w:r w:rsidRPr="00800D22">
        <w:rPr>
          <w:sz w:val="24"/>
        </w:rPr>
        <w:t>因此可以得到：</w:t>
      </w:r>
    </w:p>
    <w:p w14:paraId="3D1CC2DD" w14:textId="77777777" w:rsidR="00D7265E" w:rsidRPr="00800D22" w:rsidRDefault="00D7265E" w:rsidP="00D7265E">
      <w:pPr>
        <w:spacing w:line="360" w:lineRule="auto"/>
        <w:ind w:firstLine="420"/>
        <w:jc w:val="right"/>
        <w:rPr>
          <w:sz w:val="24"/>
        </w:rPr>
      </w:pPr>
      <w:r w:rsidRPr="00800D22">
        <w:rPr>
          <w:position w:val="-10"/>
        </w:rPr>
        <w:object w:dxaOrig="2240" w:dyaOrig="320" w14:anchorId="18134558">
          <v:shape id="_x0000_i1030" type="#_x0000_t75" style="width:112pt;height:16pt" o:ole="">
            <v:imagedata r:id="rId19" o:title=""/>
          </v:shape>
          <o:OLEObject Type="Embed" ProgID="Equation.DSMT4" ShapeID="_x0000_i1030" DrawAspect="Content" ObjectID="_1822572593" r:id="rId20"/>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26</w:t>
      </w:r>
      <w:r w:rsidRPr="00800D22">
        <w:rPr>
          <w:sz w:val="24"/>
        </w:rPr>
        <w:t>）</w:t>
      </w:r>
    </w:p>
    <w:p w14:paraId="136C7546" w14:textId="77777777" w:rsidR="00D7265E" w:rsidRPr="00800D22" w:rsidRDefault="00D7265E" w:rsidP="00D7265E">
      <w:pPr>
        <w:spacing w:line="360" w:lineRule="auto"/>
        <w:ind w:firstLineChars="200" w:firstLine="480"/>
        <w:rPr>
          <w:rFonts w:hint="eastAsia"/>
          <w:sz w:val="24"/>
        </w:rPr>
      </w:pPr>
      <w:r w:rsidRPr="00800D22">
        <w:rPr>
          <w:rFonts w:hint="eastAsia"/>
          <w:sz w:val="24"/>
        </w:rPr>
        <w:t>理论上，无担保债券的预期损失率等于债务人每年或每月的违约概率（</w:t>
      </w:r>
      <w:r w:rsidRPr="00800D22">
        <w:rPr>
          <w:position w:val="-4"/>
        </w:rPr>
        <w:object w:dxaOrig="400" w:dyaOrig="260" w14:anchorId="3657ED54">
          <v:shape id="_x0000_i1031" type="#_x0000_t75" style="width:20pt;height:13pt" o:ole="">
            <v:imagedata r:id="rId21" o:title=""/>
          </v:shape>
          <o:OLEObject Type="Embed" ProgID="Equation.DSMT4" ShapeID="_x0000_i1031" DrawAspect="Content" ObjectID="_1822572594" r:id="rId22"/>
        </w:object>
      </w:r>
      <w:r w:rsidRPr="00800D22">
        <w:rPr>
          <w:rFonts w:hint="eastAsia"/>
          <w:sz w:val="24"/>
        </w:rPr>
        <w:t>）乘以违约发生后债务人的违约损失率（</w:t>
      </w:r>
      <w:r w:rsidRPr="00800D22">
        <w:rPr>
          <w:position w:val="-6"/>
        </w:rPr>
        <w:object w:dxaOrig="560" w:dyaOrig="279" w14:anchorId="6638775F">
          <v:shape id="_x0000_i1032" type="#_x0000_t75" style="width:28pt;height:14pt" o:ole="">
            <v:imagedata r:id="rId23" o:title=""/>
          </v:shape>
          <o:OLEObject Type="Embed" ProgID="Equation.DSMT4" ShapeID="_x0000_i1032" DrawAspect="Content" ObjectID="_1822572595" r:id="rId24"/>
        </w:object>
      </w:r>
      <w:r w:rsidRPr="00800D22">
        <w:rPr>
          <w:rFonts w:hint="eastAsia"/>
          <w:sz w:val="24"/>
        </w:rPr>
        <w:t>），然后加总；抵</w:t>
      </w:r>
      <w:r w:rsidRPr="00800D22">
        <w:rPr>
          <w:rFonts w:hint="eastAsia"/>
          <w:sz w:val="24"/>
        </w:rPr>
        <w:t>/</w:t>
      </w:r>
      <w:r w:rsidRPr="00800D22">
        <w:rPr>
          <w:rFonts w:hint="eastAsia"/>
          <w:sz w:val="24"/>
        </w:rPr>
        <w:t>质押债券的预期违约损失率等于无担保情况下债务人每年或每个月的违约概率（</w:t>
      </w:r>
      <w:r w:rsidRPr="00800D22">
        <w:rPr>
          <w:position w:val="-4"/>
        </w:rPr>
        <w:object w:dxaOrig="400" w:dyaOrig="260" w14:anchorId="1F4858C5">
          <v:shape id="_x0000_i1033" type="#_x0000_t75" style="width:20pt;height:13pt" o:ole="">
            <v:imagedata r:id="rId25" o:title=""/>
          </v:shape>
          <o:OLEObject Type="Embed" ProgID="Equation.DSMT4" ShapeID="_x0000_i1033" DrawAspect="Content" ObjectID="_1822572596" r:id="rId26"/>
        </w:object>
      </w:r>
      <w:r w:rsidRPr="00800D22">
        <w:rPr>
          <w:rFonts w:hint="eastAsia"/>
          <w:sz w:val="24"/>
        </w:rPr>
        <w:t>）乘以违约发生后抵</w:t>
      </w:r>
      <w:r w:rsidRPr="00800D22">
        <w:rPr>
          <w:rFonts w:hint="eastAsia"/>
          <w:sz w:val="24"/>
        </w:rPr>
        <w:t>/</w:t>
      </w:r>
      <w:r w:rsidRPr="00800D22">
        <w:rPr>
          <w:rFonts w:hint="eastAsia"/>
          <w:sz w:val="24"/>
        </w:rPr>
        <w:t>质押资产的违约损失率（</w:t>
      </w:r>
      <w:r w:rsidRPr="00800D22">
        <w:rPr>
          <w:position w:val="-6"/>
        </w:rPr>
        <w:object w:dxaOrig="760" w:dyaOrig="279" w14:anchorId="35824E91">
          <v:shape id="_x0000_i1034" type="#_x0000_t75" style="width:38pt;height:14pt" o:ole="">
            <v:imagedata r:id="rId27" o:title=""/>
          </v:shape>
          <o:OLEObject Type="Embed" ProgID="Equation.DSMT4" ShapeID="_x0000_i1034" DrawAspect="Content" ObjectID="_1822572597" r:id="rId28"/>
        </w:object>
      </w:r>
      <w:r w:rsidRPr="00800D22">
        <w:rPr>
          <w:rFonts w:hint="eastAsia"/>
          <w:sz w:val="24"/>
        </w:rPr>
        <w:t>），然后加总。即：</w:t>
      </w:r>
    </w:p>
    <w:p w14:paraId="42DBC1DE" w14:textId="77777777" w:rsidR="00D7265E" w:rsidRPr="00800D22" w:rsidRDefault="00D7265E" w:rsidP="00D7265E">
      <w:pPr>
        <w:spacing w:line="360" w:lineRule="auto"/>
        <w:ind w:leftChars="200" w:left="420" w:right="105"/>
        <w:rPr>
          <w:rFonts w:hint="eastAsia"/>
          <w:sz w:val="24"/>
        </w:rPr>
      </w:pPr>
      <w:r w:rsidRPr="00800D22">
        <w:rPr>
          <w:position w:val="-28"/>
        </w:rPr>
        <w:object w:dxaOrig="2079" w:dyaOrig="680" w14:anchorId="630CD1B6">
          <v:shape id="_x0000_i1035" type="#_x0000_t75" style="width:104pt;height:34pt" o:ole="">
            <v:imagedata r:id="rId29" o:title=""/>
          </v:shape>
          <o:OLEObject Type="Embed" ProgID="Equation.DSMT4" ShapeID="_x0000_i1035" DrawAspect="Content" ObjectID="_1822572598" r:id="rId30"/>
        </w:object>
      </w:r>
      <w:r w:rsidRPr="00800D22">
        <w:rPr>
          <w:rFonts w:hint="eastAsia"/>
        </w:rPr>
        <w:t xml:space="preserve">                                            </w:t>
      </w:r>
      <w:r w:rsidRPr="00800D22">
        <w:rPr>
          <w:rFonts w:hint="eastAsia"/>
          <w:sz w:val="24"/>
        </w:rPr>
        <w:t xml:space="preserve">   </w:t>
      </w:r>
      <w:r w:rsidRPr="00800D22">
        <w:rPr>
          <w:rFonts w:hint="eastAsia"/>
          <w:sz w:val="24"/>
        </w:rPr>
        <w:t>（</w:t>
      </w:r>
      <w:r w:rsidRPr="00800D22">
        <w:rPr>
          <w:rFonts w:hint="eastAsia"/>
          <w:sz w:val="24"/>
        </w:rPr>
        <w:t>6.27</w:t>
      </w:r>
      <w:r w:rsidRPr="00800D22">
        <w:rPr>
          <w:rFonts w:hint="eastAsia"/>
          <w:sz w:val="24"/>
        </w:rPr>
        <w:t>）</w:t>
      </w:r>
      <w:r w:rsidRPr="00800D22">
        <w:rPr>
          <w:position w:val="-28"/>
        </w:rPr>
        <w:object w:dxaOrig="2460" w:dyaOrig="680" w14:anchorId="7DD6266E">
          <v:shape id="_x0000_i1036" type="#_x0000_t75" style="width:123pt;height:34pt" o:ole="">
            <v:imagedata r:id="rId31" o:title=""/>
          </v:shape>
          <o:OLEObject Type="Embed" ProgID="Equation.DSMT4" ShapeID="_x0000_i1036" DrawAspect="Content" ObjectID="_1822572599" r:id="rId32"/>
        </w:object>
      </w:r>
      <w:r w:rsidRPr="00800D22">
        <w:rPr>
          <w:rFonts w:hint="eastAsia"/>
        </w:rPr>
        <w:t xml:space="preserve">                                        </w:t>
      </w:r>
      <w:r w:rsidRPr="00800D22">
        <w:rPr>
          <w:rFonts w:hint="eastAsia"/>
          <w:sz w:val="24"/>
        </w:rPr>
        <w:t xml:space="preserve">   </w:t>
      </w:r>
      <w:r w:rsidRPr="00800D22">
        <w:rPr>
          <w:rFonts w:hint="eastAsia"/>
          <w:sz w:val="24"/>
        </w:rPr>
        <w:t>（</w:t>
      </w:r>
      <w:r w:rsidRPr="00800D22">
        <w:rPr>
          <w:rFonts w:hint="eastAsia"/>
          <w:sz w:val="24"/>
        </w:rPr>
        <w:t>6.28</w:t>
      </w:r>
      <w:r w:rsidRPr="00800D22">
        <w:rPr>
          <w:rFonts w:hint="eastAsia"/>
          <w:sz w:val="24"/>
        </w:rPr>
        <w:t>）</w:t>
      </w:r>
    </w:p>
    <w:p w14:paraId="03A92769" w14:textId="77777777" w:rsidR="00D7265E" w:rsidRPr="00800D22" w:rsidRDefault="00D7265E" w:rsidP="00D7265E">
      <w:pPr>
        <w:spacing w:line="360" w:lineRule="auto"/>
        <w:ind w:firstLineChars="200" w:firstLine="480"/>
        <w:rPr>
          <w:sz w:val="24"/>
        </w:rPr>
      </w:pPr>
      <w:r w:rsidRPr="00800D22">
        <w:rPr>
          <w:sz w:val="24"/>
        </w:rPr>
        <w:t>因此，公式</w:t>
      </w:r>
      <w:r w:rsidRPr="00800D22">
        <w:rPr>
          <w:rFonts w:hint="eastAsia"/>
          <w:sz w:val="24"/>
        </w:rPr>
        <w:t>（</w:t>
      </w:r>
      <w:r w:rsidRPr="00800D22">
        <w:rPr>
          <w:rFonts w:hint="eastAsia"/>
          <w:sz w:val="24"/>
        </w:rPr>
        <w:t>6</w:t>
      </w:r>
      <w:r w:rsidRPr="00800D22">
        <w:rPr>
          <w:sz w:val="24"/>
        </w:rPr>
        <w:t>.</w:t>
      </w:r>
      <w:r w:rsidRPr="00800D22">
        <w:rPr>
          <w:rFonts w:hint="eastAsia"/>
          <w:sz w:val="24"/>
        </w:rPr>
        <w:t>26</w:t>
      </w:r>
      <w:r w:rsidRPr="00800D22">
        <w:rPr>
          <w:rFonts w:hint="eastAsia"/>
          <w:sz w:val="24"/>
        </w:rPr>
        <w:t>）</w:t>
      </w:r>
      <w:r w:rsidRPr="00800D22">
        <w:rPr>
          <w:sz w:val="24"/>
        </w:rPr>
        <w:t>可以转化为：</w:t>
      </w:r>
    </w:p>
    <w:p w14:paraId="0B599EBF" w14:textId="77777777" w:rsidR="00D7265E" w:rsidRPr="00800D22" w:rsidRDefault="00D7265E" w:rsidP="00D7265E">
      <w:pPr>
        <w:spacing w:line="360" w:lineRule="auto"/>
        <w:ind w:firstLine="420"/>
        <w:jc w:val="right"/>
        <w:rPr>
          <w:sz w:val="24"/>
        </w:rPr>
      </w:pPr>
      <w:r w:rsidRPr="00800D22">
        <w:rPr>
          <w:position w:val="-28"/>
        </w:rPr>
        <w:object w:dxaOrig="5420" w:dyaOrig="680" w14:anchorId="1B8D38B5">
          <v:shape id="_x0000_i1037" type="#_x0000_t75" style="width:271pt;height:34pt" o:ole="">
            <v:imagedata r:id="rId33" o:title=""/>
          </v:shape>
          <o:OLEObject Type="Embed" ProgID="Equation.DSMT4" ShapeID="_x0000_i1037" DrawAspect="Content" ObjectID="_1822572600" r:id="rId34"/>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29</w:t>
      </w:r>
      <w:r w:rsidRPr="00800D22">
        <w:rPr>
          <w:sz w:val="24"/>
        </w:rPr>
        <w:t>）</w:t>
      </w:r>
    </w:p>
    <w:p w14:paraId="082BB053" w14:textId="77777777" w:rsidR="00D7265E" w:rsidRPr="00800D22" w:rsidRDefault="00D7265E" w:rsidP="00D7265E">
      <w:pPr>
        <w:spacing w:line="440" w:lineRule="exact"/>
        <w:ind w:firstLineChars="200" w:firstLine="480"/>
        <w:rPr>
          <w:sz w:val="24"/>
        </w:rPr>
      </w:pPr>
      <w:r w:rsidRPr="00800D22">
        <w:rPr>
          <w:sz w:val="24"/>
        </w:rPr>
        <w:t>确定了到期日抵</w:t>
      </w:r>
      <w:r w:rsidRPr="00800D22">
        <w:rPr>
          <w:sz w:val="24"/>
        </w:rPr>
        <w:t>/</w:t>
      </w:r>
      <w:r w:rsidRPr="00800D22">
        <w:rPr>
          <w:sz w:val="24"/>
        </w:rPr>
        <w:t>质押资产价值覆盖率之后，可得到到期日抵</w:t>
      </w:r>
      <w:r w:rsidRPr="00800D22">
        <w:rPr>
          <w:sz w:val="24"/>
        </w:rPr>
        <w:t>/</w:t>
      </w:r>
      <w:r w:rsidRPr="00800D22">
        <w:rPr>
          <w:sz w:val="24"/>
        </w:rPr>
        <w:t>质押资产价值</w:t>
      </w:r>
      <w:r w:rsidRPr="00800D22">
        <w:rPr>
          <w:rFonts w:hint="eastAsia"/>
          <w:sz w:val="24"/>
        </w:rPr>
        <w:t>：</w:t>
      </w:r>
      <w:r w:rsidRPr="00800D22">
        <w:rPr>
          <w:sz w:val="24"/>
        </w:rPr>
        <w:t xml:space="preserve"> </w:t>
      </w:r>
    </w:p>
    <w:p w14:paraId="0F1816B4" w14:textId="77777777" w:rsidR="00D7265E" w:rsidRPr="00800D22" w:rsidRDefault="00D7265E" w:rsidP="00D7265E">
      <w:pPr>
        <w:tabs>
          <w:tab w:val="left" w:pos="7200"/>
        </w:tabs>
        <w:wordWrap w:val="0"/>
        <w:spacing w:line="360" w:lineRule="auto"/>
        <w:ind w:firstLine="420"/>
        <w:jc w:val="right"/>
        <w:rPr>
          <w:sz w:val="24"/>
        </w:rPr>
      </w:pPr>
      <w:r w:rsidRPr="00800D22">
        <w:rPr>
          <w:position w:val="-30"/>
        </w:rPr>
        <w:object w:dxaOrig="7380" w:dyaOrig="720" w14:anchorId="13C53D37">
          <v:shape id="_x0000_i1038" type="#_x0000_t75" style="width:333pt;height:36pt" o:ole="">
            <v:imagedata r:id="rId35" o:title=""/>
          </v:shape>
          <o:OLEObject Type="Embed" ProgID="Equation.DSMT4" ShapeID="_x0000_i1038" DrawAspect="Content" ObjectID="_1822572601" r:id="rId36"/>
        </w:object>
      </w:r>
      <w:r w:rsidRPr="00800D22">
        <w:rPr>
          <w:rFonts w:hint="eastAsia"/>
        </w:rPr>
        <w:t xml:space="preserve">    </w:t>
      </w:r>
      <w:r w:rsidRPr="00800D22">
        <w:rPr>
          <w:sz w:val="24"/>
        </w:rPr>
        <w:t>（</w:t>
      </w:r>
      <w:r w:rsidRPr="00800D22">
        <w:rPr>
          <w:rFonts w:hint="eastAsia"/>
          <w:sz w:val="24"/>
        </w:rPr>
        <w:t>6</w:t>
      </w:r>
      <w:r w:rsidRPr="00800D22">
        <w:rPr>
          <w:sz w:val="24"/>
        </w:rPr>
        <w:t>.</w:t>
      </w:r>
      <w:r w:rsidRPr="00800D22">
        <w:rPr>
          <w:rFonts w:hint="eastAsia"/>
          <w:sz w:val="24"/>
        </w:rPr>
        <w:t>3</w:t>
      </w:r>
      <w:r w:rsidRPr="00800D22">
        <w:rPr>
          <w:rFonts w:hint="eastAsia"/>
          <w:sz w:val="24"/>
        </w:rPr>
        <w:lastRenderedPageBreak/>
        <w:t>0</w:t>
      </w:r>
      <w:r w:rsidRPr="00800D22">
        <w:rPr>
          <w:sz w:val="24"/>
        </w:rPr>
        <w:t>）</w:t>
      </w:r>
    </w:p>
    <w:p w14:paraId="2A2BB3DC" w14:textId="77777777" w:rsidR="00D7265E" w:rsidRPr="00800D22" w:rsidRDefault="00D7265E" w:rsidP="00D7265E">
      <w:pPr>
        <w:spacing w:line="440" w:lineRule="exact"/>
        <w:ind w:firstLineChars="200" w:firstLine="480"/>
        <w:rPr>
          <w:rFonts w:hint="eastAsia"/>
          <w:sz w:val="24"/>
        </w:rPr>
      </w:pPr>
      <w:r w:rsidRPr="00800D22">
        <w:rPr>
          <w:rFonts w:hint="eastAsia"/>
          <w:sz w:val="24"/>
        </w:rPr>
        <w:t>通过债务人违约概率、债务人违约损失率</w:t>
      </w:r>
      <w:proofErr w:type="gramStart"/>
      <w:r w:rsidRPr="00800D22">
        <w:rPr>
          <w:rFonts w:hint="eastAsia"/>
          <w:sz w:val="24"/>
        </w:rPr>
        <w:t>及抵</w:t>
      </w:r>
      <w:r w:rsidRPr="00800D22">
        <w:rPr>
          <w:rFonts w:hint="eastAsia"/>
          <w:sz w:val="24"/>
        </w:rPr>
        <w:t>/</w:t>
      </w:r>
      <w:proofErr w:type="gramEnd"/>
      <w:r w:rsidRPr="00800D22">
        <w:rPr>
          <w:rFonts w:hint="eastAsia"/>
          <w:sz w:val="24"/>
        </w:rPr>
        <w:t>质押债券损失率确定预期损失之后，便可以计算出提升信用等级所需的到期日抵</w:t>
      </w:r>
      <w:r w:rsidRPr="00800D22">
        <w:rPr>
          <w:rFonts w:hint="eastAsia"/>
          <w:sz w:val="24"/>
        </w:rPr>
        <w:t>/</w:t>
      </w:r>
      <w:r w:rsidRPr="00800D22">
        <w:rPr>
          <w:rFonts w:hint="eastAsia"/>
          <w:sz w:val="24"/>
        </w:rPr>
        <w:t>质押资产价值。不同信用等级的债务人违约概率可以直接通过信用评级机构的历史统计数据获得，而违约损失率数据较为缺失。因此，关键是确定债务人违约损失率和抵</w:t>
      </w:r>
      <w:r w:rsidRPr="00800D22">
        <w:rPr>
          <w:rFonts w:hint="eastAsia"/>
          <w:sz w:val="24"/>
        </w:rPr>
        <w:t>/</w:t>
      </w:r>
      <w:r w:rsidRPr="00800D22">
        <w:rPr>
          <w:rFonts w:hint="eastAsia"/>
          <w:sz w:val="24"/>
        </w:rPr>
        <w:t>质押资产损失率。由于违约损失率</w:t>
      </w:r>
      <w:r w:rsidRPr="00800D22">
        <w:rPr>
          <w:rFonts w:hint="eastAsia"/>
          <w:sz w:val="24"/>
        </w:rPr>
        <w:t>=1-</w:t>
      </w:r>
      <w:r w:rsidRPr="00800D22">
        <w:rPr>
          <w:rFonts w:hint="eastAsia"/>
          <w:sz w:val="24"/>
        </w:rPr>
        <w:t>回收率，因此，只需求解出回收率即可。</w:t>
      </w:r>
    </w:p>
    <w:p w14:paraId="699FC8CD" w14:textId="77777777" w:rsidR="00D7265E" w:rsidRPr="00800D22" w:rsidRDefault="00D7265E" w:rsidP="00D7265E">
      <w:pPr>
        <w:spacing w:line="440" w:lineRule="exact"/>
        <w:ind w:firstLineChars="200" w:firstLine="482"/>
        <w:rPr>
          <w:rFonts w:hint="eastAsia"/>
          <w:b/>
          <w:sz w:val="24"/>
        </w:rPr>
      </w:pPr>
      <w:r w:rsidRPr="00800D22">
        <w:rPr>
          <w:rFonts w:hint="eastAsia"/>
          <w:b/>
          <w:sz w:val="24"/>
        </w:rPr>
        <w:t>（</w:t>
      </w:r>
      <w:r w:rsidRPr="00800D22">
        <w:rPr>
          <w:rFonts w:hint="eastAsia"/>
          <w:b/>
          <w:sz w:val="24"/>
        </w:rPr>
        <w:t>2</w:t>
      </w:r>
      <w:r w:rsidRPr="00800D22">
        <w:rPr>
          <w:rFonts w:hint="eastAsia"/>
          <w:b/>
          <w:sz w:val="24"/>
        </w:rPr>
        <w:t>）基于单因素模型的回收率估计</w:t>
      </w:r>
      <w:r w:rsidRPr="00800D22">
        <w:rPr>
          <w:rStyle w:val="af4"/>
          <w:b/>
          <w:sz w:val="24"/>
        </w:rPr>
        <w:footnoteReference w:id="2"/>
      </w:r>
    </w:p>
    <w:p w14:paraId="31E73E0F" w14:textId="77777777" w:rsidR="00D7265E" w:rsidRPr="00800D22" w:rsidRDefault="00D7265E" w:rsidP="00D7265E">
      <w:pPr>
        <w:spacing w:line="440" w:lineRule="exact"/>
        <w:ind w:firstLineChars="200" w:firstLine="480"/>
        <w:rPr>
          <w:rFonts w:hint="eastAsia"/>
          <w:sz w:val="24"/>
        </w:rPr>
      </w:pPr>
      <w:r w:rsidRPr="00800D22">
        <w:rPr>
          <w:rFonts w:hint="eastAsia"/>
          <w:sz w:val="24"/>
        </w:rPr>
        <w:t>单因素回收率估计模型是由</w:t>
      </w:r>
      <w:r w:rsidRPr="00800D22">
        <w:rPr>
          <w:rFonts w:hint="eastAsia"/>
          <w:sz w:val="24"/>
        </w:rPr>
        <w:t>Frye</w:t>
      </w:r>
      <w:r w:rsidRPr="00800D22">
        <w:rPr>
          <w:rFonts w:hint="eastAsia"/>
          <w:sz w:val="24"/>
        </w:rPr>
        <w:t>（</w:t>
      </w:r>
      <w:r w:rsidRPr="00800D22">
        <w:rPr>
          <w:rFonts w:hint="eastAsia"/>
          <w:sz w:val="24"/>
        </w:rPr>
        <w:t>2000</w:t>
      </w:r>
      <w:r w:rsidRPr="00800D22">
        <w:rPr>
          <w:rFonts w:hint="eastAsia"/>
          <w:sz w:val="24"/>
        </w:rPr>
        <w:t>）根据</w:t>
      </w:r>
      <w:r w:rsidRPr="00800D22">
        <w:rPr>
          <w:rFonts w:hint="eastAsia"/>
          <w:sz w:val="24"/>
        </w:rPr>
        <w:t>Cordy</w:t>
      </w:r>
      <w:r w:rsidRPr="00800D22">
        <w:rPr>
          <w:rFonts w:hint="eastAsia"/>
          <w:sz w:val="24"/>
        </w:rPr>
        <w:t>（</w:t>
      </w:r>
      <w:r w:rsidRPr="00800D22">
        <w:rPr>
          <w:rFonts w:hint="eastAsia"/>
          <w:sz w:val="24"/>
        </w:rPr>
        <w:t>2000</w:t>
      </w:r>
      <w:r w:rsidRPr="00800D22">
        <w:rPr>
          <w:rFonts w:hint="eastAsia"/>
          <w:sz w:val="24"/>
        </w:rPr>
        <w:t>）模型建立的由单个系统性风险因素驱动的回收率模型。</w:t>
      </w:r>
    </w:p>
    <w:p w14:paraId="0F449A45" w14:textId="77777777" w:rsidR="00D7265E" w:rsidRPr="00800D22" w:rsidRDefault="00D7265E" w:rsidP="00D7265E">
      <w:pPr>
        <w:spacing w:afterLines="50" w:after="156" w:line="440" w:lineRule="exact"/>
        <w:ind w:firstLineChars="200" w:firstLine="480"/>
        <w:rPr>
          <w:rFonts w:hint="eastAsia"/>
          <w:sz w:val="24"/>
        </w:rPr>
      </w:pPr>
      <w:r w:rsidRPr="00800D22">
        <w:rPr>
          <w:rFonts w:hint="eastAsia"/>
          <w:sz w:val="24"/>
        </w:rPr>
        <w:t>Frye</w:t>
      </w:r>
      <w:r w:rsidRPr="00800D22">
        <w:rPr>
          <w:rFonts w:hint="eastAsia"/>
          <w:sz w:val="24"/>
        </w:rPr>
        <w:t>模型假设系统风险因子</w:t>
      </w:r>
      <w:r w:rsidRPr="00800D22">
        <w:rPr>
          <w:position w:val="-4"/>
        </w:rPr>
        <w:object w:dxaOrig="279" w:dyaOrig="260" w14:anchorId="10CA2912">
          <v:shape id="_x0000_i1039" type="#_x0000_t75" style="width:14pt;height:13pt" o:ole="">
            <v:imagedata r:id="rId37" o:title=""/>
          </v:shape>
          <o:OLEObject Type="Embed" ProgID="Equation.DSMT4" ShapeID="_x0000_i1039" DrawAspect="Content" ObjectID="_1822572602" r:id="rId38"/>
        </w:object>
      </w:r>
      <w:r w:rsidRPr="00800D22">
        <w:rPr>
          <w:rFonts w:hint="eastAsia"/>
          <w:sz w:val="24"/>
        </w:rPr>
        <w:t>是影响公司是否违约及其回收金额的主要因素。从公司</w:t>
      </w:r>
      <w:r w:rsidRPr="00800D22">
        <w:rPr>
          <w:position w:val="-10"/>
        </w:rPr>
        <w:object w:dxaOrig="200" w:dyaOrig="300" w14:anchorId="369652F5">
          <v:shape id="_x0000_i1040" type="#_x0000_t75" style="width:10pt;height:15pt" o:ole="">
            <v:imagedata r:id="rId39" o:title=""/>
          </v:shape>
          <o:OLEObject Type="Embed" ProgID="Equation.DSMT4" ShapeID="_x0000_i1040" DrawAspect="Content" ObjectID="_1822572603" r:id="rId40"/>
        </w:object>
      </w:r>
      <w:r w:rsidRPr="00800D22">
        <w:rPr>
          <w:rFonts w:hint="eastAsia"/>
          <w:sz w:val="24"/>
        </w:rPr>
        <w:t>的角度看，有两个因素</w:t>
      </w:r>
      <w:r w:rsidRPr="00800D22">
        <w:rPr>
          <w:position w:val="-4"/>
        </w:rPr>
        <w:object w:dxaOrig="279" w:dyaOrig="260" w14:anchorId="3FF95C6B">
          <v:shape id="_x0000_i1041" type="#_x0000_t75" style="width:14pt;height:13pt" o:ole="">
            <v:imagedata r:id="rId37" o:title=""/>
          </v:shape>
          <o:OLEObject Type="Embed" ProgID="Equation.DSMT4" ShapeID="_x0000_i1041" DrawAspect="Content" ObjectID="_1822572604" r:id="rId41"/>
        </w:object>
      </w:r>
      <w:r w:rsidRPr="00800D22">
        <w:rPr>
          <w:rFonts w:hint="eastAsia"/>
          <w:sz w:val="24"/>
        </w:rPr>
        <w:t>和</w:t>
      </w:r>
      <w:r w:rsidRPr="00800D22">
        <w:rPr>
          <w:position w:val="-14"/>
        </w:rPr>
        <w:object w:dxaOrig="260" w:dyaOrig="380" w14:anchorId="5C5B3F6C">
          <v:shape id="_x0000_i1042" type="#_x0000_t75" style="width:13pt;height:19pt" o:ole="">
            <v:imagedata r:id="rId42" o:title=""/>
          </v:shape>
          <o:OLEObject Type="Embed" ProgID="Equation.DSMT4" ShapeID="_x0000_i1042" DrawAspect="Content" ObjectID="_1822572605" r:id="rId43"/>
        </w:object>
      </w:r>
      <w:r w:rsidRPr="00800D22">
        <w:rPr>
          <w:rFonts w:hint="eastAsia"/>
          <w:sz w:val="24"/>
        </w:rPr>
        <w:t>影响公司，</w:t>
      </w:r>
      <w:r w:rsidRPr="00800D22">
        <w:rPr>
          <w:position w:val="-4"/>
        </w:rPr>
        <w:object w:dxaOrig="279" w:dyaOrig="260" w14:anchorId="339D082C">
          <v:shape id="_x0000_i1043" type="#_x0000_t75" style="width:14pt;height:13pt" o:ole="">
            <v:imagedata r:id="rId37" o:title=""/>
          </v:shape>
          <o:OLEObject Type="Embed" ProgID="Equation.DSMT4" ShapeID="_x0000_i1043" DrawAspect="Content" ObjectID="_1822572606" r:id="rId44"/>
        </w:object>
      </w:r>
      <w:r w:rsidRPr="00800D22">
        <w:rPr>
          <w:rFonts w:hint="eastAsia"/>
          <w:sz w:val="24"/>
        </w:rPr>
        <w:t>对所有公司具有影响，</w:t>
      </w:r>
      <w:r w:rsidRPr="00800D22">
        <w:rPr>
          <w:position w:val="-14"/>
        </w:rPr>
        <w:object w:dxaOrig="260" w:dyaOrig="380" w14:anchorId="2A4F5614">
          <v:shape id="_x0000_i1044" type="#_x0000_t75" style="width:13pt;height:19pt" o:ole="">
            <v:imagedata r:id="rId42" o:title=""/>
          </v:shape>
          <o:OLEObject Type="Embed" ProgID="Equation.DSMT4" ShapeID="_x0000_i1044" DrawAspect="Content" ObjectID="_1822572607" r:id="rId45"/>
        </w:object>
      </w:r>
      <w:r w:rsidRPr="00800D22">
        <w:rPr>
          <w:rFonts w:hint="eastAsia"/>
          <w:sz w:val="24"/>
        </w:rPr>
        <w:t>只影响公司</w:t>
      </w:r>
      <w:r w:rsidRPr="00800D22">
        <w:rPr>
          <w:position w:val="-10"/>
        </w:rPr>
        <w:object w:dxaOrig="200" w:dyaOrig="300" w14:anchorId="40A60BCA">
          <v:shape id="_x0000_i1045" type="#_x0000_t75" style="width:10pt;height:15pt" o:ole="">
            <v:imagedata r:id="rId39" o:title=""/>
          </v:shape>
          <o:OLEObject Type="Embed" ProgID="Equation.DSMT4" ShapeID="_x0000_i1045" DrawAspect="Content" ObjectID="_1822572608" r:id="rId46"/>
        </w:object>
      </w:r>
      <w:r w:rsidRPr="00800D22">
        <w:rPr>
          <w:rFonts w:hint="eastAsia"/>
          <w:sz w:val="24"/>
        </w:rPr>
        <w:t>，这两个因素共同决定公司</w:t>
      </w:r>
      <w:r w:rsidRPr="00800D22">
        <w:rPr>
          <w:position w:val="-10"/>
        </w:rPr>
        <w:object w:dxaOrig="200" w:dyaOrig="300" w14:anchorId="3D1F2C02">
          <v:shape id="_x0000_i1046" type="#_x0000_t75" style="width:10pt;height:15pt" o:ole="">
            <v:imagedata r:id="rId39" o:title=""/>
          </v:shape>
          <o:OLEObject Type="Embed" ProgID="Equation.DSMT4" ShapeID="_x0000_i1046" DrawAspect="Content" ObjectID="_1822572609" r:id="rId47"/>
        </w:object>
      </w:r>
      <w:r w:rsidRPr="00800D22">
        <w:rPr>
          <w:rFonts w:hint="eastAsia"/>
          <w:sz w:val="24"/>
        </w:rPr>
        <w:t>的资产收益率</w:t>
      </w:r>
      <w:r w:rsidRPr="00800D22">
        <w:rPr>
          <w:position w:val="-14"/>
        </w:rPr>
        <w:object w:dxaOrig="220" w:dyaOrig="380" w14:anchorId="6FE82A95">
          <v:shape id="_x0000_i1047" type="#_x0000_t75" style="width:11pt;height:19pt" o:ole="">
            <v:imagedata r:id="rId48" o:title=""/>
          </v:shape>
          <o:OLEObject Type="Embed" ProgID="Equation.DSMT4" ShapeID="_x0000_i1047" DrawAspect="Content" ObjectID="_1822572610" r:id="rId49"/>
        </w:object>
      </w:r>
      <w:r w:rsidRPr="00800D22">
        <w:rPr>
          <w:rFonts w:hint="eastAsia"/>
          <w:sz w:val="24"/>
        </w:rPr>
        <w:t>：</w:t>
      </w:r>
    </w:p>
    <w:p w14:paraId="55DF1438" w14:textId="77777777" w:rsidR="00D7265E" w:rsidRPr="00800D22" w:rsidRDefault="00D7265E" w:rsidP="00D7265E">
      <w:pPr>
        <w:spacing w:line="360" w:lineRule="auto"/>
        <w:ind w:firstLineChars="200" w:firstLine="420"/>
        <w:rPr>
          <w:rFonts w:hint="eastAsia"/>
          <w:sz w:val="24"/>
        </w:rPr>
      </w:pPr>
      <w:r w:rsidRPr="00800D22">
        <w:rPr>
          <w:position w:val="-14"/>
        </w:rPr>
        <w:object w:dxaOrig="1960" w:dyaOrig="460" w14:anchorId="38B67883">
          <v:shape id="_x0000_i1048" type="#_x0000_t75" style="width:114pt;height:27pt" o:ole="">
            <v:imagedata r:id="rId50" o:title=""/>
          </v:shape>
          <o:OLEObject Type="Embed" ProgID="Equation.DSMT4" ShapeID="_x0000_i1048" DrawAspect="Content" ObjectID="_1822572611" r:id="rId51"/>
        </w:object>
      </w:r>
      <w:r w:rsidRPr="00800D22">
        <w:rPr>
          <w:rFonts w:hint="eastAsia"/>
        </w:rPr>
        <w:t xml:space="preserve">                                            </w:t>
      </w:r>
      <w:r w:rsidRPr="00800D22">
        <w:rPr>
          <w:sz w:val="24"/>
        </w:rPr>
        <w:t>（</w:t>
      </w:r>
      <w:r w:rsidRPr="00800D22">
        <w:rPr>
          <w:rFonts w:hint="eastAsia"/>
          <w:sz w:val="24"/>
        </w:rPr>
        <w:t>6</w:t>
      </w:r>
      <w:r w:rsidRPr="00800D22">
        <w:rPr>
          <w:sz w:val="24"/>
        </w:rPr>
        <w:t>.</w:t>
      </w:r>
      <w:r w:rsidRPr="00800D22">
        <w:rPr>
          <w:rFonts w:hint="eastAsia"/>
          <w:sz w:val="24"/>
        </w:rPr>
        <w:t>31</w:t>
      </w:r>
      <w:r w:rsidRPr="00800D22">
        <w:rPr>
          <w:sz w:val="24"/>
        </w:rPr>
        <w:t>）</w:t>
      </w:r>
    </w:p>
    <w:p w14:paraId="6A17894C" w14:textId="77777777" w:rsidR="00D7265E" w:rsidRPr="00800D22" w:rsidRDefault="00D7265E" w:rsidP="00D7265E">
      <w:pPr>
        <w:spacing w:beforeLines="50" w:before="156" w:line="440" w:lineRule="exact"/>
        <w:ind w:firstLineChars="200" w:firstLine="480"/>
        <w:rPr>
          <w:rFonts w:hint="eastAsia"/>
          <w:sz w:val="24"/>
        </w:rPr>
      </w:pPr>
      <w:r w:rsidRPr="00800D22">
        <w:rPr>
          <w:rFonts w:hint="eastAsia"/>
          <w:sz w:val="24"/>
        </w:rPr>
        <w:t>假设</w:t>
      </w:r>
      <w:r w:rsidRPr="00800D22">
        <w:rPr>
          <w:position w:val="-4"/>
          <w:sz w:val="24"/>
        </w:rPr>
        <w:object w:dxaOrig="279" w:dyaOrig="260" w14:anchorId="4B3A0019">
          <v:shape id="_x0000_i1049" type="#_x0000_t75" style="width:14pt;height:13pt" o:ole="">
            <v:imagedata r:id="rId37" o:title=""/>
          </v:shape>
          <o:OLEObject Type="Embed" ProgID="Equation.DSMT4" ShapeID="_x0000_i1049" DrawAspect="Content" ObjectID="_1822572612" r:id="rId52"/>
        </w:object>
      </w:r>
      <w:r w:rsidRPr="00800D22">
        <w:rPr>
          <w:rFonts w:hint="eastAsia"/>
          <w:sz w:val="24"/>
        </w:rPr>
        <w:t>和</w:t>
      </w:r>
      <w:r w:rsidRPr="00800D22">
        <w:rPr>
          <w:position w:val="-14"/>
          <w:sz w:val="24"/>
        </w:rPr>
        <w:object w:dxaOrig="260" w:dyaOrig="380" w14:anchorId="0B229601">
          <v:shape id="_x0000_i1050" type="#_x0000_t75" style="width:13pt;height:19pt" o:ole="">
            <v:imagedata r:id="rId42" o:title=""/>
          </v:shape>
          <o:OLEObject Type="Embed" ProgID="Equation.DSMT4" ShapeID="_x0000_i1050" DrawAspect="Content" ObjectID="_1822572613" r:id="rId53"/>
        </w:object>
      </w:r>
      <w:r w:rsidRPr="00800D22">
        <w:rPr>
          <w:rFonts w:hint="eastAsia"/>
          <w:sz w:val="24"/>
        </w:rPr>
        <w:t>服从互相独立的标准正态分布，从而</w:t>
      </w:r>
      <w:r w:rsidRPr="00800D22">
        <w:rPr>
          <w:position w:val="-14"/>
          <w:sz w:val="24"/>
        </w:rPr>
        <w:object w:dxaOrig="220" w:dyaOrig="380" w14:anchorId="48E14C73">
          <v:shape id="_x0000_i1051" type="#_x0000_t75" style="width:11pt;height:19pt" o:ole="">
            <v:imagedata r:id="rId48" o:title=""/>
          </v:shape>
          <o:OLEObject Type="Embed" ProgID="Equation.DSMT4" ShapeID="_x0000_i1051" DrawAspect="Content" ObjectID="_1822572614" r:id="rId54"/>
        </w:object>
      </w:r>
      <w:r w:rsidRPr="00800D22">
        <w:rPr>
          <w:rFonts w:hint="eastAsia"/>
          <w:sz w:val="24"/>
        </w:rPr>
        <w:t>也服从标准正态分布。</w:t>
      </w:r>
    </w:p>
    <w:p w14:paraId="23FB2A76" w14:textId="77777777" w:rsidR="00D7265E" w:rsidRPr="00800D22" w:rsidRDefault="00D7265E" w:rsidP="00D7265E">
      <w:pPr>
        <w:spacing w:line="440" w:lineRule="exact"/>
        <w:ind w:firstLineChars="200" w:firstLine="480"/>
        <w:rPr>
          <w:rFonts w:hint="eastAsia"/>
          <w:sz w:val="24"/>
        </w:rPr>
      </w:pPr>
      <w:r w:rsidRPr="00800D22">
        <w:rPr>
          <w:rFonts w:hint="eastAsia"/>
          <w:sz w:val="24"/>
        </w:rPr>
        <w:t>在模型中，当公司的资产价值低于某一值时公司则发生违约，令</w:t>
      </w:r>
      <w:r w:rsidRPr="00800D22">
        <w:rPr>
          <w:position w:val="-14"/>
          <w:sz w:val="24"/>
        </w:rPr>
        <w:object w:dxaOrig="320" w:dyaOrig="380" w14:anchorId="063EB870">
          <v:shape id="_x0000_i1052" type="#_x0000_t75" style="width:16pt;height:19pt" o:ole="">
            <v:imagedata r:id="rId55" o:title=""/>
          </v:shape>
          <o:OLEObject Type="Embed" ProgID="Equation.DSMT4" ShapeID="_x0000_i1052" DrawAspect="Content" ObjectID="_1822572615" r:id="rId56"/>
        </w:object>
      </w:r>
      <w:r w:rsidRPr="00800D22">
        <w:rPr>
          <w:rFonts w:hint="eastAsia"/>
          <w:sz w:val="24"/>
        </w:rPr>
        <w:t>表示公司发生违约的事件：</w:t>
      </w:r>
    </w:p>
    <w:p w14:paraId="7598C263" w14:textId="77777777" w:rsidR="00D7265E" w:rsidRPr="00800D22" w:rsidRDefault="00D7265E" w:rsidP="00D7265E">
      <w:pPr>
        <w:spacing w:line="440" w:lineRule="exact"/>
        <w:ind w:firstLineChars="200" w:firstLine="480"/>
        <w:rPr>
          <w:rFonts w:hint="eastAsia"/>
          <w:sz w:val="24"/>
        </w:rPr>
      </w:pPr>
      <w:r w:rsidRPr="00800D22">
        <w:rPr>
          <w:rFonts w:hint="eastAsia"/>
          <w:sz w:val="24"/>
        </w:rPr>
        <w:t>若</w:t>
      </w:r>
      <w:r w:rsidRPr="00800D22">
        <w:rPr>
          <w:position w:val="-14"/>
          <w:sz w:val="24"/>
        </w:rPr>
        <w:object w:dxaOrig="1440" w:dyaOrig="400" w14:anchorId="2F36604E">
          <v:shape id="_x0000_i1053" type="#_x0000_t75" style="width:1in;height:20pt" o:ole="">
            <v:imagedata r:id="rId57" o:title=""/>
          </v:shape>
          <o:OLEObject Type="Embed" ProgID="Equation.DSMT4" ShapeID="_x0000_i1053" DrawAspect="Content" ObjectID="_1822572616" r:id="rId58"/>
        </w:object>
      </w:r>
      <w:r w:rsidRPr="00800D22">
        <w:rPr>
          <w:rFonts w:hint="eastAsia"/>
          <w:sz w:val="24"/>
        </w:rPr>
        <w:t>，则</w:t>
      </w:r>
      <w:r w:rsidRPr="00800D22">
        <w:rPr>
          <w:position w:val="-14"/>
          <w:sz w:val="24"/>
        </w:rPr>
        <w:object w:dxaOrig="660" w:dyaOrig="380" w14:anchorId="54194BFA">
          <v:shape id="_x0000_i1054" type="#_x0000_t75" style="width:33pt;height:19pt" o:ole="">
            <v:imagedata r:id="rId59" o:title=""/>
          </v:shape>
          <o:OLEObject Type="Embed" ProgID="Equation.DSMT4" ShapeID="_x0000_i1054" DrawAspect="Content" ObjectID="_1822572617" r:id="rId60"/>
        </w:object>
      </w:r>
      <w:r w:rsidRPr="00800D22">
        <w:rPr>
          <w:rFonts w:hint="eastAsia"/>
          <w:sz w:val="24"/>
        </w:rPr>
        <w:t>，否则</w:t>
      </w:r>
      <w:r w:rsidRPr="00800D22">
        <w:rPr>
          <w:position w:val="-14"/>
          <w:sz w:val="24"/>
        </w:rPr>
        <w:object w:dxaOrig="700" w:dyaOrig="380" w14:anchorId="6984A623">
          <v:shape id="_x0000_i1055" type="#_x0000_t75" style="width:35pt;height:19pt" o:ole="">
            <v:imagedata r:id="rId61" o:title=""/>
          </v:shape>
          <o:OLEObject Type="Embed" ProgID="Equation.DSMT4" ShapeID="_x0000_i1055" DrawAspect="Content" ObjectID="_1822572618" r:id="rId62"/>
        </w:object>
      </w:r>
      <w:r w:rsidRPr="00800D22">
        <w:rPr>
          <w:rFonts w:hint="eastAsia"/>
          <w:sz w:val="24"/>
        </w:rPr>
        <w:t>。</w:t>
      </w:r>
    </w:p>
    <w:p w14:paraId="006641C9" w14:textId="77777777" w:rsidR="00D7265E" w:rsidRPr="00800D22" w:rsidRDefault="00D7265E" w:rsidP="00D7265E">
      <w:pPr>
        <w:spacing w:line="440" w:lineRule="exact"/>
        <w:ind w:firstLineChars="200" w:firstLine="480"/>
        <w:rPr>
          <w:rFonts w:hint="eastAsia"/>
          <w:sz w:val="24"/>
        </w:rPr>
      </w:pPr>
      <w:r w:rsidRPr="00800D22">
        <w:rPr>
          <w:rFonts w:hint="eastAsia"/>
          <w:sz w:val="24"/>
        </w:rPr>
        <w:t>公式中</w:t>
      </w:r>
      <w:r w:rsidRPr="00800D22">
        <w:rPr>
          <w:position w:val="-14"/>
          <w:sz w:val="24"/>
        </w:rPr>
        <w:object w:dxaOrig="460" w:dyaOrig="380" w14:anchorId="20E67145">
          <v:shape id="_x0000_i1056" type="#_x0000_t75" style="width:23pt;height:19pt" o:ole="">
            <v:imagedata r:id="rId63" o:title=""/>
          </v:shape>
          <o:OLEObject Type="Embed" ProgID="Equation.DSMT4" ShapeID="_x0000_i1056" DrawAspect="Content" ObjectID="_1822572619" r:id="rId64"/>
        </w:object>
      </w:r>
      <w:r w:rsidRPr="00800D22">
        <w:rPr>
          <w:rFonts w:hint="eastAsia"/>
          <w:sz w:val="24"/>
        </w:rPr>
        <w:t>为公司</w:t>
      </w:r>
      <w:r w:rsidRPr="00800D22">
        <w:rPr>
          <w:position w:val="-10"/>
          <w:sz w:val="24"/>
        </w:rPr>
        <w:object w:dxaOrig="200" w:dyaOrig="300" w14:anchorId="439434C4">
          <v:shape id="_x0000_i1057" type="#_x0000_t75" style="width:10pt;height:15pt" o:ole="">
            <v:imagedata r:id="rId39" o:title=""/>
          </v:shape>
          <o:OLEObject Type="Embed" ProgID="Equation.DSMT4" ShapeID="_x0000_i1057" DrawAspect="Content" ObjectID="_1822572620" r:id="rId65"/>
        </w:object>
      </w:r>
      <w:r w:rsidRPr="00800D22">
        <w:rPr>
          <w:rFonts w:hint="eastAsia"/>
          <w:sz w:val="24"/>
        </w:rPr>
        <w:t>的违约概率。</w:t>
      </w:r>
    </w:p>
    <w:p w14:paraId="6DF66C32" w14:textId="77777777" w:rsidR="00D7265E" w:rsidRPr="00800D22" w:rsidRDefault="00D7265E" w:rsidP="00D7265E">
      <w:pPr>
        <w:spacing w:afterLines="50" w:after="156" w:line="440" w:lineRule="exact"/>
        <w:ind w:firstLineChars="200" w:firstLine="480"/>
        <w:rPr>
          <w:rFonts w:hint="eastAsia"/>
          <w:sz w:val="24"/>
        </w:rPr>
      </w:pPr>
      <w:r w:rsidRPr="00800D22">
        <w:rPr>
          <w:rFonts w:hint="eastAsia"/>
          <w:sz w:val="24"/>
        </w:rPr>
        <w:t>在已知</w:t>
      </w:r>
      <w:r w:rsidRPr="00800D22">
        <w:rPr>
          <w:position w:val="-4"/>
          <w:sz w:val="24"/>
        </w:rPr>
        <w:object w:dxaOrig="279" w:dyaOrig="260" w14:anchorId="27B90EBC">
          <v:shape id="_x0000_i1058" type="#_x0000_t75" style="width:14pt;height:13pt" o:ole="">
            <v:imagedata r:id="rId37" o:title=""/>
          </v:shape>
          <o:OLEObject Type="Embed" ProgID="Equation.DSMT4" ShapeID="_x0000_i1058" DrawAspect="Content" ObjectID="_1822572621" r:id="rId66"/>
        </w:object>
      </w:r>
      <w:r w:rsidRPr="00800D22">
        <w:rPr>
          <w:rFonts w:hint="eastAsia"/>
          <w:sz w:val="24"/>
        </w:rPr>
        <w:t>的条件下，观察到的违约频率接近它的条件违约概率：</w:t>
      </w:r>
    </w:p>
    <w:p w14:paraId="21A1B281" w14:textId="77777777" w:rsidR="00D7265E" w:rsidRPr="00800D22" w:rsidRDefault="00D7265E" w:rsidP="00D7265E">
      <w:pPr>
        <w:spacing w:line="360" w:lineRule="auto"/>
        <w:ind w:firstLineChars="200" w:firstLine="480"/>
        <w:rPr>
          <w:rFonts w:hint="eastAsia"/>
          <w:sz w:val="24"/>
        </w:rPr>
      </w:pPr>
      <w:r w:rsidRPr="00800D22">
        <w:rPr>
          <w:position w:val="-14"/>
          <w:sz w:val="24"/>
        </w:rPr>
        <w:object w:dxaOrig="3040" w:dyaOrig="400" w14:anchorId="0176F960">
          <v:shape id="_x0000_i1059" type="#_x0000_t75" style="width:186pt;height:25pt" o:ole="">
            <v:imagedata r:id="rId67" o:title=""/>
          </v:shape>
          <o:OLEObject Type="Embed" ProgID="Equation.DSMT4" ShapeID="_x0000_i1059" DrawAspect="Content" ObjectID="_1822572622" r:id="rId68"/>
        </w:object>
      </w:r>
    </w:p>
    <w:p w14:paraId="5349B5C9" w14:textId="77777777" w:rsidR="00D7265E" w:rsidRPr="00800D22" w:rsidRDefault="00D7265E" w:rsidP="00D7265E">
      <w:pPr>
        <w:spacing w:line="360" w:lineRule="auto"/>
        <w:ind w:firstLineChars="450" w:firstLine="1080"/>
        <w:rPr>
          <w:rFonts w:hint="eastAsia"/>
          <w:sz w:val="24"/>
        </w:rPr>
      </w:pPr>
      <w:r w:rsidRPr="00800D22">
        <w:rPr>
          <w:position w:val="-14"/>
          <w:sz w:val="24"/>
        </w:rPr>
        <w:object w:dxaOrig="3200" w:dyaOrig="460" w14:anchorId="4C497865">
          <v:shape id="_x0000_i1060" type="#_x0000_t75" style="width:178pt;height:25.5pt" o:ole="">
            <v:imagedata r:id="rId69" o:title=""/>
          </v:shape>
          <o:OLEObject Type="Embed" ProgID="Equation.DSMT4" ShapeID="_x0000_i1060" DrawAspect="Content" ObjectID="_1822572623" r:id="rId70"/>
        </w:object>
      </w:r>
    </w:p>
    <w:p w14:paraId="4DCFBF54" w14:textId="77777777" w:rsidR="00D7265E" w:rsidRPr="00800D22" w:rsidRDefault="00D7265E" w:rsidP="00D7265E">
      <w:pPr>
        <w:spacing w:line="360" w:lineRule="auto"/>
        <w:ind w:firstLineChars="450" w:firstLine="1080"/>
        <w:rPr>
          <w:rFonts w:hint="eastAsia"/>
          <w:sz w:val="24"/>
        </w:rPr>
      </w:pPr>
      <w:r w:rsidRPr="00800D22">
        <w:rPr>
          <w:position w:val="-38"/>
          <w:sz w:val="24"/>
        </w:rPr>
        <w:object w:dxaOrig="4819" w:dyaOrig="880" w14:anchorId="399C8E17">
          <v:shape id="_x0000_i1061" type="#_x0000_t75" style="width:267.5pt;height:49pt" o:ole="">
            <v:imagedata r:id="rId71" o:title=""/>
          </v:shape>
          <o:OLEObject Type="Embed" ProgID="Equation.DSMT4" ShapeID="_x0000_i1061" DrawAspect="Content" ObjectID="_1822572624" r:id="rId72"/>
        </w:objec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32</w:t>
      </w:r>
      <w:r w:rsidRPr="00800D22">
        <w:rPr>
          <w:sz w:val="24"/>
        </w:rPr>
        <w:t>）</w:t>
      </w:r>
    </w:p>
    <w:p w14:paraId="35EBD527" w14:textId="77777777" w:rsidR="00D7265E" w:rsidRPr="00800D22" w:rsidRDefault="00D7265E" w:rsidP="00D7265E">
      <w:pPr>
        <w:spacing w:line="440" w:lineRule="exact"/>
        <w:ind w:firstLine="420"/>
        <w:rPr>
          <w:rFonts w:hint="eastAsia"/>
          <w:sz w:val="24"/>
        </w:rPr>
      </w:pPr>
      <w:r w:rsidRPr="00800D22">
        <w:rPr>
          <w:position w:val="-10"/>
          <w:sz w:val="24"/>
        </w:rPr>
        <w:object w:dxaOrig="240" w:dyaOrig="260" w14:anchorId="4603CDAA">
          <v:shape id="_x0000_i1062" type="#_x0000_t75" style="width:12pt;height:13pt" o:ole="">
            <v:imagedata r:id="rId73" o:title=""/>
          </v:shape>
          <o:OLEObject Type="Embed" ProgID="Equation.DSMT4" ShapeID="_x0000_i1062" DrawAspect="Content" ObjectID="_1822572625" r:id="rId74"/>
        </w:object>
      </w:r>
      <w:r w:rsidRPr="00800D22">
        <w:rPr>
          <w:rFonts w:hint="eastAsia"/>
          <w:sz w:val="24"/>
        </w:rPr>
        <w:t>为资产相关系数，即</w:t>
      </w:r>
      <w:r w:rsidRPr="00800D22">
        <w:rPr>
          <w:position w:val="-14"/>
          <w:sz w:val="24"/>
        </w:rPr>
        <w:object w:dxaOrig="1520" w:dyaOrig="380" w14:anchorId="1AF5CD46">
          <v:shape id="_x0000_i1063" type="#_x0000_t75" style="width:76pt;height:19pt" o:ole="">
            <v:imagedata r:id="rId75" o:title=""/>
          </v:shape>
          <o:OLEObject Type="Embed" ProgID="Equation.DSMT4" ShapeID="_x0000_i1063" DrawAspect="Content" ObjectID="_1822572626" r:id="rId76"/>
        </w:object>
      </w:r>
      <w:r w:rsidRPr="00800D22">
        <w:rPr>
          <w:rFonts w:hint="eastAsia"/>
          <w:sz w:val="24"/>
        </w:rPr>
        <w:t>。</w:t>
      </w:r>
    </w:p>
    <w:p w14:paraId="335D18A1" w14:textId="77777777" w:rsidR="00D7265E" w:rsidRPr="00800D22" w:rsidRDefault="00D7265E" w:rsidP="00D7265E">
      <w:pPr>
        <w:spacing w:afterLines="50" w:after="156" w:line="440" w:lineRule="exact"/>
        <w:ind w:firstLine="420"/>
        <w:rPr>
          <w:rFonts w:hint="eastAsia"/>
          <w:sz w:val="24"/>
        </w:rPr>
      </w:pPr>
      <w:r w:rsidRPr="00800D22">
        <w:rPr>
          <w:rFonts w:hint="eastAsia"/>
          <w:sz w:val="24"/>
        </w:rPr>
        <w:t>在违约事件</w:t>
      </w:r>
      <w:r w:rsidRPr="00800D22">
        <w:rPr>
          <w:position w:val="-14"/>
          <w:sz w:val="24"/>
        </w:rPr>
        <w:object w:dxaOrig="320" w:dyaOrig="380" w14:anchorId="62D0BA17">
          <v:shape id="_x0000_i1064" type="#_x0000_t75" style="width:16pt;height:19pt" o:ole="">
            <v:imagedata r:id="rId55" o:title=""/>
          </v:shape>
          <o:OLEObject Type="Embed" ProgID="Equation.DSMT4" ShapeID="_x0000_i1064" DrawAspect="Content" ObjectID="_1822572627" r:id="rId77"/>
        </w:object>
      </w:r>
      <w:r w:rsidRPr="00800D22">
        <w:rPr>
          <w:rFonts w:hint="eastAsia"/>
          <w:sz w:val="24"/>
        </w:rPr>
        <w:t>中，回收率既取决于系统因素</w:t>
      </w:r>
      <w:r w:rsidRPr="00800D22">
        <w:rPr>
          <w:position w:val="-4"/>
          <w:sz w:val="24"/>
        </w:rPr>
        <w:object w:dxaOrig="279" w:dyaOrig="260" w14:anchorId="7C7FDF04">
          <v:shape id="_x0000_i1065" type="#_x0000_t75" style="width:14pt;height:13pt" o:ole="">
            <v:imagedata r:id="rId37" o:title=""/>
          </v:shape>
          <o:OLEObject Type="Embed" ProgID="Equation.DSMT4" ShapeID="_x0000_i1065" DrawAspect="Content" ObjectID="_1822572628" r:id="rId78"/>
        </w:object>
      </w:r>
      <w:r w:rsidRPr="00800D22">
        <w:rPr>
          <w:rFonts w:hint="eastAsia"/>
          <w:sz w:val="24"/>
        </w:rPr>
        <w:t>，又取决于特质因素</w:t>
      </w:r>
      <w:r w:rsidRPr="00800D22">
        <w:rPr>
          <w:position w:val="-14"/>
          <w:sz w:val="24"/>
        </w:rPr>
        <w:object w:dxaOrig="300" w:dyaOrig="380" w14:anchorId="509B946A">
          <v:shape id="_x0000_i1066" type="#_x0000_t75" style="width:15pt;height:19pt" o:ole="">
            <v:imagedata r:id="rId79" o:title=""/>
          </v:shape>
          <o:OLEObject Type="Embed" ProgID="Equation.DSMT4" ShapeID="_x0000_i1066" DrawAspect="Content" ObjectID="_1822572629" r:id="rId80"/>
        </w:object>
      </w:r>
      <w:r w:rsidRPr="00800D22">
        <w:rPr>
          <w:rFonts w:hint="eastAsia"/>
          <w:sz w:val="24"/>
        </w:rPr>
        <w:t>，</w:t>
      </w:r>
      <w:r w:rsidRPr="00800D22">
        <w:rPr>
          <w:position w:val="-14"/>
          <w:sz w:val="24"/>
        </w:rPr>
        <w:object w:dxaOrig="300" w:dyaOrig="380" w14:anchorId="7B997900">
          <v:shape id="_x0000_i1067" type="#_x0000_t75" style="width:15pt;height:19pt" o:ole="">
            <v:imagedata r:id="rId79" o:title=""/>
          </v:shape>
          <o:OLEObject Type="Embed" ProgID="Equation.DSMT4" ShapeID="_x0000_i1067" DrawAspect="Content" ObjectID="_1822572630" r:id="rId81"/>
        </w:object>
      </w:r>
      <w:r w:rsidRPr="00800D22">
        <w:rPr>
          <w:rFonts w:hint="eastAsia"/>
          <w:sz w:val="24"/>
        </w:rPr>
        <w:t>只影响违约事件</w:t>
      </w:r>
      <w:r w:rsidRPr="00800D22">
        <w:rPr>
          <w:position w:val="-14"/>
          <w:sz w:val="24"/>
        </w:rPr>
        <w:object w:dxaOrig="320" w:dyaOrig="380" w14:anchorId="49C3F4AD">
          <v:shape id="_x0000_i1068" type="#_x0000_t75" style="width:16pt;height:19pt" o:ole="">
            <v:imagedata r:id="rId55" o:title=""/>
          </v:shape>
          <o:OLEObject Type="Embed" ProgID="Equation.DSMT4" ShapeID="_x0000_i1068" DrawAspect="Content" ObjectID="_1822572631" r:id="rId82"/>
        </w:object>
      </w:r>
      <w:r w:rsidRPr="00800D22">
        <w:rPr>
          <w:rFonts w:hint="eastAsia"/>
          <w:sz w:val="24"/>
        </w:rPr>
        <w:t>中的回收率，因此，可以估计出回收率</w:t>
      </w:r>
      <w:r w:rsidRPr="00800D22">
        <w:rPr>
          <w:position w:val="-14"/>
          <w:sz w:val="24"/>
        </w:rPr>
        <w:object w:dxaOrig="300" w:dyaOrig="380" w14:anchorId="7D8E7E77">
          <v:shape id="_x0000_i1069" type="#_x0000_t75" style="width:15pt;height:19pt" o:ole="">
            <v:imagedata r:id="rId83" o:title=""/>
          </v:shape>
          <o:OLEObject Type="Embed" ProgID="Equation.DSMT4" ShapeID="_x0000_i1069" DrawAspect="Content" ObjectID="_1822572632" r:id="rId84"/>
        </w:object>
      </w:r>
      <w:r w:rsidRPr="00800D22">
        <w:rPr>
          <w:sz w:val="24"/>
        </w:rPr>
        <w:t>：</w:t>
      </w:r>
    </w:p>
    <w:p w14:paraId="15869BB4" w14:textId="77777777" w:rsidR="00D7265E" w:rsidRPr="00800D22" w:rsidRDefault="00D7265E" w:rsidP="00D7265E">
      <w:pPr>
        <w:spacing w:line="360" w:lineRule="auto"/>
        <w:ind w:firstLine="420"/>
        <w:rPr>
          <w:rFonts w:hint="eastAsia"/>
          <w:sz w:val="24"/>
        </w:rPr>
      </w:pPr>
      <w:r w:rsidRPr="00800D22">
        <w:rPr>
          <w:position w:val="-14"/>
          <w:sz w:val="24"/>
        </w:rPr>
        <w:object w:dxaOrig="2780" w:dyaOrig="460" w14:anchorId="5E969177">
          <v:shape id="_x0000_i1070" type="#_x0000_t75" style="width:159pt;height:26.5pt" o:ole="">
            <v:imagedata r:id="rId85" o:title=""/>
          </v:shape>
          <o:OLEObject Type="Embed" ProgID="Equation.DSMT4" ShapeID="_x0000_i1070" DrawAspect="Content" ObjectID="_1822572633" r:id="rId86"/>
        </w:objec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33</w:t>
      </w:r>
      <w:r w:rsidRPr="00800D22">
        <w:rPr>
          <w:sz w:val="24"/>
        </w:rPr>
        <w:t>）</w:t>
      </w:r>
    </w:p>
    <w:p w14:paraId="680FF93E" w14:textId="77777777" w:rsidR="00D7265E" w:rsidRPr="00800D22" w:rsidRDefault="00D7265E" w:rsidP="00D7265E">
      <w:pPr>
        <w:spacing w:beforeLines="50" w:before="156" w:line="440" w:lineRule="exact"/>
        <w:ind w:firstLine="420"/>
        <w:rPr>
          <w:rFonts w:hint="eastAsia"/>
          <w:sz w:val="24"/>
        </w:rPr>
      </w:pPr>
      <w:r w:rsidRPr="00800D22">
        <w:rPr>
          <w:position w:val="-10"/>
          <w:sz w:val="24"/>
        </w:rPr>
        <w:object w:dxaOrig="200" w:dyaOrig="260" w14:anchorId="51577458">
          <v:shape id="_x0000_i1071" type="#_x0000_t75" style="width:10pt;height:13pt" o:ole="">
            <v:imagedata r:id="rId87" o:title=""/>
          </v:shape>
          <o:OLEObject Type="Embed" ProgID="Equation.DSMT4" ShapeID="_x0000_i1071" DrawAspect="Content" ObjectID="_1822572634" r:id="rId88"/>
        </w:object>
      </w:r>
      <w:r w:rsidRPr="00800D22">
        <w:rPr>
          <w:rFonts w:hint="eastAsia"/>
          <w:sz w:val="24"/>
        </w:rPr>
        <w:t>为回收相关系数，即</w:t>
      </w:r>
      <w:r w:rsidRPr="00800D22">
        <w:rPr>
          <w:position w:val="-14"/>
          <w:sz w:val="24"/>
        </w:rPr>
        <w:object w:dxaOrig="1579" w:dyaOrig="380" w14:anchorId="23174650">
          <v:shape id="_x0000_i1072" type="#_x0000_t75" style="width:79pt;height:19pt" o:ole="">
            <v:imagedata r:id="rId89" o:title=""/>
          </v:shape>
          <o:OLEObject Type="Embed" ProgID="Equation.DSMT4" ShapeID="_x0000_i1072" DrawAspect="Content" ObjectID="_1822572635" r:id="rId90"/>
        </w:object>
      </w:r>
      <w:r w:rsidRPr="00800D22">
        <w:rPr>
          <w:rFonts w:hint="eastAsia"/>
          <w:sz w:val="24"/>
        </w:rPr>
        <w:t>。</w:t>
      </w:r>
    </w:p>
    <w:p w14:paraId="47D9A9D9" w14:textId="77777777" w:rsidR="00D7265E" w:rsidRPr="00800D22" w:rsidRDefault="00D7265E" w:rsidP="00D7265E">
      <w:pPr>
        <w:spacing w:line="440" w:lineRule="exact"/>
        <w:ind w:firstLine="420"/>
        <w:rPr>
          <w:rFonts w:hint="eastAsia"/>
          <w:sz w:val="24"/>
        </w:rPr>
      </w:pPr>
      <w:r w:rsidRPr="00800D22">
        <w:rPr>
          <w:rFonts w:hint="eastAsia"/>
          <w:sz w:val="24"/>
        </w:rPr>
        <w:t>假设</w:t>
      </w:r>
      <w:r w:rsidRPr="00800D22">
        <w:rPr>
          <w:position w:val="-14"/>
          <w:sz w:val="24"/>
        </w:rPr>
        <w:object w:dxaOrig="300" w:dyaOrig="380" w14:anchorId="4EF12595">
          <v:shape id="_x0000_i1073" type="#_x0000_t75" style="width:15pt;height:19pt" o:ole="">
            <v:imagedata r:id="rId79" o:title=""/>
          </v:shape>
          <o:OLEObject Type="Embed" ProgID="Equation.DSMT4" ShapeID="_x0000_i1073" DrawAspect="Content" ObjectID="_1822572636" r:id="rId91"/>
        </w:object>
      </w:r>
      <w:r w:rsidRPr="00800D22">
        <w:rPr>
          <w:rFonts w:hint="eastAsia"/>
          <w:sz w:val="24"/>
        </w:rPr>
        <w:t>与</w:t>
      </w:r>
      <w:r w:rsidRPr="00800D22">
        <w:rPr>
          <w:position w:val="-4"/>
          <w:sz w:val="24"/>
        </w:rPr>
        <w:object w:dxaOrig="279" w:dyaOrig="260" w14:anchorId="143B99A7">
          <v:shape id="_x0000_i1074" type="#_x0000_t75" style="width:14pt;height:13pt" o:ole="">
            <v:imagedata r:id="rId37" o:title=""/>
          </v:shape>
          <o:OLEObject Type="Embed" ProgID="Equation.DSMT4" ShapeID="_x0000_i1074" DrawAspect="Content" ObjectID="_1822572637" r:id="rId92"/>
        </w:object>
      </w:r>
      <w:r w:rsidRPr="00800D22">
        <w:rPr>
          <w:rFonts w:hint="eastAsia"/>
          <w:sz w:val="24"/>
        </w:rPr>
        <w:t>服从相互独立的标准正态分布，因此，</w:t>
      </w:r>
      <w:r w:rsidRPr="00800D22">
        <w:rPr>
          <w:position w:val="-14"/>
          <w:sz w:val="24"/>
        </w:rPr>
        <w:object w:dxaOrig="300" w:dyaOrig="380" w14:anchorId="4D824AF2">
          <v:shape id="_x0000_i1075" type="#_x0000_t75" style="width:15pt;height:19pt" o:ole="">
            <v:imagedata r:id="rId93" o:title=""/>
          </v:shape>
          <o:OLEObject Type="Embed" ProgID="Equation.DSMT4" ShapeID="_x0000_i1075" DrawAspect="Content" ObjectID="_1822572638" r:id="rId94"/>
        </w:object>
      </w:r>
      <w:r w:rsidRPr="00800D22">
        <w:rPr>
          <w:rFonts w:hint="eastAsia"/>
          <w:sz w:val="24"/>
        </w:rPr>
        <w:t>服从均值为</w:t>
      </w:r>
      <w:r w:rsidRPr="00800D22">
        <w:rPr>
          <w:position w:val="-14"/>
          <w:sz w:val="24"/>
        </w:rPr>
        <w:object w:dxaOrig="300" w:dyaOrig="380" w14:anchorId="1A82175C">
          <v:shape id="_x0000_i1076" type="#_x0000_t75" style="width:15pt;height:19pt" o:ole="">
            <v:imagedata r:id="rId95" o:title=""/>
          </v:shape>
          <o:OLEObject Type="Embed" ProgID="Equation.DSMT4" ShapeID="_x0000_i1076" DrawAspect="Content" ObjectID="_1822572639" r:id="rId96"/>
        </w:object>
      </w:r>
      <w:r w:rsidRPr="00800D22">
        <w:rPr>
          <w:rFonts w:hint="eastAsia"/>
          <w:sz w:val="24"/>
        </w:rPr>
        <w:t>，方差为</w:t>
      </w:r>
      <w:r w:rsidRPr="00800D22">
        <w:rPr>
          <w:position w:val="-6"/>
          <w:sz w:val="24"/>
        </w:rPr>
        <w:object w:dxaOrig="320" w:dyaOrig="320" w14:anchorId="0BC6D80D">
          <v:shape id="_x0000_i1077" type="#_x0000_t75" style="width:16pt;height:16pt" o:ole="">
            <v:imagedata r:id="rId97" o:title=""/>
          </v:shape>
          <o:OLEObject Type="Embed" ProgID="Equation.DSMT4" ShapeID="_x0000_i1077" DrawAspect="Content" ObjectID="_1822572640" r:id="rId98"/>
        </w:object>
      </w:r>
      <w:r w:rsidRPr="00800D22">
        <w:rPr>
          <w:rFonts w:hint="eastAsia"/>
          <w:sz w:val="24"/>
        </w:rPr>
        <w:t>的正态分布。可以把</w:t>
      </w:r>
      <w:r w:rsidRPr="00800D22">
        <w:rPr>
          <w:position w:val="-10"/>
          <w:sz w:val="24"/>
        </w:rPr>
        <w:object w:dxaOrig="240" w:dyaOrig="260" w14:anchorId="665B23F7">
          <v:shape id="_x0000_i1078" type="#_x0000_t75" style="width:12pt;height:13pt" o:ole="">
            <v:imagedata r:id="rId99" o:title=""/>
          </v:shape>
          <o:OLEObject Type="Embed" ProgID="Equation.DSMT4" ShapeID="_x0000_i1078" DrawAspect="Content" ObjectID="_1822572641" r:id="rId100"/>
        </w:object>
      </w:r>
      <w:r w:rsidRPr="00800D22">
        <w:rPr>
          <w:rFonts w:hint="eastAsia"/>
          <w:sz w:val="24"/>
        </w:rPr>
        <w:t>、</w:t>
      </w:r>
      <w:r w:rsidRPr="00800D22">
        <w:rPr>
          <w:position w:val="-6"/>
          <w:sz w:val="24"/>
        </w:rPr>
        <w:object w:dxaOrig="240" w:dyaOrig="220" w14:anchorId="517FB23E">
          <v:shape id="_x0000_i1079" type="#_x0000_t75" style="width:12pt;height:11pt" o:ole="">
            <v:imagedata r:id="rId101" o:title=""/>
          </v:shape>
          <o:OLEObject Type="Embed" ProgID="Equation.DSMT4" ShapeID="_x0000_i1079" DrawAspect="Content" ObjectID="_1822572642" r:id="rId102"/>
        </w:object>
      </w:r>
      <w:r w:rsidRPr="00800D22">
        <w:rPr>
          <w:rFonts w:hint="eastAsia"/>
          <w:sz w:val="24"/>
        </w:rPr>
        <w:t>和</w:t>
      </w:r>
      <w:r w:rsidRPr="00800D22">
        <w:rPr>
          <w:position w:val="-10"/>
          <w:sz w:val="24"/>
        </w:rPr>
        <w:object w:dxaOrig="200" w:dyaOrig="260" w14:anchorId="2AE5C380">
          <v:shape id="_x0000_i1080" type="#_x0000_t75" style="width:10pt;height:13pt" o:ole="">
            <v:imagedata r:id="rId103" o:title=""/>
          </v:shape>
          <o:OLEObject Type="Embed" ProgID="Equation.DSMT4" ShapeID="_x0000_i1080" DrawAspect="Content" ObjectID="_1822572643" r:id="rId104"/>
        </w:object>
      </w:r>
      <w:r w:rsidRPr="00800D22">
        <w:rPr>
          <w:rFonts w:hint="eastAsia"/>
          <w:sz w:val="24"/>
        </w:rPr>
        <w:t>解释为回收率的数量、质量和回收率的敏感性因子。</w:t>
      </w:r>
    </w:p>
    <w:p w14:paraId="0455BA02" w14:textId="77777777" w:rsidR="00D7265E" w:rsidRPr="00800D22" w:rsidRDefault="00D7265E" w:rsidP="00D7265E">
      <w:pPr>
        <w:spacing w:line="440" w:lineRule="exact"/>
        <w:ind w:firstLineChars="200" w:firstLine="480"/>
        <w:rPr>
          <w:rFonts w:hint="eastAsia"/>
          <w:sz w:val="24"/>
        </w:rPr>
      </w:pPr>
      <w:r w:rsidRPr="00800D22">
        <w:rPr>
          <w:rFonts w:hint="eastAsia"/>
          <w:sz w:val="24"/>
        </w:rPr>
        <w:t>根据公式（</w:t>
      </w:r>
      <w:r w:rsidRPr="00800D22">
        <w:rPr>
          <w:rFonts w:hint="eastAsia"/>
          <w:sz w:val="24"/>
        </w:rPr>
        <w:t>6.32</w:t>
      </w:r>
      <w:r w:rsidRPr="00800D22">
        <w:rPr>
          <w:rFonts w:hint="eastAsia"/>
          <w:sz w:val="24"/>
        </w:rPr>
        <w:t>），结合违约概率表中数据，利用条件最大似然估计可以求得</w:t>
      </w:r>
      <w:r w:rsidRPr="00800D22">
        <w:rPr>
          <w:position w:val="-10"/>
          <w:sz w:val="24"/>
        </w:rPr>
        <w:object w:dxaOrig="240" w:dyaOrig="260" w14:anchorId="4B89CA35">
          <v:shape id="_x0000_i1081" type="#_x0000_t75" style="width:12pt;height:13pt" o:ole="">
            <v:imagedata r:id="rId73" o:title=""/>
          </v:shape>
          <o:OLEObject Type="Embed" ProgID="Equation.DSMT4" ShapeID="_x0000_i1081" DrawAspect="Content" ObjectID="_1822572644" r:id="rId105"/>
        </w:object>
      </w:r>
      <w:r w:rsidRPr="00800D22">
        <w:rPr>
          <w:rFonts w:hint="eastAsia"/>
          <w:sz w:val="24"/>
        </w:rPr>
        <w:t>，然后再根据公式（</w:t>
      </w:r>
      <w:r w:rsidRPr="00800D22">
        <w:rPr>
          <w:rFonts w:hint="eastAsia"/>
          <w:sz w:val="24"/>
        </w:rPr>
        <w:t>6.33</w:t>
      </w:r>
      <w:r w:rsidRPr="00800D22">
        <w:rPr>
          <w:rFonts w:hint="eastAsia"/>
          <w:sz w:val="24"/>
        </w:rPr>
        <w:t>），并结合回收数据，利用最大似然</w:t>
      </w:r>
      <w:proofErr w:type="gramStart"/>
      <w:r w:rsidRPr="00800D22">
        <w:rPr>
          <w:rFonts w:hint="eastAsia"/>
          <w:sz w:val="24"/>
        </w:rPr>
        <w:t>率估计</w:t>
      </w:r>
      <w:proofErr w:type="gramEnd"/>
      <w:r w:rsidRPr="00800D22">
        <w:rPr>
          <w:rFonts w:hint="eastAsia"/>
          <w:sz w:val="24"/>
        </w:rPr>
        <w:t>则可估计出其他参数。</w:t>
      </w:r>
    </w:p>
    <w:p w14:paraId="67CD9FD6" w14:textId="77777777" w:rsidR="00D7265E" w:rsidRPr="00800D22" w:rsidRDefault="00D7265E" w:rsidP="00D7265E">
      <w:pPr>
        <w:spacing w:line="440" w:lineRule="exact"/>
        <w:ind w:firstLineChars="200" w:firstLine="482"/>
        <w:rPr>
          <w:rFonts w:hint="eastAsia"/>
          <w:b/>
          <w:sz w:val="24"/>
        </w:rPr>
      </w:pPr>
      <w:r w:rsidRPr="00800D22">
        <w:rPr>
          <w:rFonts w:hint="eastAsia"/>
          <w:b/>
          <w:sz w:val="24"/>
        </w:rPr>
        <w:t>（</w:t>
      </w:r>
      <w:r w:rsidRPr="00800D22">
        <w:rPr>
          <w:rFonts w:hint="eastAsia"/>
          <w:b/>
          <w:sz w:val="24"/>
        </w:rPr>
        <w:t>3</w:t>
      </w:r>
      <w:r w:rsidRPr="00800D22">
        <w:rPr>
          <w:rFonts w:hint="eastAsia"/>
          <w:b/>
          <w:sz w:val="24"/>
        </w:rPr>
        <w:t>）利用穆迪理想的预期损失率数据求解</w:t>
      </w:r>
    </w:p>
    <w:p w14:paraId="5679CF06" w14:textId="77777777" w:rsidR="00D7265E" w:rsidRPr="00800D22" w:rsidRDefault="00D7265E" w:rsidP="00D7265E">
      <w:pPr>
        <w:spacing w:line="440" w:lineRule="exact"/>
        <w:ind w:firstLineChars="200" w:firstLine="480"/>
        <w:rPr>
          <w:sz w:val="24"/>
        </w:rPr>
      </w:pPr>
      <w:r w:rsidRPr="00800D22">
        <w:rPr>
          <w:rFonts w:hint="eastAsia"/>
          <w:sz w:val="24"/>
        </w:rPr>
        <w:t>为方便起见，笔者直接</w:t>
      </w:r>
      <w:r w:rsidRPr="00800D22">
        <w:rPr>
          <w:sz w:val="24"/>
        </w:rPr>
        <w:t>利用穆迪（</w:t>
      </w:r>
      <w:r w:rsidRPr="00800D22">
        <w:rPr>
          <w:sz w:val="24"/>
        </w:rPr>
        <w:t>Moody</w:t>
      </w:r>
      <w:proofErr w:type="gramStart"/>
      <w:r w:rsidRPr="00800D22">
        <w:rPr>
          <w:sz w:val="24"/>
        </w:rPr>
        <w:t>’</w:t>
      </w:r>
      <w:proofErr w:type="gramEnd"/>
      <w:r w:rsidRPr="00800D22">
        <w:rPr>
          <w:sz w:val="24"/>
        </w:rPr>
        <w:t>s</w:t>
      </w:r>
      <w:r w:rsidRPr="00800D22">
        <w:rPr>
          <w:sz w:val="24"/>
        </w:rPr>
        <w:t>）理想的预期损失表中的数据。根据公式</w:t>
      </w:r>
      <w:r w:rsidRPr="00800D22">
        <w:rPr>
          <w:rFonts w:hint="eastAsia"/>
          <w:sz w:val="24"/>
        </w:rPr>
        <w:t>（</w:t>
      </w:r>
      <w:r w:rsidRPr="00800D22">
        <w:rPr>
          <w:rFonts w:hint="eastAsia"/>
          <w:sz w:val="24"/>
        </w:rPr>
        <w:t>6</w:t>
      </w:r>
      <w:r w:rsidRPr="00800D22">
        <w:rPr>
          <w:sz w:val="24"/>
        </w:rPr>
        <w:t>.</w:t>
      </w:r>
      <w:r w:rsidRPr="00800D22">
        <w:rPr>
          <w:rFonts w:hint="eastAsia"/>
          <w:sz w:val="24"/>
        </w:rPr>
        <w:t>26</w:t>
      </w:r>
      <w:r w:rsidRPr="00800D22">
        <w:rPr>
          <w:rFonts w:hint="eastAsia"/>
          <w:sz w:val="24"/>
        </w:rPr>
        <w:t>）</w:t>
      </w:r>
      <w:r w:rsidRPr="00800D22">
        <w:rPr>
          <w:sz w:val="24"/>
        </w:rPr>
        <w:t>，</w:t>
      </w:r>
      <w:r w:rsidRPr="00800D22">
        <w:rPr>
          <w:rFonts w:hint="eastAsia"/>
          <w:sz w:val="24"/>
        </w:rPr>
        <w:t>可直接</w:t>
      </w:r>
      <w:r w:rsidRPr="00800D22">
        <w:rPr>
          <w:sz w:val="24"/>
        </w:rPr>
        <w:t>计算出了不同期限不同提升级别情况下的理想的抵</w:t>
      </w:r>
      <w:r w:rsidRPr="00800D22">
        <w:rPr>
          <w:sz w:val="24"/>
        </w:rPr>
        <w:t>/</w:t>
      </w:r>
      <w:r w:rsidRPr="00800D22">
        <w:rPr>
          <w:sz w:val="24"/>
        </w:rPr>
        <w:t>质押资产价值覆盖率，如表</w:t>
      </w:r>
      <w:r w:rsidRPr="00800D22">
        <w:rPr>
          <w:rFonts w:hint="eastAsia"/>
          <w:sz w:val="24"/>
        </w:rPr>
        <w:t>6</w:t>
      </w:r>
      <w:r w:rsidRPr="00800D22">
        <w:rPr>
          <w:sz w:val="24"/>
        </w:rPr>
        <w:t>.</w:t>
      </w:r>
      <w:r w:rsidRPr="00800D22">
        <w:rPr>
          <w:rFonts w:hint="eastAsia"/>
          <w:sz w:val="24"/>
        </w:rPr>
        <w:t>10</w:t>
      </w:r>
      <w:r w:rsidRPr="00800D22">
        <w:rPr>
          <w:sz w:val="24"/>
        </w:rPr>
        <w:t>。</w:t>
      </w:r>
      <w:proofErr w:type="gramStart"/>
      <w:r w:rsidRPr="00800D22">
        <w:rPr>
          <w:sz w:val="24"/>
        </w:rPr>
        <w:t>该抵</w:t>
      </w:r>
      <w:r w:rsidRPr="00800D22">
        <w:rPr>
          <w:sz w:val="24"/>
        </w:rPr>
        <w:t>/</w:t>
      </w:r>
      <w:proofErr w:type="gramEnd"/>
      <w:r w:rsidRPr="00800D22">
        <w:rPr>
          <w:sz w:val="24"/>
        </w:rPr>
        <w:t>质押资产价值覆盖率为最低可接受覆盖率，所对应的到期抵</w:t>
      </w:r>
      <w:r w:rsidRPr="00800D22">
        <w:rPr>
          <w:sz w:val="24"/>
        </w:rPr>
        <w:t>/</w:t>
      </w:r>
      <w:r w:rsidRPr="00800D22">
        <w:rPr>
          <w:sz w:val="24"/>
        </w:rPr>
        <w:t>质押资产价值为所需最低资产价值。</w:t>
      </w:r>
    </w:p>
    <w:p w14:paraId="1A0803CE" w14:textId="77777777" w:rsidR="00D7265E" w:rsidRPr="00800D22" w:rsidRDefault="00D7265E" w:rsidP="00D7265E">
      <w:pPr>
        <w:keepNext/>
        <w:spacing w:beforeLines="50" w:before="156" w:line="440" w:lineRule="exact"/>
        <w:jc w:val="center"/>
        <w:rPr>
          <w:rFonts w:hint="eastAsia"/>
          <w:szCs w:val="21"/>
        </w:rPr>
      </w:pPr>
      <w:bookmarkStart w:id="4" w:name="_Toc256506455"/>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10</w:t>
      </w:r>
      <w:r w:rsidRPr="00800D22">
        <w:rPr>
          <w:szCs w:val="21"/>
        </w:rPr>
        <w:fldChar w:fldCharType="end"/>
      </w:r>
      <w:r w:rsidRPr="00800D22">
        <w:rPr>
          <w:rFonts w:hint="eastAsia"/>
          <w:szCs w:val="21"/>
        </w:rPr>
        <w:t xml:space="preserve">  </w:t>
      </w:r>
      <w:r w:rsidRPr="00800D22">
        <w:rPr>
          <w:rFonts w:hint="eastAsia"/>
          <w:szCs w:val="21"/>
        </w:rPr>
        <w:t>理想的抵</w:t>
      </w:r>
      <w:r w:rsidRPr="00800D22">
        <w:rPr>
          <w:rFonts w:hint="eastAsia"/>
          <w:szCs w:val="21"/>
        </w:rPr>
        <w:t>/</w:t>
      </w:r>
      <w:r w:rsidRPr="00800D22">
        <w:rPr>
          <w:rFonts w:hint="eastAsia"/>
          <w:szCs w:val="21"/>
        </w:rPr>
        <w:t>质押资产价值覆盖率</w:t>
      </w:r>
      <w:bookmarkEnd w:id="4"/>
    </w:p>
    <w:p w14:paraId="4086BB85" w14:textId="77777777" w:rsidR="00D7265E" w:rsidRPr="00800D22" w:rsidRDefault="00D7265E" w:rsidP="00D7265E">
      <w:pPr>
        <w:jc w:val="center"/>
        <w:rPr>
          <w:rFonts w:hint="eastAsia"/>
          <w:szCs w:val="21"/>
        </w:rPr>
      </w:pPr>
      <w:r w:rsidRPr="00800D22">
        <w:rPr>
          <w:rFonts w:hint="eastAsia"/>
          <w:szCs w:val="21"/>
        </w:rPr>
        <w:t xml:space="preserve">Table </w:t>
      </w:r>
      <w:proofErr w:type="gramStart"/>
      <w:r w:rsidRPr="00800D22">
        <w:rPr>
          <w:rFonts w:hint="eastAsia"/>
          <w:szCs w:val="21"/>
        </w:rPr>
        <w:t>6.10  D</w:t>
      </w:r>
      <w:r w:rsidRPr="00800D22">
        <w:rPr>
          <w:szCs w:val="21"/>
        </w:rPr>
        <w:t>esirable</w:t>
      </w:r>
      <w:proofErr w:type="gramEnd"/>
      <w:r w:rsidRPr="00800D22">
        <w:rPr>
          <w:rFonts w:hint="eastAsia"/>
          <w:szCs w:val="21"/>
        </w:rPr>
        <w:t xml:space="preserve"> </w:t>
      </w:r>
      <w:r w:rsidRPr="00800D22">
        <w:rPr>
          <w:szCs w:val="21"/>
        </w:rPr>
        <w:t>mortgage </w:t>
      </w:r>
      <w:r w:rsidRPr="00800D22">
        <w:rPr>
          <w:rFonts w:hint="eastAsia"/>
          <w:szCs w:val="21"/>
        </w:rPr>
        <w:t>or</w:t>
      </w:r>
      <w:r w:rsidRPr="00800D22">
        <w:rPr>
          <w:szCs w:val="21"/>
        </w:rPr>
        <w:t xml:space="preserve"> </w:t>
      </w:r>
      <w:hyperlink r:id="rId106" w:tooltip="查找: pledged assets" w:history="1">
        <w:r w:rsidRPr="00800D22">
          <w:t xml:space="preserve">pledged </w:t>
        </w:r>
      </w:hyperlink>
      <w:r w:rsidRPr="00800D22">
        <w:rPr>
          <w:szCs w:val="21"/>
        </w:rPr>
        <w:t>asset coverage</w:t>
      </w:r>
      <w:r w:rsidRPr="00800D22">
        <w:rPr>
          <w:rFonts w:hint="eastAsia"/>
          <w:szCs w:val="21"/>
        </w:rPr>
        <w:t xml:space="preserve"> rates</w:t>
      </w:r>
    </w:p>
    <w:tbl>
      <w:tblPr>
        <w:tblW w:w="5000" w:type="pct"/>
        <w:tblBorders>
          <w:top w:val="single" w:sz="4" w:space="0" w:color="auto"/>
          <w:bottom w:val="single" w:sz="4" w:space="0" w:color="auto"/>
        </w:tblBorders>
        <w:tblLook w:val="0000" w:firstRow="0" w:lastRow="0" w:firstColumn="0" w:lastColumn="0" w:noHBand="0" w:noVBand="0"/>
      </w:tblPr>
      <w:tblGrid>
        <w:gridCol w:w="578"/>
        <w:gridCol w:w="772"/>
        <w:gridCol w:w="772"/>
        <w:gridCol w:w="773"/>
        <w:gridCol w:w="773"/>
        <w:gridCol w:w="773"/>
        <w:gridCol w:w="773"/>
        <w:gridCol w:w="773"/>
        <w:gridCol w:w="773"/>
        <w:gridCol w:w="773"/>
        <w:gridCol w:w="773"/>
      </w:tblGrid>
      <w:tr w:rsidR="00D7265E" w:rsidRPr="00800D22" w14:paraId="7A16101D" w14:textId="77777777" w:rsidTr="00DB24B0">
        <w:trPr>
          <w:trHeight w:val="285"/>
        </w:trPr>
        <w:tc>
          <w:tcPr>
            <w:tcW w:w="5000" w:type="pct"/>
            <w:gridSpan w:val="11"/>
            <w:tcBorders>
              <w:bottom w:val="nil"/>
            </w:tcBorders>
            <w:noWrap/>
            <w:vAlign w:val="center"/>
          </w:tcPr>
          <w:p w14:paraId="0BD4B450"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AAA</w:t>
            </w:r>
          </w:p>
        </w:tc>
      </w:tr>
      <w:tr w:rsidR="00D7265E" w:rsidRPr="00800D22" w14:paraId="170FF901" w14:textId="77777777" w:rsidTr="00DB24B0">
        <w:trPr>
          <w:trHeight w:val="285"/>
        </w:trPr>
        <w:tc>
          <w:tcPr>
            <w:tcW w:w="340" w:type="pct"/>
            <w:tcBorders>
              <w:top w:val="nil"/>
              <w:bottom w:val="single" w:sz="4" w:space="0" w:color="auto"/>
            </w:tcBorders>
            <w:noWrap/>
            <w:vAlign w:val="center"/>
          </w:tcPr>
          <w:p w14:paraId="3B752B6F"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191027C1"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1BD1D635"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5C13607B"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6E69357C"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5535B7FA"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08DFDB40"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0EEAC92B"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603442D2"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4FF46813"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6E498F6B"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645A6501" w14:textId="77777777" w:rsidTr="00DB24B0">
        <w:trPr>
          <w:trHeight w:val="285"/>
        </w:trPr>
        <w:tc>
          <w:tcPr>
            <w:tcW w:w="340" w:type="pct"/>
            <w:tcBorders>
              <w:top w:val="single" w:sz="4" w:space="0" w:color="auto"/>
            </w:tcBorders>
            <w:noWrap/>
            <w:vAlign w:val="center"/>
          </w:tcPr>
          <w:p w14:paraId="5AD05C06" w14:textId="77777777" w:rsidR="00D7265E" w:rsidRPr="00800D22" w:rsidRDefault="00D7265E" w:rsidP="00DB24B0">
            <w:pPr>
              <w:widowControl/>
              <w:rPr>
                <w:kern w:val="0"/>
                <w:sz w:val="18"/>
                <w:szCs w:val="18"/>
              </w:rPr>
            </w:pPr>
            <w:r w:rsidRPr="00800D22">
              <w:rPr>
                <w:kern w:val="0"/>
                <w:sz w:val="18"/>
                <w:szCs w:val="18"/>
              </w:rPr>
              <w:t>AA+</w:t>
            </w:r>
          </w:p>
        </w:tc>
        <w:tc>
          <w:tcPr>
            <w:tcW w:w="466" w:type="pct"/>
            <w:tcBorders>
              <w:top w:val="single" w:sz="4" w:space="0" w:color="auto"/>
            </w:tcBorders>
            <w:noWrap/>
            <w:vAlign w:val="center"/>
          </w:tcPr>
          <w:p w14:paraId="06674905" w14:textId="77777777" w:rsidR="00D7265E" w:rsidRPr="00800D22" w:rsidRDefault="00D7265E" w:rsidP="00DB24B0">
            <w:pPr>
              <w:widowControl/>
              <w:rPr>
                <w:kern w:val="0"/>
                <w:sz w:val="18"/>
                <w:szCs w:val="18"/>
              </w:rPr>
            </w:pPr>
            <w:r w:rsidRPr="00800D22">
              <w:rPr>
                <w:kern w:val="0"/>
                <w:sz w:val="18"/>
                <w:szCs w:val="18"/>
              </w:rPr>
              <w:t>90.32%</w:t>
            </w:r>
          </w:p>
        </w:tc>
        <w:tc>
          <w:tcPr>
            <w:tcW w:w="466" w:type="pct"/>
            <w:tcBorders>
              <w:top w:val="single" w:sz="4" w:space="0" w:color="auto"/>
            </w:tcBorders>
            <w:noWrap/>
            <w:vAlign w:val="center"/>
          </w:tcPr>
          <w:p w14:paraId="4368FB70" w14:textId="77777777" w:rsidR="00D7265E" w:rsidRPr="00800D22" w:rsidRDefault="00D7265E" w:rsidP="00DB24B0">
            <w:pPr>
              <w:widowControl/>
              <w:rPr>
                <w:kern w:val="0"/>
                <w:sz w:val="18"/>
                <w:szCs w:val="18"/>
              </w:rPr>
            </w:pPr>
            <w:r w:rsidRPr="00800D22">
              <w:rPr>
                <w:kern w:val="0"/>
                <w:sz w:val="18"/>
                <w:szCs w:val="18"/>
              </w:rPr>
              <w:t>93.33%</w:t>
            </w:r>
          </w:p>
        </w:tc>
        <w:tc>
          <w:tcPr>
            <w:tcW w:w="466" w:type="pct"/>
            <w:tcBorders>
              <w:top w:val="single" w:sz="4" w:space="0" w:color="auto"/>
            </w:tcBorders>
            <w:noWrap/>
            <w:vAlign w:val="center"/>
          </w:tcPr>
          <w:p w14:paraId="2D82E17D" w14:textId="77777777" w:rsidR="00D7265E" w:rsidRPr="00800D22" w:rsidRDefault="00D7265E" w:rsidP="00DB24B0">
            <w:pPr>
              <w:widowControl/>
              <w:rPr>
                <w:kern w:val="0"/>
                <w:sz w:val="18"/>
                <w:szCs w:val="18"/>
              </w:rPr>
            </w:pPr>
            <w:r w:rsidRPr="00800D22">
              <w:rPr>
                <w:kern w:val="0"/>
                <w:sz w:val="18"/>
                <w:szCs w:val="18"/>
              </w:rPr>
              <w:t>92.91%</w:t>
            </w:r>
          </w:p>
        </w:tc>
        <w:tc>
          <w:tcPr>
            <w:tcW w:w="466" w:type="pct"/>
            <w:tcBorders>
              <w:top w:val="single" w:sz="4" w:space="0" w:color="auto"/>
            </w:tcBorders>
            <w:noWrap/>
            <w:vAlign w:val="center"/>
          </w:tcPr>
          <w:p w14:paraId="11113E2C" w14:textId="77777777" w:rsidR="00D7265E" w:rsidRPr="00800D22" w:rsidRDefault="00D7265E" w:rsidP="00DB24B0">
            <w:pPr>
              <w:widowControl/>
              <w:rPr>
                <w:kern w:val="0"/>
                <w:sz w:val="18"/>
                <w:szCs w:val="18"/>
              </w:rPr>
            </w:pPr>
            <w:r w:rsidRPr="00800D22">
              <w:rPr>
                <w:kern w:val="0"/>
                <w:sz w:val="18"/>
                <w:szCs w:val="18"/>
              </w:rPr>
              <w:t>91.43%</w:t>
            </w:r>
          </w:p>
        </w:tc>
        <w:tc>
          <w:tcPr>
            <w:tcW w:w="466" w:type="pct"/>
            <w:tcBorders>
              <w:top w:val="single" w:sz="4" w:space="0" w:color="auto"/>
            </w:tcBorders>
            <w:noWrap/>
            <w:vAlign w:val="center"/>
          </w:tcPr>
          <w:p w14:paraId="5D8AD594" w14:textId="77777777" w:rsidR="00D7265E" w:rsidRPr="00800D22" w:rsidRDefault="00D7265E" w:rsidP="00DB24B0">
            <w:pPr>
              <w:widowControl/>
              <w:rPr>
                <w:kern w:val="0"/>
                <w:sz w:val="18"/>
                <w:szCs w:val="18"/>
              </w:rPr>
            </w:pPr>
            <w:r w:rsidRPr="00800D22">
              <w:rPr>
                <w:kern w:val="0"/>
                <w:sz w:val="18"/>
                <w:szCs w:val="18"/>
              </w:rPr>
              <w:t>90.62%</w:t>
            </w:r>
          </w:p>
        </w:tc>
        <w:tc>
          <w:tcPr>
            <w:tcW w:w="466" w:type="pct"/>
            <w:tcBorders>
              <w:top w:val="single" w:sz="4" w:space="0" w:color="auto"/>
            </w:tcBorders>
            <w:noWrap/>
            <w:vAlign w:val="center"/>
          </w:tcPr>
          <w:p w14:paraId="3230866D" w14:textId="77777777" w:rsidR="00D7265E" w:rsidRPr="00800D22" w:rsidRDefault="00D7265E" w:rsidP="00DB24B0">
            <w:pPr>
              <w:widowControl/>
              <w:rPr>
                <w:kern w:val="0"/>
                <w:sz w:val="18"/>
                <w:szCs w:val="18"/>
              </w:rPr>
            </w:pPr>
            <w:r w:rsidRPr="00800D22">
              <w:rPr>
                <w:kern w:val="0"/>
                <w:sz w:val="18"/>
                <w:szCs w:val="18"/>
              </w:rPr>
              <w:t>91.34%</w:t>
            </w:r>
          </w:p>
        </w:tc>
        <w:tc>
          <w:tcPr>
            <w:tcW w:w="466" w:type="pct"/>
            <w:tcBorders>
              <w:top w:val="single" w:sz="4" w:space="0" w:color="auto"/>
            </w:tcBorders>
            <w:noWrap/>
            <w:vAlign w:val="center"/>
          </w:tcPr>
          <w:p w14:paraId="0AA1E083" w14:textId="77777777" w:rsidR="00D7265E" w:rsidRPr="00800D22" w:rsidRDefault="00D7265E" w:rsidP="00DB24B0">
            <w:pPr>
              <w:widowControl/>
              <w:rPr>
                <w:kern w:val="0"/>
                <w:sz w:val="18"/>
                <w:szCs w:val="18"/>
              </w:rPr>
            </w:pPr>
            <w:r w:rsidRPr="00800D22">
              <w:rPr>
                <w:kern w:val="0"/>
                <w:sz w:val="18"/>
                <w:szCs w:val="18"/>
              </w:rPr>
              <w:t>90.37%</w:t>
            </w:r>
          </w:p>
        </w:tc>
        <w:tc>
          <w:tcPr>
            <w:tcW w:w="466" w:type="pct"/>
            <w:tcBorders>
              <w:top w:val="single" w:sz="4" w:space="0" w:color="auto"/>
            </w:tcBorders>
            <w:noWrap/>
            <w:vAlign w:val="center"/>
          </w:tcPr>
          <w:p w14:paraId="7F2EBE0E" w14:textId="77777777" w:rsidR="00D7265E" w:rsidRPr="00800D22" w:rsidRDefault="00D7265E" w:rsidP="00DB24B0">
            <w:pPr>
              <w:widowControl/>
              <w:rPr>
                <w:kern w:val="0"/>
                <w:sz w:val="18"/>
                <w:szCs w:val="18"/>
              </w:rPr>
            </w:pPr>
            <w:r w:rsidRPr="00800D22">
              <w:rPr>
                <w:kern w:val="0"/>
                <w:sz w:val="18"/>
                <w:szCs w:val="18"/>
              </w:rPr>
              <w:t>90.15%</w:t>
            </w:r>
          </w:p>
        </w:tc>
        <w:tc>
          <w:tcPr>
            <w:tcW w:w="466" w:type="pct"/>
            <w:tcBorders>
              <w:top w:val="single" w:sz="4" w:space="0" w:color="auto"/>
            </w:tcBorders>
            <w:noWrap/>
            <w:vAlign w:val="center"/>
          </w:tcPr>
          <w:p w14:paraId="3F3E0F54" w14:textId="77777777" w:rsidR="00D7265E" w:rsidRPr="00800D22" w:rsidRDefault="00D7265E" w:rsidP="00DB24B0">
            <w:pPr>
              <w:widowControl/>
              <w:rPr>
                <w:kern w:val="0"/>
                <w:sz w:val="18"/>
                <w:szCs w:val="18"/>
              </w:rPr>
            </w:pPr>
            <w:r w:rsidRPr="00800D22">
              <w:rPr>
                <w:kern w:val="0"/>
                <w:sz w:val="18"/>
                <w:szCs w:val="18"/>
              </w:rPr>
              <w:t>90.00%</w:t>
            </w:r>
          </w:p>
        </w:tc>
        <w:tc>
          <w:tcPr>
            <w:tcW w:w="466" w:type="pct"/>
            <w:tcBorders>
              <w:top w:val="single" w:sz="4" w:space="0" w:color="auto"/>
            </w:tcBorders>
            <w:noWrap/>
            <w:vAlign w:val="center"/>
          </w:tcPr>
          <w:p w14:paraId="4ADEE740" w14:textId="77777777" w:rsidR="00D7265E" w:rsidRPr="00800D22" w:rsidRDefault="00D7265E" w:rsidP="00DB24B0">
            <w:pPr>
              <w:widowControl/>
              <w:rPr>
                <w:kern w:val="0"/>
                <w:sz w:val="18"/>
                <w:szCs w:val="18"/>
              </w:rPr>
            </w:pPr>
            <w:r w:rsidRPr="00800D22">
              <w:rPr>
                <w:kern w:val="0"/>
                <w:sz w:val="18"/>
                <w:szCs w:val="18"/>
              </w:rPr>
              <w:t>90.00%</w:t>
            </w:r>
          </w:p>
        </w:tc>
      </w:tr>
      <w:tr w:rsidR="00D7265E" w:rsidRPr="00800D22" w14:paraId="0F9FFB3A" w14:textId="77777777" w:rsidTr="00DB24B0">
        <w:trPr>
          <w:trHeight w:val="285"/>
        </w:trPr>
        <w:tc>
          <w:tcPr>
            <w:tcW w:w="340" w:type="pct"/>
            <w:noWrap/>
            <w:vAlign w:val="center"/>
          </w:tcPr>
          <w:p w14:paraId="7AE1C0A2" w14:textId="77777777" w:rsidR="00D7265E" w:rsidRPr="00800D22" w:rsidRDefault="00D7265E" w:rsidP="00DB24B0">
            <w:pPr>
              <w:widowControl/>
              <w:rPr>
                <w:kern w:val="0"/>
                <w:sz w:val="18"/>
                <w:szCs w:val="18"/>
              </w:rPr>
            </w:pPr>
            <w:r w:rsidRPr="00800D22">
              <w:rPr>
                <w:kern w:val="0"/>
                <w:sz w:val="18"/>
                <w:szCs w:val="18"/>
              </w:rPr>
              <w:t>AA</w:t>
            </w:r>
          </w:p>
        </w:tc>
        <w:tc>
          <w:tcPr>
            <w:tcW w:w="466" w:type="pct"/>
            <w:noWrap/>
            <w:vAlign w:val="center"/>
          </w:tcPr>
          <w:p w14:paraId="41A80EEC" w14:textId="77777777" w:rsidR="00D7265E" w:rsidRPr="00800D22" w:rsidRDefault="00D7265E" w:rsidP="00DB24B0">
            <w:pPr>
              <w:widowControl/>
              <w:rPr>
                <w:kern w:val="0"/>
                <w:sz w:val="18"/>
                <w:szCs w:val="18"/>
              </w:rPr>
            </w:pPr>
            <w:r w:rsidRPr="00800D22">
              <w:rPr>
                <w:kern w:val="0"/>
                <w:sz w:val="18"/>
                <w:szCs w:val="18"/>
              </w:rPr>
              <w:t>96.00%</w:t>
            </w:r>
          </w:p>
        </w:tc>
        <w:tc>
          <w:tcPr>
            <w:tcW w:w="466" w:type="pct"/>
            <w:noWrap/>
            <w:vAlign w:val="center"/>
          </w:tcPr>
          <w:p w14:paraId="6751482D" w14:textId="77777777" w:rsidR="00D7265E" w:rsidRPr="00800D22" w:rsidRDefault="00D7265E" w:rsidP="00DB24B0">
            <w:pPr>
              <w:widowControl/>
              <w:rPr>
                <w:kern w:val="0"/>
                <w:sz w:val="18"/>
                <w:szCs w:val="18"/>
              </w:rPr>
            </w:pPr>
            <w:r w:rsidRPr="00800D22">
              <w:rPr>
                <w:kern w:val="0"/>
                <w:sz w:val="18"/>
                <w:szCs w:val="18"/>
              </w:rPr>
              <w:t>97.50%</w:t>
            </w:r>
          </w:p>
        </w:tc>
        <w:tc>
          <w:tcPr>
            <w:tcW w:w="466" w:type="pct"/>
            <w:noWrap/>
            <w:vAlign w:val="center"/>
          </w:tcPr>
          <w:p w14:paraId="344ADB63" w14:textId="77777777" w:rsidR="00D7265E" w:rsidRPr="00800D22" w:rsidRDefault="00D7265E" w:rsidP="00DB24B0">
            <w:pPr>
              <w:widowControl/>
              <w:rPr>
                <w:kern w:val="0"/>
                <w:sz w:val="18"/>
                <w:szCs w:val="18"/>
              </w:rPr>
            </w:pPr>
            <w:r w:rsidRPr="00800D22">
              <w:rPr>
                <w:kern w:val="0"/>
                <w:sz w:val="18"/>
                <w:szCs w:val="18"/>
              </w:rPr>
              <w:t>97.25%</w:t>
            </w:r>
          </w:p>
        </w:tc>
        <w:tc>
          <w:tcPr>
            <w:tcW w:w="466" w:type="pct"/>
            <w:noWrap/>
            <w:vAlign w:val="center"/>
          </w:tcPr>
          <w:p w14:paraId="36CF342A" w14:textId="77777777" w:rsidR="00D7265E" w:rsidRPr="00800D22" w:rsidRDefault="00D7265E" w:rsidP="00DB24B0">
            <w:pPr>
              <w:widowControl/>
              <w:rPr>
                <w:kern w:val="0"/>
                <w:sz w:val="18"/>
                <w:szCs w:val="18"/>
              </w:rPr>
            </w:pPr>
            <w:r w:rsidRPr="00800D22">
              <w:rPr>
                <w:kern w:val="0"/>
                <w:sz w:val="18"/>
                <w:szCs w:val="18"/>
              </w:rPr>
              <w:t>96.17%</w:t>
            </w:r>
          </w:p>
        </w:tc>
        <w:tc>
          <w:tcPr>
            <w:tcW w:w="466" w:type="pct"/>
            <w:noWrap/>
            <w:vAlign w:val="center"/>
          </w:tcPr>
          <w:p w14:paraId="461108DF" w14:textId="77777777" w:rsidR="00D7265E" w:rsidRPr="00800D22" w:rsidRDefault="00D7265E" w:rsidP="00DB24B0">
            <w:pPr>
              <w:widowControl/>
              <w:rPr>
                <w:kern w:val="0"/>
                <w:sz w:val="18"/>
                <w:szCs w:val="18"/>
              </w:rPr>
            </w:pPr>
            <w:r w:rsidRPr="00800D22">
              <w:rPr>
                <w:kern w:val="0"/>
                <w:sz w:val="18"/>
                <w:szCs w:val="18"/>
              </w:rPr>
              <w:t>95.72%</w:t>
            </w:r>
          </w:p>
        </w:tc>
        <w:tc>
          <w:tcPr>
            <w:tcW w:w="466" w:type="pct"/>
            <w:noWrap/>
            <w:vAlign w:val="center"/>
          </w:tcPr>
          <w:p w14:paraId="168E3625" w14:textId="77777777" w:rsidR="00D7265E" w:rsidRPr="00800D22" w:rsidRDefault="00D7265E" w:rsidP="00DB24B0">
            <w:pPr>
              <w:widowControl/>
              <w:rPr>
                <w:kern w:val="0"/>
                <w:sz w:val="18"/>
                <w:szCs w:val="18"/>
              </w:rPr>
            </w:pPr>
            <w:r w:rsidRPr="00800D22">
              <w:rPr>
                <w:kern w:val="0"/>
                <w:sz w:val="18"/>
                <w:szCs w:val="18"/>
              </w:rPr>
              <w:t>95.91%</w:t>
            </w:r>
          </w:p>
        </w:tc>
        <w:tc>
          <w:tcPr>
            <w:tcW w:w="466" w:type="pct"/>
            <w:noWrap/>
            <w:vAlign w:val="center"/>
          </w:tcPr>
          <w:p w14:paraId="68BFE8D4" w14:textId="77777777" w:rsidR="00D7265E" w:rsidRPr="00800D22" w:rsidRDefault="00D7265E" w:rsidP="00DB24B0">
            <w:pPr>
              <w:widowControl/>
              <w:rPr>
                <w:kern w:val="0"/>
                <w:sz w:val="18"/>
                <w:szCs w:val="18"/>
              </w:rPr>
            </w:pPr>
            <w:r w:rsidRPr="00800D22">
              <w:rPr>
                <w:kern w:val="0"/>
                <w:sz w:val="18"/>
                <w:szCs w:val="18"/>
              </w:rPr>
              <w:t>95.32%</w:t>
            </w:r>
          </w:p>
        </w:tc>
        <w:tc>
          <w:tcPr>
            <w:tcW w:w="466" w:type="pct"/>
            <w:noWrap/>
            <w:vAlign w:val="center"/>
          </w:tcPr>
          <w:p w14:paraId="2554007B" w14:textId="77777777" w:rsidR="00D7265E" w:rsidRPr="00800D22" w:rsidRDefault="00D7265E" w:rsidP="00DB24B0">
            <w:pPr>
              <w:widowControl/>
              <w:rPr>
                <w:kern w:val="0"/>
                <w:sz w:val="18"/>
                <w:szCs w:val="18"/>
              </w:rPr>
            </w:pPr>
            <w:r w:rsidRPr="00800D22">
              <w:rPr>
                <w:kern w:val="0"/>
                <w:sz w:val="18"/>
                <w:szCs w:val="18"/>
              </w:rPr>
              <w:t>95.11%</w:t>
            </w:r>
          </w:p>
        </w:tc>
        <w:tc>
          <w:tcPr>
            <w:tcW w:w="466" w:type="pct"/>
            <w:noWrap/>
            <w:vAlign w:val="center"/>
          </w:tcPr>
          <w:p w14:paraId="22A34501" w14:textId="77777777" w:rsidR="00D7265E" w:rsidRPr="00800D22" w:rsidRDefault="00D7265E" w:rsidP="00DB24B0">
            <w:pPr>
              <w:widowControl/>
              <w:rPr>
                <w:kern w:val="0"/>
                <w:sz w:val="18"/>
                <w:szCs w:val="18"/>
              </w:rPr>
            </w:pPr>
            <w:r w:rsidRPr="00800D22">
              <w:rPr>
                <w:kern w:val="0"/>
                <w:sz w:val="18"/>
                <w:szCs w:val="18"/>
              </w:rPr>
              <w:t>95.00%</w:t>
            </w:r>
          </w:p>
        </w:tc>
        <w:tc>
          <w:tcPr>
            <w:tcW w:w="466" w:type="pct"/>
            <w:noWrap/>
            <w:vAlign w:val="center"/>
          </w:tcPr>
          <w:p w14:paraId="6C9AF46D" w14:textId="77777777" w:rsidR="00D7265E" w:rsidRPr="00800D22" w:rsidRDefault="00D7265E" w:rsidP="00DB24B0">
            <w:pPr>
              <w:widowControl/>
              <w:rPr>
                <w:kern w:val="0"/>
                <w:sz w:val="18"/>
                <w:szCs w:val="18"/>
              </w:rPr>
            </w:pPr>
            <w:r w:rsidRPr="00800D22">
              <w:rPr>
                <w:kern w:val="0"/>
                <w:sz w:val="18"/>
                <w:szCs w:val="18"/>
              </w:rPr>
              <w:t>95.00%</w:t>
            </w:r>
          </w:p>
        </w:tc>
      </w:tr>
      <w:tr w:rsidR="00D7265E" w:rsidRPr="00800D22" w14:paraId="4EDE2DED" w14:textId="77777777" w:rsidTr="00DB24B0">
        <w:trPr>
          <w:trHeight w:val="285"/>
        </w:trPr>
        <w:tc>
          <w:tcPr>
            <w:tcW w:w="340" w:type="pct"/>
            <w:noWrap/>
            <w:vAlign w:val="center"/>
          </w:tcPr>
          <w:p w14:paraId="07759CD7" w14:textId="77777777" w:rsidR="00D7265E" w:rsidRPr="00800D22" w:rsidRDefault="00D7265E" w:rsidP="00DB24B0">
            <w:pPr>
              <w:widowControl/>
              <w:rPr>
                <w:kern w:val="0"/>
                <w:sz w:val="18"/>
                <w:szCs w:val="18"/>
              </w:rPr>
            </w:pPr>
            <w:r w:rsidRPr="00800D22">
              <w:rPr>
                <w:kern w:val="0"/>
                <w:sz w:val="18"/>
                <w:szCs w:val="18"/>
              </w:rPr>
              <w:t>AA-</w:t>
            </w:r>
          </w:p>
        </w:tc>
        <w:tc>
          <w:tcPr>
            <w:tcW w:w="466" w:type="pct"/>
            <w:noWrap/>
            <w:vAlign w:val="center"/>
          </w:tcPr>
          <w:p w14:paraId="460EA37F" w14:textId="77777777" w:rsidR="00D7265E" w:rsidRPr="00800D22" w:rsidRDefault="00D7265E" w:rsidP="00DB24B0">
            <w:pPr>
              <w:widowControl/>
              <w:rPr>
                <w:kern w:val="0"/>
                <w:sz w:val="18"/>
                <w:szCs w:val="18"/>
              </w:rPr>
            </w:pPr>
            <w:r w:rsidRPr="00800D22">
              <w:rPr>
                <w:kern w:val="0"/>
                <w:sz w:val="18"/>
                <w:szCs w:val="18"/>
              </w:rPr>
              <w:t>98.19%</w:t>
            </w:r>
          </w:p>
        </w:tc>
        <w:tc>
          <w:tcPr>
            <w:tcW w:w="466" w:type="pct"/>
            <w:noWrap/>
            <w:vAlign w:val="center"/>
          </w:tcPr>
          <w:p w14:paraId="3AA30C3D" w14:textId="77777777" w:rsidR="00D7265E" w:rsidRPr="00800D22" w:rsidRDefault="00D7265E" w:rsidP="00DB24B0">
            <w:pPr>
              <w:widowControl/>
              <w:rPr>
                <w:kern w:val="0"/>
                <w:sz w:val="18"/>
                <w:szCs w:val="18"/>
              </w:rPr>
            </w:pPr>
            <w:r w:rsidRPr="00800D22">
              <w:rPr>
                <w:kern w:val="0"/>
                <w:sz w:val="18"/>
                <w:szCs w:val="18"/>
              </w:rPr>
              <w:t>98.95%</w:t>
            </w:r>
          </w:p>
        </w:tc>
        <w:tc>
          <w:tcPr>
            <w:tcW w:w="466" w:type="pct"/>
            <w:noWrap/>
            <w:vAlign w:val="center"/>
          </w:tcPr>
          <w:p w14:paraId="1C19567B" w14:textId="77777777" w:rsidR="00D7265E" w:rsidRPr="00800D22" w:rsidRDefault="00D7265E" w:rsidP="00DB24B0">
            <w:pPr>
              <w:widowControl/>
              <w:rPr>
                <w:kern w:val="0"/>
                <w:sz w:val="18"/>
                <w:szCs w:val="18"/>
              </w:rPr>
            </w:pPr>
            <w:r w:rsidRPr="00800D22">
              <w:rPr>
                <w:kern w:val="0"/>
                <w:sz w:val="18"/>
                <w:szCs w:val="18"/>
              </w:rPr>
              <w:t>98.80%</w:t>
            </w:r>
          </w:p>
        </w:tc>
        <w:tc>
          <w:tcPr>
            <w:tcW w:w="466" w:type="pct"/>
            <w:noWrap/>
            <w:vAlign w:val="center"/>
          </w:tcPr>
          <w:p w14:paraId="131769C1" w14:textId="77777777" w:rsidR="00D7265E" w:rsidRPr="00800D22" w:rsidRDefault="00D7265E" w:rsidP="00DB24B0">
            <w:pPr>
              <w:widowControl/>
              <w:rPr>
                <w:kern w:val="0"/>
                <w:sz w:val="18"/>
                <w:szCs w:val="18"/>
              </w:rPr>
            </w:pPr>
            <w:r w:rsidRPr="00800D22">
              <w:rPr>
                <w:kern w:val="0"/>
                <w:sz w:val="18"/>
                <w:szCs w:val="18"/>
              </w:rPr>
              <w:t>98.22%</w:t>
            </w:r>
          </w:p>
        </w:tc>
        <w:tc>
          <w:tcPr>
            <w:tcW w:w="466" w:type="pct"/>
            <w:noWrap/>
            <w:vAlign w:val="center"/>
          </w:tcPr>
          <w:p w14:paraId="0440C604" w14:textId="77777777" w:rsidR="00D7265E" w:rsidRPr="00800D22" w:rsidRDefault="00D7265E" w:rsidP="00DB24B0">
            <w:pPr>
              <w:widowControl/>
              <w:rPr>
                <w:kern w:val="0"/>
                <w:sz w:val="18"/>
                <w:szCs w:val="18"/>
              </w:rPr>
            </w:pPr>
            <w:r w:rsidRPr="00800D22">
              <w:rPr>
                <w:kern w:val="0"/>
                <w:sz w:val="18"/>
                <w:szCs w:val="18"/>
              </w:rPr>
              <w:t>97.95%</w:t>
            </w:r>
          </w:p>
        </w:tc>
        <w:tc>
          <w:tcPr>
            <w:tcW w:w="466" w:type="pct"/>
            <w:noWrap/>
            <w:vAlign w:val="center"/>
          </w:tcPr>
          <w:p w14:paraId="43F94412" w14:textId="77777777" w:rsidR="00D7265E" w:rsidRPr="00800D22" w:rsidRDefault="00D7265E" w:rsidP="00DB24B0">
            <w:pPr>
              <w:widowControl/>
              <w:rPr>
                <w:kern w:val="0"/>
                <w:sz w:val="18"/>
                <w:szCs w:val="18"/>
              </w:rPr>
            </w:pPr>
            <w:r w:rsidRPr="00800D22">
              <w:rPr>
                <w:kern w:val="0"/>
                <w:sz w:val="18"/>
                <w:szCs w:val="18"/>
              </w:rPr>
              <w:t>98.01%</w:t>
            </w:r>
          </w:p>
        </w:tc>
        <w:tc>
          <w:tcPr>
            <w:tcW w:w="466" w:type="pct"/>
            <w:noWrap/>
            <w:vAlign w:val="center"/>
          </w:tcPr>
          <w:p w14:paraId="4CB53E5B" w14:textId="77777777" w:rsidR="00D7265E" w:rsidRPr="00800D22" w:rsidRDefault="00D7265E" w:rsidP="00DB24B0">
            <w:pPr>
              <w:widowControl/>
              <w:rPr>
                <w:kern w:val="0"/>
                <w:sz w:val="18"/>
                <w:szCs w:val="18"/>
              </w:rPr>
            </w:pPr>
            <w:r w:rsidRPr="00800D22">
              <w:rPr>
                <w:kern w:val="0"/>
                <w:sz w:val="18"/>
                <w:szCs w:val="18"/>
              </w:rPr>
              <w:t>97.71%</w:t>
            </w:r>
          </w:p>
        </w:tc>
        <w:tc>
          <w:tcPr>
            <w:tcW w:w="466" w:type="pct"/>
            <w:noWrap/>
            <w:vAlign w:val="center"/>
          </w:tcPr>
          <w:p w14:paraId="6025FE66" w14:textId="77777777" w:rsidR="00D7265E" w:rsidRPr="00800D22" w:rsidRDefault="00D7265E" w:rsidP="00DB24B0">
            <w:pPr>
              <w:widowControl/>
              <w:rPr>
                <w:kern w:val="0"/>
                <w:sz w:val="18"/>
                <w:szCs w:val="18"/>
              </w:rPr>
            </w:pPr>
            <w:r w:rsidRPr="00800D22">
              <w:rPr>
                <w:kern w:val="0"/>
                <w:sz w:val="18"/>
                <w:szCs w:val="18"/>
              </w:rPr>
              <w:t>97.57%</w:t>
            </w:r>
          </w:p>
        </w:tc>
        <w:tc>
          <w:tcPr>
            <w:tcW w:w="466" w:type="pct"/>
            <w:noWrap/>
            <w:vAlign w:val="center"/>
          </w:tcPr>
          <w:p w14:paraId="2C9D8AFD" w14:textId="77777777" w:rsidR="00D7265E" w:rsidRPr="00800D22" w:rsidRDefault="00D7265E" w:rsidP="00DB24B0">
            <w:pPr>
              <w:widowControl/>
              <w:rPr>
                <w:kern w:val="0"/>
                <w:sz w:val="18"/>
                <w:szCs w:val="18"/>
              </w:rPr>
            </w:pPr>
            <w:r w:rsidRPr="00800D22">
              <w:rPr>
                <w:kern w:val="0"/>
                <w:sz w:val="18"/>
                <w:szCs w:val="18"/>
              </w:rPr>
              <w:t>97.49%</w:t>
            </w:r>
          </w:p>
        </w:tc>
        <w:tc>
          <w:tcPr>
            <w:tcW w:w="466" w:type="pct"/>
            <w:noWrap/>
            <w:vAlign w:val="center"/>
          </w:tcPr>
          <w:p w14:paraId="32E9D005" w14:textId="77777777" w:rsidR="00D7265E" w:rsidRPr="00800D22" w:rsidRDefault="00D7265E" w:rsidP="00DB24B0">
            <w:pPr>
              <w:widowControl/>
              <w:rPr>
                <w:kern w:val="0"/>
                <w:sz w:val="18"/>
                <w:szCs w:val="18"/>
              </w:rPr>
            </w:pPr>
            <w:r w:rsidRPr="00800D22">
              <w:rPr>
                <w:kern w:val="0"/>
                <w:sz w:val="18"/>
                <w:szCs w:val="18"/>
              </w:rPr>
              <w:t>97.50%</w:t>
            </w:r>
          </w:p>
        </w:tc>
      </w:tr>
      <w:tr w:rsidR="00D7265E" w:rsidRPr="00800D22" w14:paraId="704EF2E1" w14:textId="77777777" w:rsidTr="00DB24B0">
        <w:trPr>
          <w:trHeight w:val="285"/>
        </w:trPr>
        <w:tc>
          <w:tcPr>
            <w:tcW w:w="340" w:type="pct"/>
            <w:noWrap/>
            <w:vAlign w:val="center"/>
          </w:tcPr>
          <w:p w14:paraId="3C94BC55"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3109DD8D" w14:textId="77777777" w:rsidR="00D7265E" w:rsidRPr="00800D22" w:rsidRDefault="00D7265E" w:rsidP="00DB24B0">
            <w:pPr>
              <w:widowControl/>
              <w:rPr>
                <w:kern w:val="0"/>
                <w:sz w:val="18"/>
                <w:szCs w:val="18"/>
              </w:rPr>
            </w:pPr>
            <w:r w:rsidRPr="00800D22">
              <w:rPr>
                <w:kern w:val="0"/>
                <w:sz w:val="18"/>
                <w:szCs w:val="18"/>
              </w:rPr>
              <w:t>99.06%</w:t>
            </w:r>
          </w:p>
        </w:tc>
        <w:tc>
          <w:tcPr>
            <w:tcW w:w="466" w:type="pct"/>
            <w:noWrap/>
            <w:vAlign w:val="center"/>
          </w:tcPr>
          <w:p w14:paraId="62852770" w14:textId="77777777" w:rsidR="00D7265E" w:rsidRPr="00800D22" w:rsidRDefault="00D7265E" w:rsidP="00DB24B0">
            <w:pPr>
              <w:widowControl/>
              <w:rPr>
                <w:kern w:val="0"/>
                <w:sz w:val="18"/>
                <w:szCs w:val="18"/>
              </w:rPr>
            </w:pPr>
            <w:r w:rsidRPr="00800D22">
              <w:rPr>
                <w:kern w:val="0"/>
                <w:sz w:val="18"/>
                <w:szCs w:val="18"/>
              </w:rPr>
              <w:t>99.46%</w:t>
            </w:r>
          </w:p>
        </w:tc>
        <w:tc>
          <w:tcPr>
            <w:tcW w:w="466" w:type="pct"/>
            <w:noWrap/>
            <w:vAlign w:val="center"/>
          </w:tcPr>
          <w:p w14:paraId="2946DCE3" w14:textId="77777777" w:rsidR="00D7265E" w:rsidRPr="00800D22" w:rsidRDefault="00D7265E" w:rsidP="00DB24B0">
            <w:pPr>
              <w:widowControl/>
              <w:rPr>
                <w:kern w:val="0"/>
                <w:sz w:val="18"/>
                <w:szCs w:val="18"/>
              </w:rPr>
            </w:pPr>
            <w:r w:rsidRPr="00800D22">
              <w:rPr>
                <w:kern w:val="0"/>
                <w:sz w:val="18"/>
                <w:szCs w:val="18"/>
              </w:rPr>
              <w:t>99.39%</w:t>
            </w:r>
          </w:p>
        </w:tc>
        <w:tc>
          <w:tcPr>
            <w:tcW w:w="466" w:type="pct"/>
            <w:noWrap/>
            <w:vAlign w:val="center"/>
          </w:tcPr>
          <w:p w14:paraId="1E94CB35" w14:textId="77777777" w:rsidR="00D7265E" w:rsidRPr="00800D22" w:rsidRDefault="00D7265E" w:rsidP="00DB24B0">
            <w:pPr>
              <w:widowControl/>
              <w:rPr>
                <w:kern w:val="0"/>
                <w:sz w:val="18"/>
                <w:szCs w:val="18"/>
              </w:rPr>
            </w:pPr>
            <w:r w:rsidRPr="00800D22">
              <w:rPr>
                <w:kern w:val="0"/>
                <w:sz w:val="18"/>
                <w:szCs w:val="18"/>
              </w:rPr>
              <w:t>99.05%</w:t>
            </w:r>
          </w:p>
        </w:tc>
        <w:tc>
          <w:tcPr>
            <w:tcW w:w="466" w:type="pct"/>
            <w:noWrap/>
            <w:vAlign w:val="center"/>
          </w:tcPr>
          <w:p w14:paraId="4D446275" w14:textId="77777777" w:rsidR="00D7265E" w:rsidRPr="00800D22" w:rsidRDefault="00D7265E" w:rsidP="00DB24B0">
            <w:pPr>
              <w:widowControl/>
              <w:rPr>
                <w:kern w:val="0"/>
                <w:sz w:val="18"/>
                <w:szCs w:val="18"/>
              </w:rPr>
            </w:pPr>
            <w:r w:rsidRPr="00800D22">
              <w:rPr>
                <w:kern w:val="0"/>
                <w:sz w:val="18"/>
                <w:szCs w:val="18"/>
              </w:rPr>
              <w:t>98.89%</w:t>
            </w:r>
          </w:p>
        </w:tc>
        <w:tc>
          <w:tcPr>
            <w:tcW w:w="466" w:type="pct"/>
            <w:noWrap/>
            <w:vAlign w:val="center"/>
          </w:tcPr>
          <w:p w14:paraId="5381F0CE" w14:textId="77777777" w:rsidR="00D7265E" w:rsidRPr="00800D22" w:rsidRDefault="00D7265E" w:rsidP="00DB24B0">
            <w:pPr>
              <w:widowControl/>
              <w:rPr>
                <w:kern w:val="0"/>
                <w:sz w:val="18"/>
                <w:szCs w:val="18"/>
              </w:rPr>
            </w:pPr>
            <w:r w:rsidRPr="00800D22">
              <w:rPr>
                <w:kern w:val="0"/>
                <w:sz w:val="18"/>
                <w:szCs w:val="18"/>
              </w:rPr>
              <w:t>98.90%</w:t>
            </w:r>
          </w:p>
        </w:tc>
        <w:tc>
          <w:tcPr>
            <w:tcW w:w="466" w:type="pct"/>
            <w:noWrap/>
            <w:vAlign w:val="center"/>
          </w:tcPr>
          <w:p w14:paraId="3AFFE18F" w14:textId="77777777" w:rsidR="00D7265E" w:rsidRPr="00800D22" w:rsidRDefault="00D7265E" w:rsidP="00DB24B0">
            <w:pPr>
              <w:widowControl/>
              <w:rPr>
                <w:kern w:val="0"/>
                <w:sz w:val="18"/>
                <w:szCs w:val="18"/>
              </w:rPr>
            </w:pPr>
            <w:r w:rsidRPr="00800D22">
              <w:rPr>
                <w:kern w:val="0"/>
                <w:sz w:val="18"/>
                <w:szCs w:val="18"/>
              </w:rPr>
              <w:t>98.72%</w:t>
            </w:r>
          </w:p>
        </w:tc>
        <w:tc>
          <w:tcPr>
            <w:tcW w:w="466" w:type="pct"/>
            <w:noWrap/>
            <w:vAlign w:val="center"/>
          </w:tcPr>
          <w:p w14:paraId="057CF2CF" w14:textId="77777777" w:rsidR="00D7265E" w:rsidRPr="00800D22" w:rsidRDefault="00D7265E" w:rsidP="00DB24B0">
            <w:pPr>
              <w:widowControl/>
              <w:rPr>
                <w:kern w:val="0"/>
                <w:sz w:val="18"/>
                <w:szCs w:val="18"/>
              </w:rPr>
            </w:pPr>
            <w:r w:rsidRPr="00800D22">
              <w:rPr>
                <w:kern w:val="0"/>
                <w:sz w:val="18"/>
                <w:szCs w:val="18"/>
              </w:rPr>
              <w:t>98.63%</w:t>
            </w:r>
          </w:p>
        </w:tc>
        <w:tc>
          <w:tcPr>
            <w:tcW w:w="466" w:type="pct"/>
            <w:noWrap/>
            <w:vAlign w:val="center"/>
          </w:tcPr>
          <w:p w14:paraId="257BAA18" w14:textId="77777777" w:rsidR="00D7265E" w:rsidRPr="00800D22" w:rsidRDefault="00D7265E" w:rsidP="00DB24B0">
            <w:pPr>
              <w:widowControl/>
              <w:rPr>
                <w:kern w:val="0"/>
                <w:sz w:val="18"/>
                <w:szCs w:val="18"/>
              </w:rPr>
            </w:pPr>
            <w:r w:rsidRPr="00800D22">
              <w:rPr>
                <w:kern w:val="0"/>
                <w:sz w:val="18"/>
                <w:szCs w:val="18"/>
              </w:rPr>
              <w:t>98.57%</w:t>
            </w:r>
          </w:p>
        </w:tc>
        <w:tc>
          <w:tcPr>
            <w:tcW w:w="466" w:type="pct"/>
            <w:noWrap/>
            <w:vAlign w:val="center"/>
          </w:tcPr>
          <w:p w14:paraId="14392BB8" w14:textId="77777777" w:rsidR="00D7265E" w:rsidRPr="00800D22" w:rsidRDefault="00D7265E" w:rsidP="00DB24B0">
            <w:pPr>
              <w:widowControl/>
              <w:rPr>
                <w:kern w:val="0"/>
                <w:sz w:val="18"/>
                <w:szCs w:val="18"/>
              </w:rPr>
            </w:pPr>
            <w:r w:rsidRPr="00800D22">
              <w:rPr>
                <w:kern w:val="0"/>
                <w:sz w:val="18"/>
                <w:szCs w:val="18"/>
              </w:rPr>
              <w:t>98.57%</w:t>
            </w:r>
          </w:p>
        </w:tc>
      </w:tr>
      <w:tr w:rsidR="00D7265E" w:rsidRPr="00800D22" w14:paraId="04019038" w14:textId="77777777" w:rsidTr="00DB24B0">
        <w:trPr>
          <w:trHeight w:val="285"/>
        </w:trPr>
        <w:tc>
          <w:tcPr>
            <w:tcW w:w="340" w:type="pct"/>
            <w:noWrap/>
            <w:vAlign w:val="center"/>
          </w:tcPr>
          <w:p w14:paraId="1FC8950E"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6D0B028A" w14:textId="77777777" w:rsidR="00D7265E" w:rsidRPr="00800D22" w:rsidRDefault="00D7265E" w:rsidP="00DB24B0">
            <w:pPr>
              <w:widowControl/>
              <w:rPr>
                <w:kern w:val="0"/>
                <w:sz w:val="18"/>
                <w:szCs w:val="18"/>
              </w:rPr>
            </w:pPr>
            <w:r w:rsidRPr="00800D22">
              <w:rPr>
                <w:kern w:val="0"/>
                <w:sz w:val="18"/>
                <w:szCs w:val="18"/>
              </w:rPr>
              <w:t>99.50%</w:t>
            </w:r>
          </w:p>
        </w:tc>
        <w:tc>
          <w:tcPr>
            <w:tcW w:w="466" w:type="pct"/>
            <w:noWrap/>
            <w:vAlign w:val="center"/>
          </w:tcPr>
          <w:p w14:paraId="5A6D5AC6" w14:textId="77777777" w:rsidR="00D7265E" w:rsidRPr="00800D22" w:rsidRDefault="00D7265E" w:rsidP="00DB24B0">
            <w:pPr>
              <w:widowControl/>
              <w:rPr>
                <w:kern w:val="0"/>
                <w:sz w:val="18"/>
                <w:szCs w:val="18"/>
              </w:rPr>
            </w:pPr>
            <w:r w:rsidRPr="00800D22">
              <w:rPr>
                <w:kern w:val="0"/>
                <w:sz w:val="18"/>
                <w:szCs w:val="18"/>
              </w:rPr>
              <w:t>99.71%</w:t>
            </w:r>
          </w:p>
        </w:tc>
        <w:tc>
          <w:tcPr>
            <w:tcW w:w="466" w:type="pct"/>
            <w:noWrap/>
            <w:vAlign w:val="center"/>
          </w:tcPr>
          <w:p w14:paraId="30403479" w14:textId="77777777" w:rsidR="00D7265E" w:rsidRPr="00800D22" w:rsidRDefault="00D7265E" w:rsidP="00DB24B0">
            <w:pPr>
              <w:widowControl/>
              <w:rPr>
                <w:kern w:val="0"/>
                <w:sz w:val="18"/>
                <w:szCs w:val="18"/>
              </w:rPr>
            </w:pPr>
            <w:r w:rsidRPr="00800D22">
              <w:rPr>
                <w:kern w:val="0"/>
                <w:sz w:val="18"/>
                <w:szCs w:val="18"/>
              </w:rPr>
              <w:t>99.68%</w:t>
            </w:r>
          </w:p>
        </w:tc>
        <w:tc>
          <w:tcPr>
            <w:tcW w:w="466" w:type="pct"/>
            <w:noWrap/>
            <w:vAlign w:val="center"/>
          </w:tcPr>
          <w:p w14:paraId="2A29D7EE" w14:textId="77777777" w:rsidR="00D7265E" w:rsidRPr="00800D22" w:rsidRDefault="00D7265E" w:rsidP="00DB24B0">
            <w:pPr>
              <w:widowControl/>
              <w:rPr>
                <w:kern w:val="0"/>
                <w:sz w:val="18"/>
                <w:szCs w:val="18"/>
              </w:rPr>
            </w:pPr>
            <w:r w:rsidRPr="00800D22">
              <w:rPr>
                <w:kern w:val="0"/>
                <w:sz w:val="18"/>
                <w:szCs w:val="18"/>
              </w:rPr>
              <w:t>99.48%</w:t>
            </w:r>
          </w:p>
        </w:tc>
        <w:tc>
          <w:tcPr>
            <w:tcW w:w="466" w:type="pct"/>
            <w:noWrap/>
            <w:vAlign w:val="center"/>
          </w:tcPr>
          <w:p w14:paraId="224D945D" w14:textId="77777777" w:rsidR="00D7265E" w:rsidRPr="00800D22" w:rsidRDefault="00D7265E" w:rsidP="00DB24B0">
            <w:pPr>
              <w:widowControl/>
              <w:rPr>
                <w:kern w:val="0"/>
                <w:sz w:val="18"/>
                <w:szCs w:val="18"/>
              </w:rPr>
            </w:pPr>
            <w:r w:rsidRPr="00800D22">
              <w:rPr>
                <w:kern w:val="0"/>
                <w:sz w:val="18"/>
                <w:szCs w:val="18"/>
              </w:rPr>
              <w:t>99.38%</w:t>
            </w:r>
          </w:p>
        </w:tc>
        <w:tc>
          <w:tcPr>
            <w:tcW w:w="466" w:type="pct"/>
            <w:noWrap/>
            <w:vAlign w:val="center"/>
          </w:tcPr>
          <w:p w14:paraId="15417187" w14:textId="77777777" w:rsidR="00D7265E" w:rsidRPr="00800D22" w:rsidRDefault="00D7265E" w:rsidP="00DB24B0">
            <w:pPr>
              <w:widowControl/>
              <w:rPr>
                <w:kern w:val="0"/>
                <w:sz w:val="18"/>
                <w:szCs w:val="18"/>
              </w:rPr>
            </w:pPr>
            <w:r w:rsidRPr="00800D22">
              <w:rPr>
                <w:kern w:val="0"/>
                <w:sz w:val="18"/>
                <w:szCs w:val="18"/>
              </w:rPr>
              <w:t>99.38%</w:t>
            </w:r>
          </w:p>
        </w:tc>
        <w:tc>
          <w:tcPr>
            <w:tcW w:w="466" w:type="pct"/>
            <w:noWrap/>
            <w:vAlign w:val="center"/>
          </w:tcPr>
          <w:p w14:paraId="0AAD154C" w14:textId="77777777" w:rsidR="00D7265E" w:rsidRPr="00800D22" w:rsidRDefault="00D7265E" w:rsidP="00DB24B0">
            <w:pPr>
              <w:widowControl/>
              <w:rPr>
                <w:kern w:val="0"/>
                <w:sz w:val="18"/>
                <w:szCs w:val="18"/>
              </w:rPr>
            </w:pPr>
            <w:r w:rsidRPr="00800D22">
              <w:rPr>
                <w:kern w:val="0"/>
                <w:sz w:val="18"/>
                <w:szCs w:val="18"/>
              </w:rPr>
              <w:t>99.27%</w:t>
            </w:r>
          </w:p>
        </w:tc>
        <w:tc>
          <w:tcPr>
            <w:tcW w:w="466" w:type="pct"/>
            <w:noWrap/>
            <w:vAlign w:val="center"/>
          </w:tcPr>
          <w:p w14:paraId="2D16C280" w14:textId="77777777" w:rsidR="00D7265E" w:rsidRPr="00800D22" w:rsidRDefault="00D7265E" w:rsidP="00DB24B0">
            <w:pPr>
              <w:widowControl/>
              <w:rPr>
                <w:kern w:val="0"/>
                <w:sz w:val="18"/>
                <w:szCs w:val="18"/>
              </w:rPr>
            </w:pPr>
            <w:r w:rsidRPr="00800D22">
              <w:rPr>
                <w:kern w:val="0"/>
                <w:sz w:val="18"/>
                <w:szCs w:val="18"/>
              </w:rPr>
              <w:t>99.20%</w:t>
            </w:r>
          </w:p>
        </w:tc>
        <w:tc>
          <w:tcPr>
            <w:tcW w:w="466" w:type="pct"/>
            <w:noWrap/>
            <w:vAlign w:val="center"/>
          </w:tcPr>
          <w:p w14:paraId="5D3083B0" w14:textId="77777777" w:rsidR="00D7265E" w:rsidRPr="00800D22" w:rsidRDefault="00D7265E" w:rsidP="00DB24B0">
            <w:pPr>
              <w:widowControl/>
              <w:rPr>
                <w:kern w:val="0"/>
                <w:sz w:val="18"/>
                <w:szCs w:val="18"/>
              </w:rPr>
            </w:pPr>
            <w:r w:rsidRPr="00800D22">
              <w:rPr>
                <w:kern w:val="0"/>
                <w:sz w:val="18"/>
                <w:szCs w:val="18"/>
              </w:rPr>
              <w:t>99.16%</w:t>
            </w:r>
          </w:p>
        </w:tc>
        <w:tc>
          <w:tcPr>
            <w:tcW w:w="466" w:type="pct"/>
            <w:noWrap/>
            <w:vAlign w:val="center"/>
          </w:tcPr>
          <w:p w14:paraId="2938D2F3" w14:textId="77777777" w:rsidR="00D7265E" w:rsidRPr="00800D22" w:rsidRDefault="00D7265E" w:rsidP="00DB24B0">
            <w:pPr>
              <w:widowControl/>
              <w:rPr>
                <w:kern w:val="0"/>
                <w:sz w:val="18"/>
                <w:szCs w:val="18"/>
              </w:rPr>
            </w:pPr>
            <w:r w:rsidRPr="00800D22">
              <w:rPr>
                <w:kern w:val="0"/>
                <w:sz w:val="18"/>
                <w:szCs w:val="18"/>
              </w:rPr>
              <w:t>99.17%</w:t>
            </w:r>
          </w:p>
        </w:tc>
      </w:tr>
      <w:tr w:rsidR="00D7265E" w:rsidRPr="00800D22" w14:paraId="0EEE38DD" w14:textId="77777777" w:rsidTr="00DB24B0">
        <w:trPr>
          <w:trHeight w:val="285"/>
        </w:trPr>
        <w:tc>
          <w:tcPr>
            <w:tcW w:w="340" w:type="pct"/>
            <w:tcBorders>
              <w:bottom w:val="single" w:sz="4" w:space="0" w:color="auto"/>
            </w:tcBorders>
            <w:noWrap/>
            <w:vAlign w:val="center"/>
          </w:tcPr>
          <w:p w14:paraId="4B0662F3"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bottom w:val="single" w:sz="4" w:space="0" w:color="auto"/>
            </w:tcBorders>
            <w:noWrap/>
            <w:vAlign w:val="center"/>
          </w:tcPr>
          <w:p w14:paraId="4F0EDD5E" w14:textId="77777777" w:rsidR="00D7265E" w:rsidRPr="00800D22" w:rsidRDefault="00D7265E" w:rsidP="00DB24B0">
            <w:pPr>
              <w:widowControl/>
              <w:rPr>
                <w:kern w:val="0"/>
                <w:sz w:val="18"/>
                <w:szCs w:val="18"/>
              </w:rPr>
            </w:pPr>
            <w:r w:rsidRPr="00800D22">
              <w:rPr>
                <w:kern w:val="0"/>
                <w:sz w:val="18"/>
                <w:szCs w:val="18"/>
              </w:rPr>
              <w:t>99.86%</w:t>
            </w:r>
          </w:p>
        </w:tc>
        <w:tc>
          <w:tcPr>
            <w:tcW w:w="466" w:type="pct"/>
            <w:tcBorders>
              <w:bottom w:val="single" w:sz="4" w:space="0" w:color="auto"/>
            </w:tcBorders>
            <w:noWrap/>
            <w:vAlign w:val="center"/>
          </w:tcPr>
          <w:p w14:paraId="084F37DE" w14:textId="77777777" w:rsidR="00D7265E" w:rsidRPr="00800D22" w:rsidRDefault="00D7265E" w:rsidP="00DB24B0">
            <w:pPr>
              <w:widowControl/>
              <w:rPr>
                <w:kern w:val="0"/>
                <w:sz w:val="18"/>
                <w:szCs w:val="18"/>
              </w:rPr>
            </w:pPr>
            <w:r w:rsidRPr="00800D22">
              <w:rPr>
                <w:kern w:val="0"/>
                <w:sz w:val="18"/>
                <w:szCs w:val="18"/>
              </w:rPr>
              <w:t>99.87%</w:t>
            </w:r>
          </w:p>
        </w:tc>
        <w:tc>
          <w:tcPr>
            <w:tcW w:w="466" w:type="pct"/>
            <w:tcBorders>
              <w:bottom w:val="single" w:sz="4" w:space="0" w:color="auto"/>
            </w:tcBorders>
            <w:noWrap/>
            <w:vAlign w:val="center"/>
          </w:tcPr>
          <w:p w14:paraId="621EF585" w14:textId="77777777" w:rsidR="00D7265E" w:rsidRPr="00800D22" w:rsidRDefault="00D7265E" w:rsidP="00DB24B0">
            <w:pPr>
              <w:widowControl/>
              <w:rPr>
                <w:kern w:val="0"/>
                <w:sz w:val="18"/>
                <w:szCs w:val="18"/>
              </w:rPr>
            </w:pPr>
            <w:r w:rsidRPr="00800D22">
              <w:rPr>
                <w:kern w:val="0"/>
                <w:sz w:val="18"/>
                <w:szCs w:val="18"/>
              </w:rPr>
              <w:t>99.80%</w:t>
            </w:r>
          </w:p>
        </w:tc>
        <w:tc>
          <w:tcPr>
            <w:tcW w:w="466" w:type="pct"/>
            <w:tcBorders>
              <w:bottom w:val="single" w:sz="4" w:space="0" w:color="auto"/>
            </w:tcBorders>
            <w:noWrap/>
            <w:vAlign w:val="center"/>
          </w:tcPr>
          <w:p w14:paraId="58BDE028" w14:textId="77777777" w:rsidR="00D7265E" w:rsidRPr="00800D22" w:rsidRDefault="00D7265E" w:rsidP="00DB24B0">
            <w:pPr>
              <w:widowControl/>
              <w:rPr>
                <w:kern w:val="0"/>
                <w:sz w:val="18"/>
                <w:szCs w:val="18"/>
              </w:rPr>
            </w:pPr>
            <w:r w:rsidRPr="00800D22">
              <w:rPr>
                <w:kern w:val="0"/>
                <w:sz w:val="18"/>
                <w:szCs w:val="18"/>
              </w:rPr>
              <w:t>99.67%</w:t>
            </w:r>
          </w:p>
        </w:tc>
        <w:tc>
          <w:tcPr>
            <w:tcW w:w="466" w:type="pct"/>
            <w:tcBorders>
              <w:bottom w:val="single" w:sz="4" w:space="0" w:color="auto"/>
            </w:tcBorders>
            <w:noWrap/>
            <w:vAlign w:val="center"/>
          </w:tcPr>
          <w:p w14:paraId="074D4D81" w14:textId="77777777" w:rsidR="00D7265E" w:rsidRPr="00800D22" w:rsidRDefault="00D7265E" w:rsidP="00DB24B0">
            <w:pPr>
              <w:widowControl/>
              <w:rPr>
                <w:kern w:val="0"/>
                <w:sz w:val="18"/>
                <w:szCs w:val="18"/>
              </w:rPr>
            </w:pPr>
            <w:r w:rsidRPr="00800D22">
              <w:rPr>
                <w:kern w:val="0"/>
                <w:sz w:val="18"/>
                <w:szCs w:val="18"/>
              </w:rPr>
              <w:t>99.60%</w:t>
            </w:r>
          </w:p>
        </w:tc>
        <w:tc>
          <w:tcPr>
            <w:tcW w:w="466" w:type="pct"/>
            <w:tcBorders>
              <w:bottom w:val="single" w:sz="4" w:space="0" w:color="auto"/>
            </w:tcBorders>
            <w:noWrap/>
            <w:vAlign w:val="center"/>
          </w:tcPr>
          <w:p w14:paraId="3BA301B7" w14:textId="77777777" w:rsidR="00D7265E" w:rsidRPr="00800D22" w:rsidRDefault="00D7265E" w:rsidP="00DB24B0">
            <w:pPr>
              <w:widowControl/>
              <w:rPr>
                <w:kern w:val="0"/>
                <w:sz w:val="18"/>
                <w:szCs w:val="18"/>
              </w:rPr>
            </w:pPr>
            <w:r w:rsidRPr="00800D22">
              <w:rPr>
                <w:kern w:val="0"/>
                <w:sz w:val="18"/>
                <w:szCs w:val="18"/>
              </w:rPr>
              <w:t>99.60%</w:t>
            </w:r>
          </w:p>
        </w:tc>
        <w:tc>
          <w:tcPr>
            <w:tcW w:w="466" w:type="pct"/>
            <w:tcBorders>
              <w:bottom w:val="single" w:sz="4" w:space="0" w:color="auto"/>
            </w:tcBorders>
            <w:noWrap/>
            <w:vAlign w:val="center"/>
          </w:tcPr>
          <w:p w14:paraId="778597A1" w14:textId="77777777" w:rsidR="00D7265E" w:rsidRPr="00800D22" w:rsidRDefault="00D7265E" w:rsidP="00DB24B0">
            <w:pPr>
              <w:widowControl/>
              <w:rPr>
                <w:kern w:val="0"/>
                <w:sz w:val="18"/>
                <w:szCs w:val="18"/>
              </w:rPr>
            </w:pPr>
            <w:r w:rsidRPr="00800D22">
              <w:rPr>
                <w:kern w:val="0"/>
                <w:sz w:val="18"/>
                <w:szCs w:val="18"/>
              </w:rPr>
              <w:t>99.53%</w:t>
            </w:r>
          </w:p>
        </w:tc>
        <w:tc>
          <w:tcPr>
            <w:tcW w:w="466" w:type="pct"/>
            <w:tcBorders>
              <w:bottom w:val="single" w:sz="4" w:space="0" w:color="auto"/>
            </w:tcBorders>
            <w:noWrap/>
            <w:vAlign w:val="center"/>
          </w:tcPr>
          <w:p w14:paraId="5B16E6A2" w14:textId="77777777" w:rsidR="00D7265E" w:rsidRPr="00800D22" w:rsidRDefault="00D7265E" w:rsidP="00DB24B0">
            <w:pPr>
              <w:widowControl/>
              <w:rPr>
                <w:kern w:val="0"/>
                <w:sz w:val="18"/>
                <w:szCs w:val="18"/>
              </w:rPr>
            </w:pPr>
            <w:r w:rsidRPr="00800D22">
              <w:rPr>
                <w:kern w:val="0"/>
                <w:sz w:val="18"/>
                <w:szCs w:val="18"/>
              </w:rPr>
              <w:t>99.49%</w:t>
            </w:r>
          </w:p>
        </w:tc>
        <w:tc>
          <w:tcPr>
            <w:tcW w:w="466" w:type="pct"/>
            <w:tcBorders>
              <w:bottom w:val="single" w:sz="4" w:space="0" w:color="auto"/>
            </w:tcBorders>
            <w:noWrap/>
            <w:vAlign w:val="center"/>
          </w:tcPr>
          <w:p w14:paraId="189ACB77" w14:textId="77777777" w:rsidR="00D7265E" w:rsidRPr="00800D22" w:rsidRDefault="00D7265E" w:rsidP="00DB24B0">
            <w:pPr>
              <w:widowControl/>
              <w:rPr>
                <w:kern w:val="0"/>
                <w:sz w:val="18"/>
                <w:szCs w:val="18"/>
              </w:rPr>
            </w:pPr>
            <w:r w:rsidRPr="00800D22">
              <w:rPr>
                <w:kern w:val="0"/>
                <w:sz w:val="18"/>
                <w:szCs w:val="18"/>
              </w:rPr>
              <w:t>99.46%</w:t>
            </w:r>
          </w:p>
        </w:tc>
        <w:tc>
          <w:tcPr>
            <w:tcW w:w="466" w:type="pct"/>
            <w:tcBorders>
              <w:bottom w:val="single" w:sz="4" w:space="0" w:color="auto"/>
            </w:tcBorders>
            <w:noWrap/>
            <w:vAlign w:val="center"/>
          </w:tcPr>
          <w:p w14:paraId="057C5C51" w14:textId="77777777" w:rsidR="00D7265E" w:rsidRPr="00800D22" w:rsidRDefault="00D7265E" w:rsidP="00DB24B0">
            <w:pPr>
              <w:widowControl/>
              <w:rPr>
                <w:kern w:val="0"/>
                <w:sz w:val="18"/>
                <w:szCs w:val="18"/>
              </w:rPr>
            </w:pPr>
            <w:r w:rsidRPr="00800D22">
              <w:rPr>
                <w:kern w:val="0"/>
                <w:sz w:val="18"/>
                <w:szCs w:val="18"/>
              </w:rPr>
              <w:t>99.44%</w:t>
            </w:r>
          </w:p>
        </w:tc>
      </w:tr>
      <w:tr w:rsidR="00D7265E" w:rsidRPr="00800D22" w14:paraId="2AC931E6" w14:textId="77777777" w:rsidTr="00DB24B0">
        <w:trPr>
          <w:trHeight w:val="285"/>
        </w:trPr>
        <w:tc>
          <w:tcPr>
            <w:tcW w:w="5000" w:type="pct"/>
            <w:gridSpan w:val="11"/>
            <w:tcBorders>
              <w:top w:val="single" w:sz="4" w:space="0" w:color="auto"/>
              <w:bottom w:val="nil"/>
            </w:tcBorders>
            <w:noWrap/>
            <w:vAlign w:val="center"/>
          </w:tcPr>
          <w:p w14:paraId="64083AEB"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AA+</w:t>
            </w:r>
          </w:p>
        </w:tc>
      </w:tr>
      <w:tr w:rsidR="00D7265E" w:rsidRPr="00800D22" w14:paraId="58F68E6C" w14:textId="77777777" w:rsidTr="00DB24B0">
        <w:trPr>
          <w:trHeight w:val="285"/>
        </w:trPr>
        <w:tc>
          <w:tcPr>
            <w:tcW w:w="340" w:type="pct"/>
            <w:tcBorders>
              <w:top w:val="nil"/>
              <w:bottom w:val="single" w:sz="4" w:space="0" w:color="auto"/>
            </w:tcBorders>
            <w:noWrap/>
            <w:vAlign w:val="center"/>
          </w:tcPr>
          <w:p w14:paraId="038C06F2"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2DF322D8"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638C8365"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2099AC1C"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426C6FA9"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550476CB"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274E1FC4"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7B2569C2"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65572339"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5AEF2356"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232B8E15"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31973AE7" w14:textId="77777777" w:rsidTr="00DB24B0">
        <w:trPr>
          <w:trHeight w:val="285"/>
        </w:trPr>
        <w:tc>
          <w:tcPr>
            <w:tcW w:w="340" w:type="pct"/>
            <w:tcBorders>
              <w:top w:val="single" w:sz="4" w:space="0" w:color="auto"/>
            </w:tcBorders>
            <w:noWrap/>
            <w:vAlign w:val="center"/>
          </w:tcPr>
          <w:p w14:paraId="05C2BA6D" w14:textId="77777777" w:rsidR="00D7265E" w:rsidRPr="00800D22" w:rsidRDefault="00D7265E" w:rsidP="00DB24B0">
            <w:pPr>
              <w:widowControl/>
              <w:rPr>
                <w:kern w:val="0"/>
                <w:sz w:val="18"/>
                <w:szCs w:val="18"/>
              </w:rPr>
            </w:pPr>
            <w:r w:rsidRPr="00800D22">
              <w:rPr>
                <w:kern w:val="0"/>
                <w:sz w:val="18"/>
                <w:szCs w:val="18"/>
              </w:rPr>
              <w:t>AA</w:t>
            </w:r>
          </w:p>
        </w:tc>
        <w:tc>
          <w:tcPr>
            <w:tcW w:w="466" w:type="pct"/>
            <w:tcBorders>
              <w:top w:val="single" w:sz="4" w:space="0" w:color="auto"/>
            </w:tcBorders>
            <w:noWrap/>
            <w:vAlign w:val="center"/>
          </w:tcPr>
          <w:p w14:paraId="1A769E5F" w14:textId="77777777" w:rsidR="00D7265E" w:rsidRPr="00800D22" w:rsidRDefault="00D7265E" w:rsidP="00DB24B0">
            <w:pPr>
              <w:widowControl/>
              <w:rPr>
                <w:kern w:val="0"/>
                <w:sz w:val="18"/>
                <w:szCs w:val="18"/>
              </w:rPr>
            </w:pPr>
            <w:r w:rsidRPr="00800D22">
              <w:rPr>
                <w:kern w:val="0"/>
                <w:sz w:val="18"/>
                <w:szCs w:val="18"/>
              </w:rPr>
              <w:t>58.67%</w:t>
            </w:r>
          </w:p>
        </w:tc>
        <w:tc>
          <w:tcPr>
            <w:tcW w:w="466" w:type="pct"/>
            <w:tcBorders>
              <w:top w:val="single" w:sz="4" w:space="0" w:color="auto"/>
            </w:tcBorders>
            <w:noWrap/>
            <w:vAlign w:val="center"/>
          </w:tcPr>
          <w:p w14:paraId="53A673E2" w14:textId="77777777" w:rsidR="00D7265E" w:rsidRPr="00800D22" w:rsidRDefault="00D7265E" w:rsidP="00DB24B0">
            <w:pPr>
              <w:widowControl/>
              <w:rPr>
                <w:kern w:val="0"/>
                <w:sz w:val="18"/>
                <w:szCs w:val="18"/>
              </w:rPr>
            </w:pPr>
            <w:r w:rsidRPr="00800D22">
              <w:rPr>
                <w:kern w:val="0"/>
                <w:sz w:val="18"/>
                <w:szCs w:val="18"/>
              </w:rPr>
              <w:t>62.50%</w:t>
            </w:r>
          </w:p>
        </w:tc>
        <w:tc>
          <w:tcPr>
            <w:tcW w:w="466" w:type="pct"/>
            <w:tcBorders>
              <w:top w:val="single" w:sz="4" w:space="0" w:color="auto"/>
            </w:tcBorders>
            <w:noWrap/>
            <w:vAlign w:val="center"/>
          </w:tcPr>
          <w:p w14:paraId="33B888FB" w14:textId="77777777" w:rsidR="00D7265E" w:rsidRPr="00800D22" w:rsidRDefault="00D7265E" w:rsidP="00DB24B0">
            <w:pPr>
              <w:widowControl/>
              <w:rPr>
                <w:kern w:val="0"/>
                <w:sz w:val="18"/>
                <w:szCs w:val="18"/>
              </w:rPr>
            </w:pPr>
            <w:r w:rsidRPr="00800D22">
              <w:rPr>
                <w:kern w:val="0"/>
                <w:sz w:val="18"/>
                <w:szCs w:val="18"/>
              </w:rPr>
              <w:t>61.27%</w:t>
            </w:r>
          </w:p>
        </w:tc>
        <w:tc>
          <w:tcPr>
            <w:tcW w:w="466" w:type="pct"/>
            <w:tcBorders>
              <w:top w:val="single" w:sz="4" w:space="0" w:color="auto"/>
            </w:tcBorders>
            <w:noWrap/>
            <w:vAlign w:val="center"/>
          </w:tcPr>
          <w:p w14:paraId="496BE3E5" w14:textId="77777777" w:rsidR="00D7265E" w:rsidRPr="00800D22" w:rsidRDefault="00D7265E" w:rsidP="00DB24B0">
            <w:pPr>
              <w:widowControl/>
              <w:rPr>
                <w:kern w:val="0"/>
                <w:sz w:val="18"/>
                <w:szCs w:val="18"/>
              </w:rPr>
            </w:pPr>
            <w:r w:rsidRPr="00800D22">
              <w:rPr>
                <w:kern w:val="0"/>
                <w:sz w:val="18"/>
                <w:szCs w:val="18"/>
              </w:rPr>
              <w:t>55.32%</w:t>
            </w:r>
          </w:p>
        </w:tc>
        <w:tc>
          <w:tcPr>
            <w:tcW w:w="466" w:type="pct"/>
            <w:tcBorders>
              <w:top w:val="single" w:sz="4" w:space="0" w:color="auto"/>
            </w:tcBorders>
            <w:noWrap/>
            <w:vAlign w:val="center"/>
          </w:tcPr>
          <w:p w14:paraId="4B129272" w14:textId="77777777" w:rsidR="00D7265E" w:rsidRPr="00800D22" w:rsidRDefault="00D7265E" w:rsidP="00DB24B0">
            <w:pPr>
              <w:widowControl/>
              <w:rPr>
                <w:kern w:val="0"/>
                <w:sz w:val="18"/>
                <w:szCs w:val="18"/>
              </w:rPr>
            </w:pPr>
            <w:r w:rsidRPr="00800D22">
              <w:rPr>
                <w:kern w:val="0"/>
                <w:sz w:val="18"/>
                <w:szCs w:val="18"/>
              </w:rPr>
              <w:t>54.41%</w:t>
            </w:r>
          </w:p>
        </w:tc>
        <w:tc>
          <w:tcPr>
            <w:tcW w:w="466" w:type="pct"/>
            <w:tcBorders>
              <w:top w:val="single" w:sz="4" w:space="0" w:color="auto"/>
            </w:tcBorders>
            <w:noWrap/>
            <w:vAlign w:val="center"/>
          </w:tcPr>
          <w:p w14:paraId="2288F97B" w14:textId="77777777" w:rsidR="00D7265E" w:rsidRPr="00800D22" w:rsidRDefault="00D7265E" w:rsidP="00DB24B0">
            <w:pPr>
              <w:widowControl/>
              <w:rPr>
                <w:kern w:val="0"/>
                <w:sz w:val="18"/>
                <w:szCs w:val="18"/>
              </w:rPr>
            </w:pPr>
            <w:r w:rsidRPr="00800D22">
              <w:rPr>
                <w:kern w:val="0"/>
                <w:sz w:val="18"/>
                <w:szCs w:val="18"/>
              </w:rPr>
              <w:t>52.81%</w:t>
            </w:r>
          </w:p>
        </w:tc>
        <w:tc>
          <w:tcPr>
            <w:tcW w:w="466" w:type="pct"/>
            <w:tcBorders>
              <w:top w:val="single" w:sz="4" w:space="0" w:color="auto"/>
            </w:tcBorders>
            <w:noWrap/>
            <w:vAlign w:val="center"/>
          </w:tcPr>
          <w:p w14:paraId="7BD7A3E5" w14:textId="77777777" w:rsidR="00D7265E" w:rsidRPr="00800D22" w:rsidRDefault="00D7265E" w:rsidP="00DB24B0">
            <w:pPr>
              <w:widowControl/>
              <w:rPr>
                <w:kern w:val="0"/>
                <w:sz w:val="18"/>
                <w:szCs w:val="18"/>
              </w:rPr>
            </w:pPr>
            <w:r w:rsidRPr="00800D22">
              <w:rPr>
                <w:kern w:val="0"/>
                <w:sz w:val="18"/>
                <w:szCs w:val="18"/>
              </w:rPr>
              <w:t>51.35%</w:t>
            </w:r>
          </w:p>
        </w:tc>
        <w:tc>
          <w:tcPr>
            <w:tcW w:w="466" w:type="pct"/>
            <w:tcBorders>
              <w:top w:val="single" w:sz="4" w:space="0" w:color="auto"/>
            </w:tcBorders>
            <w:noWrap/>
            <w:vAlign w:val="center"/>
          </w:tcPr>
          <w:p w14:paraId="1AB77B95" w14:textId="77777777" w:rsidR="00D7265E" w:rsidRPr="00800D22" w:rsidRDefault="00D7265E" w:rsidP="00DB24B0">
            <w:pPr>
              <w:widowControl/>
              <w:rPr>
                <w:kern w:val="0"/>
                <w:sz w:val="18"/>
                <w:szCs w:val="18"/>
              </w:rPr>
            </w:pPr>
            <w:r w:rsidRPr="00800D22">
              <w:rPr>
                <w:kern w:val="0"/>
                <w:sz w:val="18"/>
                <w:szCs w:val="18"/>
              </w:rPr>
              <w:t>50.37%</w:t>
            </w:r>
          </w:p>
        </w:tc>
        <w:tc>
          <w:tcPr>
            <w:tcW w:w="466" w:type="pct"/>
            <w:tcBorders>
              <w:top w:val="single" w:sz="4" w:space="0" w:color="auto"/>
            </w:tcBorders>
            <w:noWrap/>
            <w:vAlign w:val="center"/>
          </w:tcPr>
          <w:p w14:paraId="0C0CD27B" w14:textId="77777777" w:rsidR="00D7265E" w:rsidRPr="00800D22" w:rsidRDefault="00D7265E" w:rsidP="00DB24B0">
            <w:pPr>
              <w:widowControl/>
              <w:rPr>
                <w:kern w:val="0"/>
                <w:sz w:val="18"/>
                <w:szCs w:val="18"/>
              </w:rPr>
            </w:pPr>
            <w:r w:rsidRPr="00800D22">
              <w:rPr>
                <w:kern w:val="0"/>
                <w:sz w:val="18"/>
                <w:szCs w:val="18"/>
              </w:rPr>
              <w:t>50.00%</w:t>
            </w:r>
          </w:p>
        </w:tc>
        <w:tc>
          <w:tcPr>
            <w:tcW w:w="466" w:type="pct"/>
            <w:tcBorders>
              <w:top w:val="single" w:sz="4" w:space="0" w:color="auto"/>
            </w:tcBorders>
            <w:noWrap/>
            <w:vAlign w:val="center"/>
          </w:tcPr>
          <w:p w14:paraId="62F379DF" w14:textId="77777777" w:rsidR="00D7265E" w:rsidRPr="00800D22" w:rsidRDefault="00D7265E" w:rsidP="00DB24B0">
            <w:pPr>
              <w:widowControl/>
              <w:rPr>
                <w:kern w:val="0"/>
                <w:sz w:val="18"/>
                <w:szCs w:val="18"/>
              </w:rPr>
            </w:pPr>
            <w:r w:rsidRPr="00800D22">
              <w:rPr>
                <w:kern w:val="0"/>
                <w:sz w:val="18"/>
                <w:szCs w:val="18"/>
              </w:rPr>
              <w:t>50.00%</w:t>
            </w:r>
          </w:p>
        </w:tc>
      </w:tr>
      <w:tr w:rsidR="00D7265E" w:rsidRPr="00800D22" w14:paraId="329F9179" w14:textId="77777777" w:rsidTr="00DB24B0">
        <w:trPr>
          <w:trHeight w:val="285"/>
        </w:trPr>
        <w:tc>
          <w:tcPr>
            <w:tcW w:w="340" w:type="pct"/>
            <w:noWrap/>
            <w:vAlign w:val="center"/>
          </w:tcPr>
          <w:p w14:paraId="11BB700F" w14:textId="77777777" w:rsidR="00D7265E" w:rsidRPr="00800D22" w:rsidRDefault="00D7265E" w:rsidP="00DB24B0">
            <w:pPr>
              <w:widowControl/>
              <w:rPr>
                <w:kern w:val="0"/>
                <w:sz w:val="18"/>
                <w:szCs w:val="18"/>
              </w:rPr>
            </w:pPr>
            <w:r w:rsidRPr="00800D22">
              <w:rPr>
                <w:kern w:val="0"/>
                <w:sz w:val="18"/>
                <w:szCs w:val="18"/>
              </w:rPr>
              <w:t>AA-</w:t>
            </w:r>
          </w:p>
        </w:tc>
        <w:tc>
          <w:tcPr>
            <w:tcW w:w="466" w:type="pct"/>
            <w:noWrap/>
            <w:vAlign w:val="center"/>
          </w:tcPr>
          <w:p w14:paraId="5EC6B581" w14:textId="77777777" w:rsidR="00D7265E" w:rsidRPr="00800D22" w:rsidRDefault="00D7265E" w:rsidP="00DB24B0">
            <w:pPr>
              <w:widowControl/>
              <w:rPr>
                <w:kern w:val="0"/>
                <w:sz w:val="18"/>
                <w:szCs w:val="18"/>
              </w:rPr>
            </w:pPr>
            <w:r w:rsidRPr="00800D22">
              <w:rPr>
                <w:kern w:val="0"/>
                <w:sz w:val="18"/>
                <w:szCs w:val="18"/>
              </w:rPr>
              <w:t>81.33%</w:t>
            </w:r>
          </w:p>
        </w:tc>
        <w:tc>
          <w:tcPr>
            <w:tcW w:w="466" w:type="pct"/>
            <w:noWrap/>
            <w:vAlign w:val="center"/>
          </w:tcPr>
          <w:p w14:paraId="082E0FB3" w14:textId="77777777" w:rsidR="00D7265E" w:rsidRPr="00800D22" w:rsidRDefault="00D7265E" w:rsidP="00DB24B0">
            <w:pPr>
              <w:widowControl/>
              <w:rPr>
                <w:kern w:val="0"/>
                <w:sz w:val="18"/>
                <w:szCs w:val="18"/>
              </w:rPr>
            </w:pPr>
            <w:r w:rsidRPr="00800D22">
              <w:rPr>
                <w:kern w:val="0"/>
                <w:sz w:val="18"/>
                <w:szCs w:val="18"/>
              </w:rPr>
              <w:t>84.21%</w:t>
            </w:r>
          </w:p>
        </w:tc>
        <w:tc>
          <w:tcPr>
            <w:tcW w:w="466" w:type="pct"/>
            <w:noWrap/>
            <w:vAlign w:val="center"/>
          </w:tcPr>
          <w:p w14:paraId="6A1D06D7" w14:textId="77777777" w:rsidR="00D7265E" w:rsidRPr="00800D22" w:rsidRDefault="00D7265E" w:rsidP="00DB24B0">
            <w:pPr>
              <w:widowControl/>
              <w:rPr>
                <w:kern w:val="0"/>
                <w:sz w:val="18"/>
                <w:szCs w:val="18"/>
              </w:rPr>
            </w:pPr>
            <w:r w:rsidRPr="00800D22">
              <w:rPr>
                <w:kern w:val="0"/>
                <w:sz w:val="18"/>
                <w:szCs w:val="18"/>
              </w:rPr>
              <w:t>83.05%</w:t>
            </w:r>
          </w:p>
        </w:tc>
        <w:tc>
          <w:tcPr>
            <w:tcW w:w="466" w:type="pct"/>
            <w:noWrap/>
            <w:vAlign w:val="center"/>
          </w:tcPr>
          <w:p w14:paraId="769C4483" w14:textId="77777777" w:rsidR="00D7265E" w:rsidRPr="00800D22" w:rsidRDefault="00D7265E" w:rsidP="00DB24B0">
            <w:pPr>
              <w:widowControl/>
              <w:rPr>
                <w:kern w:val="0"/>
                <w:sz w:val="18"/>
                <w:szCs w:val="18"/>
              </w:rPr>
            </w:pPr>
            <w:r w:rsidRPr="00800D22">
              <w:rPr>
                <w:kern w:val="0"/>
                <w:sz w:val="18"/>
                <w:szCs w:val="18"/>
              </w:rPr>
              <w:t>79.21%</w:t>
            </w:r>
          </w:p>
        </w:tc>
        <w:tc>
          <w:tcPr>
            <w:tcW w:w="466" w:type="pct"/>
            <w:noWrap/>
            <w:vAlign w:val="center"/>
          </w:tcPr>
          <w:p w14:paraId="63FD50B2" w14:textId="77777777" w:rsidR="00D7265E" w:rsidRPr="00800D22" w:rsidRDefault="00D7265E" w:rsidP="00DB24B0">
            <w:pPr>
              <w:widowControl/>
              <w:rPr>
                <w:kern w:val="0"/>
                <w:sz w:val="18"/>
                <w:szCs w:val="18"/>
              </w:rPr>
            </w:pPr>
            <w:r w:rsidRPr="00800D22">
              <w:rPr>
                <w:kern w:val="0"/>
                <w:sz w:val="18"/>
                <w:szCs w:val="18"/>
              </w:rPr>
              <w:t>78.17%</w:t>
            </w:r>
          </w:p>
        </w:tc>
        <w:tc>
          <w:tcPr>
            <w:tcW w:w="466" w:type="pct"/>
            <w:noWrap/>
            <w:vAlign w:val="center"/>
          </w:tcPr>
          <w:p w14:paraId="080DA74A" w14:textId="77777777" w:rsidR="00D7265E" w:rsidRPr="00800D22" w:rsidRDefault="00D7265E" w:rsidP="00DB24B0">
            <w:pPr>
              <w:widowControl/>
              <w:rPr>
                <w:kern w:val="0"/>
                <w:sz w:val="18"/>
                <w:szCs w:val="18"/>
              </w:rPr>
            </w:pPr>
            <w:r w:rsidRPr="00800D22">
              <w:rPr>
                <w:kern w:val="0"/>
                <w:sz w:val="18"/>
                <w:szCs w:val="18"/>
              </w:rPr>
              <w:t>77.05%</w:t>
            </w:r>
          </w:p>
        </w:tc>
        <w:tc>
          <w:tcPr>
            <w:tcW w:w="466" w:type="pct"/>
            <w:noWrap/>
            <w:vAlign w:val="center"/>
          </w:tcPr>
          <w:p w14:paraId="0ED78792" w14:textId="77777777" w:rsidR="00D7265E" w:rsidRPr="00800D22" w:rsidRDefault="00D7265E" w:rsidP="00DB24B0">
            <w:pPr>
              <w:widowControl/>
              <w:rPr>
                <w:kern w:val="0"/>
                <w:sz w:val="18"/>
                <w:szCs w:val="18"/>
              </w:rPr>
            </w:pPr>
            <w:r w:rsidRPr="00800D22">
              <w:rPr>
                <w:kern w:val="0"/>
                <w:sz w:val="18"/>
                <w:szCs w:val="18"/>
              </w:rPr>
              <w:t>76.21%</w:t>
            </w:r>
          </w:p>
        </w:tc>
        <w:tc>
          <w:tcPr>
            <w:tcW w:w="466" w:type="pct"/>
            <w:noWrap/>
            <w:vAlign w:val="center"/>
          </w:tcPr>
          <w:p w14:paraId="7D789CAA" w14:textId="77777777" w:rsidR="00D7265E" w:rsidRPr="00800D22" w:rsidRDefault="00D7265E" w:rsidP="00DB24B0">
            <w:pPr>
              <w:widowControl/>
              <w:rPr>
                <w:kern w:val="0"/>
                <w:sz w:val="18"/>
                <w:szCs w:val="18"/>
              </w:rPr>
            </w:pPr>
            <w:r w:rsidRPr="00800D22">
              <w:rPr>
                <w:kern w:val="0"/>
                <w:sz w:val="18"/>
                <w:szCs w:val="18"/>
              </w:rPr>
              <w:t>75.37%</w:t>
            </w:r>
          </w:p>
        </w:tc>
        <w:tc>
          <w:tcPr>
            <w:tcW w:w="466" w:type="pct"/>
            <w:noWrap/>
            <w:vAlign w:val="center"/>
          </w:tcPr>
          <w:p w14:paraId="171F218B" w14:textId="77777777" w:rsidR="00D7265E" w:rsidRPr="00800D22" w:rsidRDefault="00D7265E" w:rsidP="00DB24B0">
            <w:pPr>
              <w:widowControl/>
              <w:rPr>
                <w:kern w:val="0"/>
                <w:sz w:val="18"/>
                <w:szCs w:val="18"/>
              </w:rPr>
            </w:pPr>
            <w:r w:rsidRPr="00800D22">
              <w:rPr>
                <w:kern w:val="0"/>
                <w:sz w:val="18"/>
                <w:szCs w:val="18"/>
              </w:rPr>
              <w:t>74.92%</w:t>
            </w:r>
          </w:p>
        </w:tc>
        <w:tc>
          <w:tcPr>
            <w:tcW w:w="466" w:type="pct"/>
            <w:noWrap/>
            <w:vAlign w:val="center"/>
          </w:tcPr>
          <w:p w14:paraId="205687AC" w14:textId="77777777" w:rsidR="00D7265E" w:rsidRPr="00800D22" w:rsidRDefault="00D7265E" w:rsidP="00DB24B0">
            <w:pPr>
              <w:widowControl/>
              <w:rPr>
                <w:kern w:val="0"/>
                <w:sz w:val="18"/>
                <w:szCs w:val="18"/>
              </w:rPr>
            </w:pPr>
            <w:r w:rsidRPr="00800D22">
              <w:rPr>
                <w:kern w:val="0"/>
                <w:sz w:val="18"/>
                <w:szCs w:val="18"/>
              </w:rPr>
              <w:t>75.00%</w:t>
            </w:r>
          </w:p>
        </w:tc>
      </w:tr>
      <w:tr w:rsidR="00D7265E" w:rsidRPr="00800D22" w14:paraId="359ACE82" w14:textId="77777777" w:rsidTr="00DB24B0">
        <w:trPr>
          <w:trHeight w:val="285"/>
        </w:trPr>
        <w:tc>
          <w:tcPr>
            <w:tcW w:w="340" w:type="pct"/>
            <w:noWrap/>
            <w:vAlign w:val="center"/>
          </w:tcPr>
          <w:p w14:paraId="2E9CAD71"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4BB6A3C3" w14:textId="77777777" w:rsidR="00D7265E" w:rsidRPr="00800D22" w:rsidRDefault="00D7265E" w:rsidP="00DB24B0">
            <w:pPr>
              <w:widowControl/>
              <w:rPr>
                <w:kern w:val="0"/>
                <w:sz w:val="18"/>
                <w:szCs w:val="18"/>
              </w:rPr>
            </w:pPr>
            <w:r w:rsidRPr="00800D22">
              <w:rPr>
                <w:kern w:val="0"/>
                <w:sz w:val="18"/>
                <w:szCs w:val="18"/>
              </w:rPr>
              <w:t>90.31%</w:t>
            </w:r>
          </w:p>
        </w:tc>
        <w:tc>
          <w:tcPr>
            <w:tcW w:w="466" w:type="pct"/>
            <w:noWrap/>
            <w:vAlign w:val="center"/>
          </w:tcPr>
          <w:p w14:paraId="38B55645" w14:textId="77777777" w:rsidR="00D7265E" w:rsidRPr="00800D22" w:rsidRDefault="00D7265E" w:rsidP="00DB24B0">
            <w:pPr>
              <w:widowControl/>
              <w:rPr>
                <w:kern w:val="0"/>
                <w:sz w:val="18"/>
                <w:szCs w:val="18"/>
              </w:rPr>
            </w:pPr>
            <w:r w:rsidRPr="00800D22">
              <w:rPr>
                <w:kern w:val="0"/>
                <w:sz w:val="18"/>
                <w:szCs w:val="18"/>
              </w:rPr>
              <w:t>91.89%</w:t>
            </w:r>
          </w:p>
        </w:tc>
        <w:tc>
          <w:tcPr>
            <w:tcW w:w="466" w:type="pct"/>
            <w:noWrap/>
            <w:vAlign w:val="center"/>
          </w:tcPr>
          <w:p w14:paraId="1FBB5429" w14:textId="77777777" w:rsidR="00D7265E" w:rsidRPr="00800D22" w:rsidRDefault="00D7265E" w:rsidP="00DB24B0">
            <w:pPr>
              <w:widowControl/>
              <w:rPr>
                <w:kern w:val="0"/>
                <w:sz w:val="18"/>
                <w:szCs w:val="18"/>
              </w:rPr>
            </w:pPr>
            <w:r w:rsidRPr="00800D22">
              <w:rPr>
                <w:kern w:val="0"/>
                <w:sz w:val="18"/>
                <w:szCs w:val="18"/>
              </w:rPr>
              <w:t>91.45%</w:t>
            </w:r>
          </w:p>
        </w:tc>
        <w:tc>
          <w:tcPr>
            <w:tcW w:w="466" w:type="pct"/>
            <w:noWrap/>
            <w:vAlign w:val="center"/>
          </w:tcPr>
          <w:p w14:paraId="70985A1F" w14:textId="77777777" w:rsidR="00D7265E" w:rsidRPr="00800D22" w:rsidRDefault="00D7265E" w:rsidP="00DB24B0">
            <w:pPr>
              <w:widowControl/>
              <w:rPr>
                <w:kern w:val="0"/>
                <w:sz w:val="18"/>
                <w:szCs w:val="18"/>
              </w:rPr>
            </w:pPr>
            <w:r w:rsidRPr="00800D22">
              <w:rPr>
                <w:kern w:val="0"/>
                <w:sz w:val="18"/>
                <w:szCs w:val="18"/>
              </w:rPr>
              <w:t>88.89%</w:t>
            </w:r>
          </w:p>
        </w:tc>
        <w:tc>
          <w:tcPr>
            <w:tcW w:w="466" w:type="pct"/>
            <w:noWrap/>
            <w:vAlign w:val="center"/>
          </w:tcPr>
          <w:p w14:paraId="1FC63E11" w14:textId="77777777" w:rsidR="00D7265E" w:rsidRPr="00800D22" w:rsidRDefault="00D7265E" w:rsidP="00DB24B0">
            <w:pPr>
              <w:widowControl/>
              <w:rPr>
                <w:kern w:val="0"/>
                <w:sz w:val="18"/>
                <w:szCs w:val="18"/>
              </w:rPr>
            </w:pPr>
            <w:r w:rsidRPr="00800D22">
              <w:rPr>
                <w:kern w:val="0"/>
                <w:sz w:val="18"/>
                <w:szCs w:val="18"/>
              </w:rPr>
              <w:t>88.12%</w:t>
            </w:r>
          </w:p>
        </w:tc>
        <w:tc>
          <w:tcPr>
            <w:tcW w:w="466" w:type="pct"/>
            <w:noWrap/>
            <w:vAlign w:val="center"/>
          </w:tcPr>
          <w:p w14:paraId="1347CDBF" w14:textId="77777777" w:rsidR="00D7265E" w:rsidRPr="00800D22" w:rsidRDefault="00D7265E" w:rsidP="00DB24B0">
            <w:pPr>
              <w:widowControl/>
              <w:rPr>
                <w:kern w:val="0"/>
                <w:sz w:val="18"/>
                <w:szCs w:val="18"/>
              </w:rPr>
            </w:pPr>
            <w:r w:rsidRPr="00800D22">
              <w:rPr>
                <w:kern w:val="0"/>
                <w:sz w:val="18"/>
                <w:szCs w:val="18"/>
              </w:rPr>
              <w:t>87.27%</w:t>
            </w:r>
          </w:p>
        </w:tc>
        <w:tc>
          <w:tcPr>
            <w:tcW w:w="466" w:type="pct"/>
            <w:noWrap/>
            <w:vAlign w:val="center"/>
          </w:tcPr>
          <w:p w14:paraId="44ACDB5F" w14:textId="77777777" w:rsidR="00D7265E" w:rsidRPr="00800D22" w:rsidRDefault="00D7265E" w:rsidP="00DB24B0">
            <w:pPr>
              <w:widowControl/>
              <w:rPr>
                <w:kern w:val="0"/>
                <w:sz w:val="18"/>
                <w:szCs w:val="18"/>
              </w:rPr>
            </w:pPr>
            <w:r w:rsidRPr="00800D22">
              <w:rPr>
                <w:kern w:val="0"/>
                <w:sz w:val="18"/>
                <w:szCs w:val="18"/>
              </w:rPr>
              <w:t>86.70%</w:t>
            </w:r>
          </w:p>
        </w:tc>
        <w:tc>
          <w:tcPr>
            <w:tcW w:w="466" w:type="pct"/>
            <w:noWrap/>
            <w:vAlign w:val="center"/>
          </w:tcPr>
          <w:p w14:paraId="3668B430" w14:textId="77777777" w:rsidR="00D7265E" w:rsidRPr="00800D22" w:rsidRDefault="00D7265E" w:rsidP="00DB24B0">
            <w:pPr>
              <w:widowControl/>
              <w:rPr>
                <w:kern w:val="0"/>
                <w:sz w:val="18"/>
                <w:szCs w:val="18"/>
              </w:rPr>
            </w:pPr>
            <w:r w:rsidRPr="00800D22">
              <w:rPr>
                <w:kern w:val="0"/>
                <w:sz w:val="18"/>
                <w:szCs w:val="18"/>
              </w:rPr>
              <w:t>86.04%</w:t>
            </w:r>
          </w:p>
        </w:tc>
        <w:tc>
          <w:tcPr>
            <w:tcW w:w="466" w:type="pct"/>
            <w:noWrap/>
            <w:vAlign w:val="center"/>
          </w:tcPr>
          <w:p w14:paraId="69D565C2" w14:textId="77777777" w:rsidR="00D7265E" w:rsidRPr="00800D22" w:rsidRDefault="00D7265E" w:rsidP="00DB24B0">
            <w:pPr>
              <w:widowControl/>
              <w:rPr>
                <w:kern w:val="0"/>
                <w:sz w:val="18"/>
                <w:szCs w:val="18"/>
              </w:rPr>
            </w:pPr>
            <w:r w:rsidRPr="00800D22">
              <w:rPr>
                <w:kern w:val="0"/>
                <w:sz w:val="18"/>
                <w:szCs w:val="18"/>
              </w:rPr>
              <w:t>85.69%</w:t>
            </w:r>
          </w:p>
        </w:tc>
        <w:tc>
          <w:tcPr>
            <w:tcW w:w="466" w:type="pct"/>
            <w:noWrap/>
            <w:vAlign w:val="center"/>
          </w:tcPr>
          <w:p w14:paraId="3AADB8E4" w14:textId="77777777" w:rsidR="00D7265E" w:rsidRPr="00800D22" w:rsidRDefault="00D7265E" w:rsidP="00DB24B0">
            <w:pPr>
              <w:widowControl/>
              <w:rPr>
                <w:kern w:val="0"/>
                <w:sz w:val="18"/>
                <w:szCs w:val="18"/>
              </w:rPr>
            </w:pPr>
            <w:r w:rsidRPr="00800D22">
              <w:rPr>
                <w:kern w:val="0"/>
                <w:sz w:val="18"/>
                <w:szCs w:val="18"/>
              </w:rPr>
              <w:t>85.71%</w:t>
            </w:r>
          </w:p>
        </w:tc>
      </w:tr>
      <w:tr w:rsidR="00D7265E" w:rsidRPr="00800D22" w14:paraId="5B0D719B" w14:textId="77777777" w:rsidTr="00DB24B0">
        <w:trPr>
          <w:trHeight w:val="285"/>
        </w:trPr>
        <w:tc>
          <w:tcPr>
            <w:tcW w:w="340" w:type="pct"/>
            <w:noWrap/>
            <w:vAlign w:val="center"/>
          </w:tcPr>
          <w:p w14:paraId="0EF1163D"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51EEE0CD" w14:textId="77777777" w:rsidR="00D7265E" w:rsidRPr="00800D22" w:rsidRDefault="00D7265E" w:rsidP="00DB24B0">
            <w:pPr>
              <w:widowControl/>
              <w:rPr>
                <w:kern w:val="0"/>
                <w:sz w:val="18"/>
                <w:szCs w:val="18"/>
              </w:rPr>
            </w:pPr>
            <w:r w:rsidRPr="00800D22">
              <w:rPr>
                <w:kern w:val="0"/>
                <w:sz w:val="18"/>
                <w:szCs w:val="18"/>
              </w:rPr>
              <w:t>94.82%</w:t>
            </w:r>
          </w:p>
        </w:tc>
        <w:tc>
          <w:tcPr>
            <w:tcW w:w="466" w:type="pct"/>
            <w:noWrap/>
            <w:vAlign w:val="center"/>
          </w:tcPr>
          <w:p w14:paraId="5432EC9E" w14:textId="77777777" w:rsidR="00D7265E" w:rsidRPr="00800D22" w:rsidRDefault="00D7265E" w:rsidP="00DB24B0">
            <w:pPr>
              <w:widowControl/>
              <w:rPr>
                <w:kern w:val="0"/>
                <w:sz w:val="18"/>
                <w:szCs w:val="18"/>
              </w:rPr>
            </w:pPr>
            <w:r w:rsidRPr="00800D22">
              <w:rPr>
                <w:kern w:val="0"/>
                <w:sz w:val="18"/>
                <w:szCs w:val="18"/>
              </w:rPr>
              <w:t>95.71%</w:t>
            </w:r>
          </w:p>
        </w:tc>
        <w:tc>
          <w:tcPr>
            <w:tcW w:w="466" w:type="pct"/>
            <w:noWrap/>
            <w:vAlign w:val="center"/>
          </w:tcPr>
          <w:p w14:paraId="40AC4290" w14:textId="77777777" w:rsidR="00D7265E" w:rsidRPr="00800D22" w:rsidRDefault="00D7265E" w:rsidP="00DB24B0">
            <w:pPr>
              <w:widowControl/>
              <w:rPr>
                <w:kern w:val="0"/>
                <w:sz w:val="18"/>
                <w:szCs w:val="18"/>
              </w:rPr>
            </w:pPr>
            <w:r w:rsidRPr="00800D22">
              <w:rPr>
                <w:kern w:val="0"/>
                <w:sz w:val="18"/>
                <w:szCs w:val="18"/>
              </w:rPr>
              <w:t>95.50%</w:t>
            </w:r>
          </w:p>
        </w:tc>
        <w:tc>
          <w:tcPr>
            <w:tcW w:w="466" w:type="pct"/>
            <w:noWrap/>
            <w:vAlign w:val="center"/>
          </w:tcPr>
          <w:p w14:paraId="2B826DFF" w14:textId="77777777" w:rsidR="00D7265E" w:rsidRPr="00800D22" w:rsidRDefault="00D7265E" w:rsidP="00DB24B0">
            <w:pPr>
              <w:widowControl/>
              <w:rPr>
                <w:kern w:val="0"/>
                <w:sz w:val="18"/>
                <w:szCs w:val="18"/>
              </w:rPr>
            </w:pPr>
            <w:r w:rsidRPr="00800D22">
              <w:rPr>
                <w:kern w:val="0"/>
                <w:sz w:val="18"/>
                <w:szCs w:val="18"/>
              </w:rPr>
              <w:t>93.91%</w:t>
            </w:r>
          </w:p>
        </w:tc>
        <w:tc>
          <w:tcPr>
            <w:tcW w:w="466" w:type="pct"/>
            <w:noWrap/>
            <w:vAlign w:val="center"/>
          </w:tcPr>
          <w:p w14:paraId="45C2A7C1" w14:textId="77777777" w:rsidR="00D7265E" w:rsidRPr="00800D22" w:rsidRDefault="00D7265E" w:rsidP="00DB24B0">
            <w:pPr>
              <w:widowControl/>
              <w:rPr>
                <w:kern w:val="0"/>
                <w:sz w:val="18"/>
                <w:szCs w:val="18"/>
              </w:rPr>
            </w:pPr>
            <w:r w:rsidRPr="00800D22">
              <w:rPr>
                <w:kern w:val="0"/>
                <w:sz w:val="18"/>
                <w:szCs w:val="18"/>
              </w:rPr>
              <w:t>93.36%</w:t>
            </w:r>
          </w:p>
        </w:tc>
        <w:tc>
          <w:tcPr>
            <w:tcW w:w="466" w:type="pct"/>
            <w:noWrap/>
            <w:vAlign w:val="center"/>
          </w:tcPr>
          <w:p w14:paraId="57AA61F7" w14:textId="77777777" w:rsidR="00D7265E" w:rsidRPr="00800D22" w:rsidRDefault="00D7265E" w:rsidP="00DB24B0">
            <w:pPr>
              <w:widowControl/>
              <w:rPr>
                <w:kern w:val="0"/>
                <w:sz w:val="18"/>
                <w:szCs w:val="18"/>
              </w:rPr>
            </w:pPr>
            <w:r w:rsidRPr="00800D22">
              <w:rPr>
                <w:kern w:val="0"/>
                <w:sz w:val="18"/>
                <w:szCs w:val="18"/>
              </w:rPr>
              <w:t>92.80%</w:t>
            </w:r>
          </w:p>
        </w:tc>
        <w:tc>
          <w:tcPr>
            <w:tcW w:w="466" w:type="pct"/>
            <w:noWrap/>
            <w:vAlign w:val="center"/>
          </w:tcPr>
          <w:p w14:paraId="3E7D2C2E" w14:textId="77777777" w:rsidR="00D7265E" w:rsidRPr="00800D22" w:rsidRDefault="00D7265E" w:rsidP="00DB24B0">
            <w:pPr>
              <w:widowControl/>
              <w:rPr>
                <w:kern w:val="0"/>
                <w:sz w:val="18"/>
                <w:szCs w:val="18"/>
              </w:rPr>
            </w:pPr>
            <w:r w:rsidRPr="00800D22">
              <w:rPr>
                <w:kern w:val="0"/>
                <w:sz w:val="18"/>
                <w:szCs w:val="18"/>
              </w:rPr>
              <w:t>92.39%</w:t>
            </w:r>
          </w:p>
        </w:tc>
        <w:tc>
          <w:tcPr>
            <w:tcW w:w="466" w:type="pct"/>
            <w:noWrap/>
            <w:vAlign w:val="center"/>
          </w:tcPr>
          <w:p w14:paraId="6314A651" w14:textId="77777777" w:rsidR="00D7265E" w:rsidRPr="00800D22" w:rsidRDefault="00D7265E" w:rsidP="00DB24B0">
            <w:pPr>
              <w:widowControl/>
              <w:rPr>
                <w:kern w:val="0"/>
                <w:sz w:val="18"/>
                <w:szCs w:val="18"/>
              </w:rPr>
            </w:pPr>
            <w:r w:rsidRPr="00800D22">
              <w:rPr>
                <w:kern w:val="0"/>
                <w:sz w:val="18"/>
                <w:szCs w:val="18"/>
              </w:rPr>
              <w:t>91.92%</w:t>
            </w:r>
          </w:p>
        </w:tc>
        <w:tc>
          <w:tcPr>
            <w:tcW w:w="466" w:type="pct"/>
            <w:noWrap/>
            <w:vAlign w:val="center"/>
          </w:tcPr>
          <w:p w14:paraId="2A3D67D0" w14:textId="77777777" w:rsidR="00D7265E" w:rsidRPr="00800D22" w:rsidRDefault="00D7265E" w:rsidP="00DB24B0">
            <w:pPr>
              <w:widowControl/>
              <w:rPr>
                <w:kern w:val="0"/>
                <w:sz w:val="18"/>
                <w:szCs w:val="18"/>
              </w:rPr>
            </w:pPr>
            <w:r w:rsidRPr="00800D22">
              <w:rPr>
                <w:kern w:val="0"/>
                <w:sz w:val="18"/>
                <w:szCs w:val="18"/>
              </w:rPr>
              <w:t>91.65%</w:t>
            </w:r>
          </w:p>
        </w:tc>
        <w:tc>
          <w:tcPr>
            <w:tcW w:w="466" w:type="pct"/>
            <w:noWrap/>
            <w:vAlign w:val="center"/>
          </w:tcPr>
          <w:p w14:paraId="10C4701B" w14:textId="77777777" w:rsidR="00D7265E" w:rsidRPr="00800D22" w:rsidRDefault="00D7265E" w:rsidP="00DB24B0">
            <w:pPr>
              <w:widowControl/>
              <w:rPr>
                <w:kern w:val="0"/>
                <w:sz w:val="18"/>
                <w:szCs w:val="18"/>
              </w:rPr>
            </w:pPr>
            <w:r w:rsidRPr="00800D22">
              <w:rPr>
                <w:kern w:val="0"/>
                <w:sz w:val="18"/>
                <w:szCs w:val="18"/>
              </w:rPr>
              <w:t>91.67%</w:t>
            </w:r>
          </w:p>
        </w:tc>
      </w:tr>
      <w:tr w:rsidR="00D7265E" w:rsidRPr="00800D22" w14:paraId="5777E1FB" w14:textId="77777777" w:rsidTr="00DB24B0">
        <w:trPr>
          <w:trHeight w:val="285"/>
        </w:trPr>
        <w:tc>
          <w:tcPr>
            <w:tcW w:w="340" w:type="pct"/>
            <w:tcBorders>
              <w:bottom w:val="single" w:sz="4" w:space="0" w:color="auto"/>
            </w:tcBorders>
            <w:noWrap/>
            <w:vAlign w:val="center"/>
          </w:tcPr>
          <w:p w14:paraId="2DCC312F"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bottom w:val="single" w:sz="4" w:space="0" w:color="auto"/>
            </w:tcBorders>
            <w:noWrap/>
            <w:vAlign w:val="center"/>
          </w:tcPr>
          <w:p w14:paraId="0D87A4CE" w14:textId="77777777" w:rsidR="00D7265E" w:rsidRPr="00800D22" w:rsidRDefault="00D7265E" w:rsidP="00DB24B0">
            <w:pPr>
              <w:widowControl/>
              <w:rPr>
                <w:kern w:val="0"/>
                <w:sz w:val="18"/>
                <w:szCs w:val="18"/>
              </w:rPr>
            </w:pPr>
            <w:r w:rsidRPr="00800D22">
              <w:rPr>
                <w:kern w:val="0"/>
                <w:sz w:val="18"/>
                <w:szCs w:val="18"/>
              </w:rPr>
              <w:t>98.55%</w:t>
            </w:r>
          </w:p>
        </w:tc>
        <w:tc>
          <w:tcPr>
            <w:tcW w:w="466" w:type="pct"/>
            <w:tcBorders>
              <w:bottom w:val="single" w:sz="4" w:space="0" w:color="auto"/>
            </w:tcBorders>
            <w:noWrap/>
            <w:vAlign w:val="center"/>
          </w:tcPr>
          <w:p w14:paraId="27CA2650" w14:textId="77777777" w:rsidR="00D7265E" w:rsidRPr="00800D22" w:rsidRDefault="00D7265E" w:rsidP="00DB24B0">
            <w:pPr>
              <w:widowControl/>
              <w:rPr>
                <w:kern w:val="0"/>
                <w:sz w:val="18"/>
                <w:szCs w:val="18"/>
              </w:rPr>
            </w:pPr>
            <w:r w:rsidRPr="00800D22">
              <w:rPr>
                <w:kern w:val="0"/>
                <w:sz w:val="18"/>
                <w:szCs w:val="18"/>
              </w:rPr>
              <w:t>98.00%</w:t>
            </w:r>
          </w:p>
        </w:tc>
        <w:tc>
          <w:tcPr>
            <w:tcW w:w="466" w:type="pct"/>
            <w:tcBorders>
              <w:bottom w:val="single" w:sz="4" w:space="0" w:color="auto"/>
            </w:tcBorders>
            <w:noWrap/>
            <w:vAlign w:val="center"/>
          </w:tcPr>
          <w:p w14:paraId="112C9CBD" w14:textId="77777777" w:rsidR="00D7265E" w:rsidRPr="00800D22" w:rsidRDefault="00D7265E" w:rsidP="00DB24B0">
            <w:pPr>
              <w:widowControl/>
              <w:rPr>
                <w:kern w:val="0"/>
                <w:sz w:val="18"/>
                <w:szCs w:val="18"/>
              </w:rPr>
            </w:pPr>
            <w:r w:rsidRPr="00800D22">
              <w:rPr>
                <w:kern w:val="0"/>
                <w:sz w:val="18"/>
                <w:szCs w:val="18"/>
              </w:rPr>
              <w:t>97.22%</w:t>
            </w:r>
          </w:p>
        </w:tc>
        <w:tc>
          <w:tcPr>
            <w:tcW w:w="466" w:type="pct"/>
            <w:tcBorders>
              <w:bottom w:val="single" w:sz="4" w:space="0" w:color="auto"/>
            </w:tcBorders>
            <w:noWrap/>
            <w:vAlign w:val="center"/>
          </w:tcPr>
          <w:p w14:paraId="7785B1AF" w14:textId="77777777" w:rsidR="00D7265E" w:rsidRPr="00800D22" w:rsidRDefault="00D7265E" w:rsidP="00DB24B0">
            <w:pPr>
              <w:widowControl/>
              <w:rPr>
                <w:kern w:val="0"/>
                <w:sz w:val="18"/>
                <w:szCs w:val="18"/>
              </w:rPr>
            </w:pPr>
            <w:r w:rsidRPr="00800D22">
              <w:rPr>
                <w:kern w:val="0"/>
                <w:sz w:val="18"/>
                <w:szCs w:val="18"/>
              </w:rPr>
              <w:t>96.11%</w:t>
            </w:r>
          </w:p>
        </w:tc>
        <w:tc>
          <w:tcPr>
            <w:tcW w:w="466" w:type="pct"/>
            <w:tcBorders>
              <w:bottom w:val="single" w:sz="4" w:space="0" w:color="auto"/>
            </w:tcBorders>
            <w:noWrap/>
            <w:vAlign w:val="center"/>
          </w:tcPr>
          <w:p w14:paraId="5EFE7B29" w14:textId="77777777" w:rsidR="00D7265E" w:rsidRPr="00800D22" w:rsidRDefault="00D7265E" w:rsidP="00DB24B0">
            <w:pPr>
              <w:widowControl/>
              <w:rPr>
                <w:kern w:val="0"/>
                <w:sz w:val="18"/>
                <w:szCs w:val="18"/>
              </w:rPr>
            </w:pPr>
            <w:r w:rsidRPr="00800D22">
              <w:rPr>
                <w:kern w:val="0"/>
                <w:sz w:val="18"/>
                <w:szCs w:val="18"/>
              </w:rPr>
              <w:t>95.75%</w:t>
            </w:r>
          </w:p>
        </w:tc>
        <w:tc>
          <w:tcPr>
            <w:tcW w:w="466" w:type="pct"/>
            <w:tcBorders>
              <w:bottom w:val="single" w:sz="4" w:space="0" w:color="auto"/>
            </w:tcBorders>
            <w:noWrap/>
            <w:vAlign w:val="center"/>
          </w:tcPr>
          <w:p w14:paraId="63C7C602" w14:textId="77777777" w:rsidR="00D7265E" w:rsidRPr="00800D22" w:rsidRDefault="00D7265E" w:rsidP="00DB24B0">
            <w:pPr>
              <w:widowControl/>
              <w:rPr>
                <w:kern w:val="0"/>
                <w:sz w:val="18"/>
                <w:szCs w:val="18"/>
              </w:rPr>
            </w:pPr>
            <w:r w:rsidRPr="00800D22">
              <w:rPr>
                <w:kern w:val="0"/>
                <w:sz w:val="18"/>
                <w:szCs w:val="18"/>
              </w:rPr>
              <w:t>95.38%</w:t>
            </w:r>
          </w:p>
        </w:tc>
        <w:tc>
          <w:tcPr>
            <w:tcW w:w="466" w:type="pct"/>
            <w:tcBorders>
              <w:bottom w:val="single" w:sz="4" w:space="0" w:color="auto"/>
            </w:tcBorders>
            <w:noWrap/>
            <w:vAlign w:val="center"/>
          </w:tcPr>
          <w:p w14:paraId="02042D12" w14:textId="77777777" w:rsidR="00D7265E" w:rsidRPr="00800D22" w:rsidRDefault="00D7265E" w:rsidP="00DB24B0">
            <w:pPr>
              <w:widowControl/>
              <w:rPr>
                <w:kern w:val="0"/>
                <w:sz w:val="18"/>
                <w:szCs w:val="18"/>
              </w:rPr>
            </w:pPr>
            <w:r w:rsidRPr="00800D22">
              <w:rPr>
                <w:kern w:val="0"/>
                <w:sz w:val="18"/>
                <w:szCs w:val="18"/>
              </w:rPr>
              <w:t>95.14%</w:t>
            </w:r>
          </w:p>
        </w:tc>
        <w:tc>
          <w:tcPr>
            <w:tcW w:w="466" w:type="pct"/>
            <w:tcBorders>
              <w:bottom w:val="single" w:sz="4" w:space="0" w:color="auto"/>
            </w:tcBorders>
            <w:noWrap/>
            <w:vAlign w:val="center"/>
          </w:tcPr>
          <w:p w14:paraId="7541C60E" w14:textId="77777777" w:rsidR="00D7265E" w:rsidRPr="00800D22" w:rsidRDefault="00D7265E" w:rsidP="00DB24B0">
            <w:pPr>
              <w:widowControl/>
              <w:rPr>
                <w:kern w:val="0"/>
                <w:sz w:val="18"/>
                <w:szCs w:val="18"/>
              </w:rPr>
            </w:pPr>
            <w:r w:rsidRPr="00800D22">
              <w:rPr>
                <w:kern w:val="0"/>
                <w:sz w:val="18"/>
                <w:szCs w:val="18"/>
              </w:rPr>
              <w:t>94.85%</w:t>
            </w:r>
          </w:p>
        </w:tc>
        <w:tc>
          <w:tcPr>
            <w:tcW w:w="466" w:type="pct"/>
            <w:tcBorders>
              <w:bottom w:val="single" w:sz="4" w:space="0" w:color="auto"/>
            </w:tcBorders>
            <w:noWrap/>
            <w:vAlign w:val="center"/>
          </w:tcPr>
          <w:p w14:paraId="775801F8" w14:textId="77777777" w:rsidR="00D7265E" w:rsidRPr="00800D22" w:rsidRDefault="00D7265E" w:rsidP="00DB24B0">
            <w:pPr>
              <w:widowControl/>
              <w:rPr>
                <w:kern w:val="0"/>
                <w:sz w:val="18"/>
                <w:szCs w:val="18"/>
              </w:rPr>
            </w:pPr>
            <w:r w:rsidRPr="00800D22">
              <w:rPr>
                <w:kern w:val="0"/>
                <w:sz w:val="18"/>
                <w:szCs w:val="18"/>
              </w:rPr>
              <w:t>94.61%</w:t>
            </w:r>
          </w:p>
        </w:tc>
        <w:tc>
          <w:tcPr>
            <w:tcW w:w="466" w:type="pct"/>
            <w:tcBorders>
              <w:bottom w:val="single" w:sz="4" w:space="0" w:color="auto"/>
            </w:tcBorders>
            <w:noWrap/>
            <w:vAlign w:val="center"/>
          </w:tcPr>
          <w:p w14:paraId="065073D2" w14:textId="77777777" w:rsidR="00D7265E" w:rsidRPr="00800D22" w:rsidRDefault="00D7265E" w:rsidP="00DB24B0">
            <w:pPr>
              <w:widowControl/>
              <w:rPr>
                <w:kern w:val="0"/>
                <w:sz w:val="18"/>
                <w:szCs w:val="18"/>
              </w:rPr>
            </w:pPr>
            <w:r w:rsidRPr="00800D22">
              <w:rPr>
                <w:kern w:val="0"/>
                <w:sz w:val="18"/>
                <w:szCs w:val="18"/>
              </w:rPr>
              <w:t>94.44%</w:t>
            </w:r>
          </w:p>
        </w:tc>
      </w:tr>
    </w:tbl>
    <w:p w14:paraId="2D2537D8" w14:textId="77777777" w:rsidR="00D7265E" w:rsidRPr="00800D22" w:rsidRDefault="00D7265E" w:rsidP="00D7265E">
      <w:pPr>
        <w:spacing w:beforeLines="100" w:before="312" w:line="440" w:lineRule="atLeast"/>
        <w:outlineLvl w:val="3"/>
        <w:rPr>
          <w:rFonts w:ascii="黑体" w:eastAsia="黑体" w:hint="eastAsia"/>
          <w:sz w:val="24"/>
        </w:rPr>
      </w:pPr>
      <w:bookmarkStart w:id="5" w:name="_Toc216154410"/>
      <w:bookmarkStart w:id="6" w:name="_Toc238701501"/>
      <w:bookmarkStart w:id="7" w:name="_Toc239689267"/>
    </w:p>
    <w:p w14:paraId="07DC3542" w14:textId="77777777" w:rsidR="00D7265E" w:rsidRPr="00800D22" w:rsidRDefault="00D7265E" w:rsidP="00D7265E">
      <w:pPr>
        <w:spacing w:beforeLines="100" w:before="312" w:line="440" w:lineRule="atLeast"/>
        <w:ind w:firstLineChars="3600" w:firstLine="7560"/>
        <w:rPr>
          <w:rFonts w:eastAsia="新宋体"/>
          <w:szCs w:val="21"/>
        </w:rPr>
      </w:pPr>
      <w:r w:rsidRPr="00800D22">
        <w:rPr>
          <w:rFonts w:eastAsia="新宋体" w:hAnsi="新宋体"/>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576"/>
        <w:gridCol w:w="773"/>
        <w:gridCol w:w="773"/>
        <w:gridCol w:w="773"/>
        <w:gridCol w:w="773"/>
        <w:gridCol w:w="773"/>
        <w:gridCol w:w="773"/>
        <w:gridCol w:w="773"/>
        <w:gridCol w:w="773"/>
        <w:gridCol w:w="773"/>
        <w:gridCol w:w="773"/>
      </w:tblGrid>
      <w:tr w:rsidR="00D7265E" w:rsidRPr="00800D22" w14:paraId="19B1EA10" w14:textId="77777777" w:rsidTr="00DB24B0">
        <w:trPr>
          <w:trHeight w:val="285"/>
        </w:trPr>
        <w:tc>
          <w:tcPr>
            <w:tcW w:w="5000" w:type="pct"/>
            <w:gridSpan w:val="11"/>
            <w:tcBorders>
              <w:top w:val="single" w:sz="4" w:space="0" w:color="auto"/>
              <w:bottom w:val="nil"/>
            </w:tcBorders>
            <w:noWrap/>
            <w:vAlign w:val="center"/>
          </w:tcPr>
          <w:p w14:paraId="25F3EC03"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AA</w:t>
            </w:r>
          </w:p>
        </w:tc>
      </w:tr>
      <w:tr w:rsidR="00D7265E" w:rsidRPr="00800D22" w14:paraId="0D8BF26D" w14:textId="77777777" w:rsidTr="00DB24B0">
        <w:trPr>
          <w:trHeight w:val="285"/>
        </w:trPr>
        <w:tc>
          <w:tcPr>
            <w:tcW w:w="340" w:type="pct"/>
            <w:tcBorders>
              <w:top w:val="nil"/>
              <w:bottom w:val="single" w:sz="4" w:space="0" w:color="auto"/>
            </w:tcBorders>
            <w:noWrap/>
            <w:vAlign w:val="center"/>
          </w:tcPr>
          <w:p w14:paraId="596D196A"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4974DACA"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22FA44B6"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762ABEF9"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60ED53E3"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0BB80801"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2E17CE5A"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6254312E"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52EF8D6C"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4B114EA9"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72038ED8"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6F80F34D" w14:textId="77777777" w:rsidTr="00DB24B0">
        <w:trPr>
          <w:trHeight w:val="285"/>
        </w:trPr>
        <w:tc>
          <w:tcPr>
            <w:tcW w:w="340" w:type="pct"/>
            <w:tcBorders>
              <w:top w:val="single" w:sz="4" w:space="0" w:color="auto"/>
            </w:tcBorders>
            <w:noWrap/>
            <w:vAlign w:val="center"/>
          </w:tcPr>
          <w:p w14:paraId="4CE0001C" w14:textId="77777777" w:rsidR="00D7265E" w:rsidRPr="00800D22" w:rsidRDefault="00D7265E" w:rsidP="00DB24B0">
            <w:pPr>
              <w:widowControl/>
              <w:rPr>
                <w:kern w:val="0"/>
                <w:sz w:val="18"/>
                <w:szCs w:val="18"/>
              </w:rPr>
            </w:pPr>
            <w:r w:rsidRPr="00800D22">
              <w:rPr>
                <w:kern w:val="0"/>
                <w:sz w:val="18"/>
                <w:szCs w:val="18"/>
              </w:rPr>
              <w:lastRenderedPageBreak/>
              <w:t>AA-</w:t>
            </w:r>
          </w:p>
        </w:tc>
        <w:tc>
          <w:tcPr>
            <w:tcW w:w="466" w:type="pct"/>
            <w:tcBorders>
              <w:top w:val="single" w:sz="4" w:space="0" w:color="auto"/>
            </w:tcBorders>
            <w:noWrap/>
            <w:vAlign w:val="center"/>
          </w:tcPr>
          <w:p w14:paraId="48711B12" w14:textId="77777777" w:rsidR="00D7265E" w:rsidRPr="00800D22" w:rsidRDefault="00D7265E" w:rsidP="00DB24B0">
            <w:pPr>
              <w:widowControl/>
              <w:rPr>
                <w:kern w:val="0"/>
                <w:sz w:val="18"/>
                <w:szCs w:val="18"/>
              </w:rPr>
            </w:pPr>
            <w:r w:rsidRPr="00800D22">
              <w:rPr>
                <w:kern w:val="0"/>
                <w:sz w:val="18"/>
                <w:szCs w:val="18"/>
              </w:rPr>
              <w:t>54.82%</w:t>
            </w:r>
          </w:p>
        </w:tc>
        <w:tc>
          <w:tcPr>
            <w:tcW w:w="466" w:type="pct"/>
            <w:tcBorders>
              <w:top w:val="single" w:sz="4" w:space="0" w:color="auto"/>
            </w:tcBorders>
            <w:noWrap/>
            <w:vAlign w:val="center"/>
          </w:tcPr>
          <w:p w14:paraId="362866C5" w14:textId="77777777" w:rsidR="00D7265E" w:rsidRPr="00800D22" w:rsidRDefault="00D7265E" w:rsidP="00DB24B0">
            <w:pPr>
              <w:widowControl/>
              <w:rPr>
                <w:kern w:val="0"/>
                <w:sz w:val="18"/>
                <w:szCs w:val="18"/>
              </w:rPr>
            </w:pPr>
            <w:r w:rsidRPr="00800D22">
              <w:rPr>
                <w:kern w:val="0"/>
                <w:sz w:val="18"/>
                <w:szCs w:val="18"/>
              </w:rPr>
              <w:t>57.89%</w:t>
            </w:r>
          </w:p>
        </w:tc>
        <w:tc>
          <w:tcPr>
            <w:tcW w:w="466" w:type="pct"/>
            <w:tcBorders>
              <w:top w:val="single" w:sz="4" w:space="0" w:color="auto"/>
            </w:tcBorders>
            <w:noWrap/>
            <w:vAlign w:val="center"/>
          </w:tcPr>
          <w:p w14:paraId="46FB5641" w14:textId="77777777" w:rsidR="00D7265E" w:rsidRPr="00800D22" w:rsidRDefault="00D7265E" w:rsidP="00DB24B0">
            <w:pPr>
              <w:widowControl/>
              <w:rPr>
                <w:kern w:val="0"/>
                <w:sz w:val="18"/>
                <w:szCs w:val="18"/>
              </w:rPr>
            </w:pPr>
            <w:r w:rsidRPr="00800D22">
              <w:rPr>
                <w:kern w:val="0"/>
                <w:sz w:val="18"/>
                <w:szCs w:val="18"/>
              </w:rPr>
              <w:t>56.24%</w:t>
            </w:r>
          </w:p>
        </w:tc>
        <w:tc>
          <w:tcPr>
            <w:tcW w:w="466" w:type="pct"/>
            <w:tcBorders>
              <w:top w:val="single" w:sz="4" w:space="0" w:color="auto"/>
            </w:tcBorders>
            <w:noWrap/>
            <w:vAlign w:val="center"/>
          </w:tcPr>
          <w:p w14:paraId="3328C86A" w14:textId="77777777" w:rsidR="00D7265E" w:rsidRPr="00800D22" w:rsidRDefault="00D7265E" w:rsidP="00DB24B0">
            <w:pPr>
              <w:widowControl/>
              <w:rPr>
                <w:kern w:val="0"/>
                <w:sz w:val="18"/>
                <w:szCs w:val="18"/>
              </w:rPr>
            </w:pPr>
            <w:r w:rsidRPr="00800D22">
              <w:rPr>
                <w:kern w:val="0"/>
                <w:sz w:val="18"/>
                <w:szCs w:val="18"/>
              </w:rPr>
              <w:t>53.47%</w:t>
            </w:r>
          </w:p>
        </w:tc>
        <w:tc>
          <w:tcPr>
            <w:tcW w:w="466" w:type="pct"/>
            <w:tcBorders>
              <w:top w:val="single" w:sz="4" w:space="0" w:color="auto"/>
            </w:tcBorders>
            <w:noWrap/>
            <w:vAlign w:val="center"/>
          </w:tcPr>
          <w:p w14:paraId="3E9D6B51" w14:textId="77777777" w:rsidR="00D7265E" w:rsidRPr="00800D22" w:rsidRDefault="00D7265E" w:rsidP="00DB24B0">
            <w:pPr>
              <w:widowControl/>
              <w:rPr>
                <w:kern w:val="0"/>
                <w:sz w:val="18"/>
                <w:szCs w:val="18"/>
              </w:rPr>
            </w:pPr>
            <w:r w:rsidRPr="00800D22">
              <w:rPr>
                <w:kern w:val="0"/>
                <w:sz w:val="18"/>
                <w:szCs w:val="18"/>
              </w:rPr>
              <w:t>52.11%</w:t>
            </w:r>
          </w:p>
        </w:tc>
        <w:tc>
          <w:tcPr>
            <w:tcW w:w="466" w:type="pct"/>
            <w:tcBorders>
              <w:top w:val="single" w:sz="4" w:space="0" w:color="auto"/>
            </w:tcBorders>
            <w:noWrap/>
            <w:vAlign w:val="center"/>
          </w:tcPr>
          <w:p w14:paraId="382ACFFA" w14:textId="77777777" w:rsidR="00D7265E" w:rsidRPr="00800D22" w:rsidRDefault="00D7265E" w:rsidP="00DB24B0">
            <w:pPr>
              <w:widowControl/>
              <w:rPr>
                <w:kern w:val="0"/>
                <w:sz w:val="18"/>
                <w:szCs w:val="18"/>
              </w:rPr>
            </w:pPr>
            <w:r w:rsidRPr="00800D22">
              <w:rPr>
                <w:kern w:val="0"/>
                <w:sz w:val="18"/>
                <w:szCs w:val="18"/>
              </w:rPr>
              <w:t>51.37%</w:t>
            </w:r>
          </w:p>
        </w:tc>
        <w:tc>
          <w:tcPr>
            <w:tcW w:w="466" w:type="pct"/>
            <w:tcBorders>
              <w:top w:val="single" w:sz="4" w:space="0" w:color="auto"/>
            </w:tcBorders>
            <w:noWrap/>
            <w:vAlign w:val="center"/>
          </w:tcPr>
          <w:p w14:paraId="5D798395" w14:textId="77777777" w:rsidR="00D7265E" w:rsidRPr="00800D22" w:rsidRDefault="00D7265E" w:rsidP="00DB24B0">
            <w:pPr>
              <w:widowControl/>
              <w:rPr>
                <w:kern w:val="0"/>
                <w:sz w:val="18"/>
                <w:szCs w:val="18"/>
              </w:rPr>
            </w:pPr>
            <w:r w:rsidRPr="00800D22">
              <w:rPr>
                <w:kern w:val="0"/>
                <w:sz w:val="18"/>
                <w:szCs w:val="18"/>
              </w:rPr>
              <w:t>51.10%</w:t>
            </w:r>
          </w:p>
        </w:tc>
        <w:tc>
          <w:tcPr>
            <w:tcW w:w="466" w:type="pct"/>
            <w:tcBorders>
              <w:top w:val="single" w:sz="4" w:space="0" w:color="auto"/>
            </w:tcBorders>
            <w:noWrap/>
            <w:vAlign w:val="center"/>
          </w:tcPr>
          <w:p w14:paraId="19B9DC33" w14:textId="77777777" w:rsidR="00D7265E" w:rsidRPr="00800D22" w:rsidRDefault="00D7265E" w:rsidP="00DB24B0">
            <w:pPr>
              <w:widowControl/>
              <w:rPr>
                <w:kern w:val="0"/>
                <w:sz w:val="18"/>
                <w:szCs w:val="18"/>
              </w:rPr>
            </w:pPr>
            <w:r w:rsidRPr="00800D22">
              <w:rPr>
                <w:kern w:val="0"/>
                <w:sz w:val="18"/>
                <w:szCs w:val="18"/>
              </w:rPr>
              <w:t>50.37%</w:t>
            </w:r>
          </w:p>
        </w:tc>
        <w:tc>
          <w:tcPr>
            <w:tcW w:w="466" w:type="pct"/>
            <w:tcBorders>
              <w:top w:val="single" w:sz="4" w:space="0" w:color="auto"/>
            </w:tcBorders>
            <w:noWrap/>
            <w:vAlign w:val="center"/>
          </w:tcPr>
          <w:p w14:paraId="0A4147AE" w14:textId="77777777" w:rsidR="00D7265E" w:rsidRPr="00800D22" w:rsidRDefault="00D7265E" w:rsidP="00DB24B0">
            <w:pPr>
              <w:widowControl/>
              <w:rPr>
                <w:kern w:val="0"/>
                <w:sz w:val="18"/>
                <w:szCs w:val="18"/>
              </w:rPr>
            </w:pPr>
            <w:r w:rsidRPr="00800D22">
              <w:rPr>
                <w:kern w:val="0"/>
                <w:sz w:val="18"/>
                <w:szCs w:val="18"/>
              </w:rPr>
              <w:t>49.85%</w:t>
            </w:r>
          </w:p>
        </w:tc>
        <w:tc>
          <w:tcPr>
            <w:tcW w:w="466" w:type="pct"/>
            <w:tcBorders>
              <w:top w:val="single" w:sz="4" w:space="0" w:color="auto"/>
            </w:tcBorders>
            <w:noWrap/>
            <w:vAlign w:val="center"/>
          </w:tcPr>
          <w:p w14:paraId="056785B4" w14:textId="77777777" w:rsidR="00D7265E" w:rsidRPr="00800D22" w:rsidRDefault="00D7265E" w:rsidP="00DB24B0">
            <w:pPr>
              <w:widowControl/>
              <w:rPr>
                <w:kern w:val="0"/>
                <w:sz w:val="18"/>
                <w:szCs w:val="18"/>
              </w:rPr>
            </w:pPr>
            <w:r w:rsidRPr="00800D22">
              <w:rPr>
                <w:kern w:val="0"/>
                <w:sz w:val="18"/>
                <w:szCs w:val="18"/>
              </w:rPr>
              <w:t>50.00%</w:t>
            </w:r>
          </w:p>
        </w:tc>
      </w:tr>
      <w:tr w:rsidR="00D7265E" w:rsidRPr="00800D22" w14:paraId="5E9942EB" w14:textId="77777777" w:rsidTr="00DB24B0">
        <w:trPr>
          <w:trHeight w:val="285"/>
        </w:trPr>
        <w:tc>
          <w:tcPr>
            <w:tcW w:w="340" w:type="pct"/>
            <w:noWrap/>
            <w:vAlign w:val="center"/>
          </w:tcPr>
          <w:p w14:paraId="4102B18E"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1F6273AC" w14:textId="77777777" w:rsidR="00D7265E" w:rsidRPr="00800D22" w:rsidRDefault="00D7265E" w:rsidP="00DB24B0">
            <w:pPr>
              <w:widowControl/>
              <w:rPr>
                <w:kern w:val="0"/>
                <w:sz w:val="18"/>
                <w:szCs w:val="18"/>
              </w:rPr>
            </w:pPr>
            <w:r w:rsidRPr="00800D22">
              <w:rPr>
                <w:kern w:val="0"/>
                <w:sz w:val="18"/>
                <w:szCs w:val="18"/>
              </w:rPr>
              <w:t>76.56%</w:t>
            </w:r>
          </w:p>
        </w:tc>
        <w:tc>
          <w:tcPr>
            <w:tcW w:w="466" w:type="pct"/>
            <w:noWrap/>
            <w:vAlign w:val="center"/>
          </w:tcPr>
          <w:p w14:paraId="1EFC5438" w14:textId="77777777" w:rsidR="00D7265E" w:rsidRPr="00800D22" w:rsidRDefault="00D7265E" w:rsidP="00DB24B0">
            <w:pPr>
              <w:widowControl/>
              <w:rPr>
                <w:kern w:val="0"/>
                <w:sz w:val="18"/>
                <w:szCs w:val="18"/>
              </w:rPr>
            </w:pPr>
            <w:r w:rsidRPr="00800D22">
              <w:rPr>
                <w:kern w:val="0"/>
                <w:sz w:val="18"/>
                <w:szCs w:val="18"/>
              </w:rPr>
              <w:t>78.38%</w:t>
            </w:r>
          </w:p>
        </w:tc>
        <w:tc>
          <w:tcPr>
            <w:tcW w:w="466" w:type="pct"/>
            <w:noWrap/>
            <w:vAlign w:val="center"/>
          </w:tcPr>
          <w:p w14:paraId="5137ADCD" w14:textId="77777777" w:rsidR="00D7265E" w:rsidRPr="00800D22" w:rsidRDefault="00D7265E" w:rsidP="00DB24B0">
            <w:pPr>
              <w:widowControl/>
              <w:rPr>
                <w:kern w:val="0"/>
                <w:sz w:val="18"/>
                <w:szCs w:val="18"/>
              </w:rPr>
            </w:pPr>
            <w:r w:rsidRPr="00800D22">
              <w:rPr>
                <w:kern w:val="0"/>
                <w:sz w:val="18"/>
                <w:szCs w:val="18"/>
              </w:rPr>
              <w:t>77.93%</w:t>
            </w:r>
          </w:p>
        </w:tc>
        <w:tc>
          <w:tcPr>
            <w:tcW w:w="466" w:type="pct"/>
            <w:noWrap/>
            <w:vAlign w:val="center"/>
          </w:tcPr>
          <w:p w14:paraId="601379EC" w14:textId="77777777" w:rsidR="00D7265E" w:rsidRPr="00800D22" w:rsidRDefault="00D7265E" w:rsidP="00DB24B0">
            <w:pPr>
              <w:widowControl/>
              <w:rPr>
                <w:kern w:val="0"/>
                <w:sz w:val="18"/>
                <w:szCs w:val="18"/>
              </w:rPr>
            </w:pPr>
            <w:r w:rsidRPr="00800D22">
              <w:rPr>
                <w:kern w:val="0"/>
                <w:sz w:val="18"/>
                <w:szCs w:val="18"/>
              </w:rPr>
              <w:t>75.13%</w:t>
            </w:r>
          </w:p>
        </w:tc>
        <w:tc>
          <w:tcPr>
            <w:tcW w:w="466" w:type="pct"/>
            <w:noWrap/>
            <w:vAlign w:val="center"/>
          </w:tcPr>
          <w:p w14:paraId="66393484" w14:textId="77777777" w:rsidR="00D7265E" w:rsidRPr="00800D22" w:rsidRDefault="00D7265E" w:rsidP="00DB24B0">
            <w:pPr>
              <w:widowControl/>
              <w:rPr>
                <w:kern w:val="0"/>
                <w:sz w:val="18"/>
                <w:szCs w:val="18"/>
              </w:rPr>
            </w:pPr>
            <w:r w:rsidRPr="00800D22">
              <w:rPr>
                <w:kern w:val="0"/>
                <w:sz w:val="18"/>
                <w:szCs w:val="18"/>
              </w:rPr>
              <w:t>73.95%</w:t>
            </w:r>
          </w:p>
        </w:tc>
        <w:tc>
          <w:tcPr>
            <w:tcW w:w="466" w:type="pct"/>
            <w:noWrap/>
            <w:vAlign w:val="center"/>
          </w:tcPr>
          <w:p w14:paraId="3BA0875E" w14:textId="77777777" w:rsidR="00D7265E" w:rsidRPr="00800D22" w:rsidRDefault="00D7265E" w:rsidP="00DB24B0">
            <w:pPr>
              <w:widowControl/>
              <w:rPr>
                <w:kern w:val="0"/>
                <w:sz w:val="18"/>
                <w:szCs w:val="18"/>
              </w:rPr>
            </w:pPr>
            <w:r w:rsidRPr="00800D22">
              <w:rPr>
                <w:kern w:val="0"/>
                <w:sz w:val="18"/>
                <w:szCs w:val="18"/>
              </w:rPr>
              <w:t>73.03%</w:t>
            </w:r>
          </w:p>
        </w:tc>
        <w:tc>
          <w:tcPr>
            <w:tcW w:w="466" w:type="pct"/>
            <w:noWrap/>
            <w:vAlign w:val="center"/>
          </w:tcPr>
          <w:p w14:paraId="1875EBB4" w14:textId="77777777" w:rsidR="00D7265E" w:rsidRPr="00800D22" w:rsidRDefault="00D7265E" w:rsidP="00DB24B0">
            <w:pPr>
              <w:widowControl/>
              <w:rPr>
                <w:kern w:val="0"/>
                <w:sz w:val="18"/>
                <w:szCs w:val="18"/>
              </w:rPr>
            </w:pPr>
            <w:r w:rsidRPr="00800D22">
              <w:rPr>
                <w:kern w:val="0"/>
                <w:sz w:val="18"/>
                <w:szCs w:val="18"/>
              </w:rPr>
              <w:t>72.66%</w:t>
            </w:r>
          </w:p>
        </w:tc>
        <w:tc>
          <w:tcPr>
            <w:tcW w:w="466" w:type="pct"/>
            <w:noWrap/>
            <w:vAlign w:val="center"/>
          </w:tcPr>
          <w:p w14:paraId="7EE027F6" w14:textId="77777777" w:rsidR="00D7265E" w:rsidRPr="00800D22" w:rsidRDefault="00D7265E" w:rsidP="00DB24B0">
            <w:pPr>
              <w:widowControl/>
              <w:rPr>
                <w:kern w:val="0"/>
                <w:sz w:val="18"/>
                <w:szCs w:val="18"/>
              </w:rPr>
            </w:pPr>
            <w:r w:rsidRPr="00800D22">
              <w:rPr>
                <w:kern w:val="0"/>
                <w:sz w:val="18"/>
                <w:szCs w:val="18"/>
              </w:rPr>
              <w:t>71.88%</w:t>
            </w:r>
          </w:p>
        </w:tc>
        <w:tc>
          <w:tcPr>
            <w:tcW w:w="466" w:type="pct"/>
            <w:noWrap/>
            <w:vAlign w:val="center"/>
          </w:tcPr>
          <w:p w14:paraId="786A04D2" w14:textId="77777777" w:rsidR="00D7265E" w:rsidRPr="00800D22" w:rsidRDefault="00D7265E" w:rsidP="00DB24B0">
            <w:pPr>
              <w:widowControl/>
              <w:rPr>
                <w:kern w:val="0"/>
                <w:sz w:val="18"/>
                <w:szCs w:val="18"/>
              </w:rPr>
            </w:pPr>
            <w:r w:rsidRPr="00800D22">
              <w:rPr>
                <w:kern w:val="0"/>
                <w:sz w:val="18"/>
                <w:szCs w:val="18"/>
              </w:rPr>
              <w:t>71.38%</w:t>
            </w:r>
          </w:p>
        </w:tc>
        <w:tc>
          <w:tcPr>
            <w:tcW w:w="466" w:type="pct"/>
            <w:noWrap/>
            <w:vAlign w:val="center"/>
          </w:tcPr>
          <w:p w14:paraId="1647E141" w14:textId="77777777" w:rsidR="00D7265E" w:rsidRPr="00800D22" w:rsidRDefault="00D7265E" w:rsidP="00DB24B0">
            <w:pPr>
              <w:widowControl/>
              <w:rPr>
                <w:kern w:val="0"/>
                <w:sz w:val="18"/>
                <w:szCs w:val="18"/>
              </w:rPr>
            </w:pPr>
            <w:r w:rsidRPr="00800D22">
              <w:rPr>
                <w:kern w:val="0"/>
                <w:sz w:val="18"/>
                <w:szCs w:val="18"/>
              </w:rPr>
              <w:t>71.43%</w:t>
            </w:r>
          </w:p>
        </w:tc>
      </w:tr>
      <w:tr w:rsidR="00D7265E" w:rsidRPr="00800D22" w14:paraId="053ABC53" w14:textId="77777777" w:rsidTr="00DB24B0">
        <w:trPr>
          <w:trHeight w:val="285"/>
        </w:trPr>
        <w:tc>
          <w:tcPr>
            <w:tcW w:w="340" w:type="pct"/>
            <w:noWrap/>
            <w:vAlign w:val="center"/>
          </w:tcPr>
          <w:p w14:paraId="38A91613"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49C0B589" w14:textId="77777777" w:rsidR="00D7265E" w:rsidRPr="00800D22" w:rsidRDefault="00D7265E" w:rsidP="00DB24B0">
            <w:pPr>
              <w:widowControl/>
              <w:rPr>
                <w:kern w:val="0"/>
                <w:sz w:val="18"/>
                <w:szCs w:val="18"/>
              </w:rPr>
            </w:pPr>
            <w:r w:rsidRPr="00800D22">
              <w:rPr>
                <w:kern w:val="0"/>
                <w:sz w:val="18"/>
                <w:szCs w:val="18"/>
              </w:rPr>
              <w:t>87.46%</w:t>
            </w:r>
          </w:p>
        </w:tc>
        <w:tc>
          <w:tcPr>
            <w:tcW w:w="466" w:type="pct"/>
            <w:noWrap/>
            <w:vAlign w:val="center"/>
          </w:tcPr>
          <w:p w14:paraId="0101326C" w14:textId="77777777" w:rsidR="00D7265E" w:rsidRPr="00800D22" w:rsidRDefault="00D7265E" w:rsidP="00DB24B0">
            <w:pPr>
              <w:widowControl/>
              <w:rPr>
                <w:kern w:val="0"/>
                <w:sz w:val="18"/>
                <w:szCs w:val="18"/>
              </w:rPr>
            </w:pPr>
            <w:r w:rsidRPr="00800D22">
              <w:rPr>
                <w:kern w:val="0"/>
                <w:sz w:val="18"/>
                <w:szCs w:val="18"/>
              </w:rPr>
              <w:t>88.57%</w:t>
            </w:r>
          </w:p>
        </w:tc>
        <w:tc>
          <w:tcPr>
            <w:tcW w:w="466" w:type="pct"/>
            <w:noWrap/>
            <w:vAlign w:val="center"/>
          </w:tcPr>
          <w:p w14:paraId="25F8110F" w14:textId="77777777" w:rsidR="00D7265E" w:rsidRPr="00800D22" w:rsidRDefault="00D7265E" w:rsidP="00DB24B0">
            <w:pPr>
              <w:widowControl/>
              <w:rPr>
                <w:kern w:val="0"/>
                <w:sz w:val="18"/>
                <w:szCs w:val="18"/>
              </w:rPr>
            </w:pPr>
            <w:r w:rsidRPr="00800D22">
              <w:rPr>
                <w:kern w:val="0"/>
                <w:sz w:val="18"/>
                <w:szCs w:val="18"/>
              </w:rPr>
              <w:t>88.37%</w:t>
            </w:r>
          </w:p>
        </w:tc>
        <w:tc>
          <w:tcPr>
            <w:tcW w:w="466" w:type="pct"/>
            <w:noWrap/>
            <w:vAlign w:val="center"/>
          </w:tcPr>
          <w:p w14:paraId="38B32C4A" w14:textId="77777777" w:rsidR="00D7265E" w:rsidRPr="00800D22" w:rsidRDefault="00D7265E" w:rsidP="00DB24B0">
            <w:pPr>
              <w:widowControl/>
              <w:rPr>
                <w:kern w:val="0"/>
                <w:sz w:val="18"/>
                <w:szCs w:val="18"/>
              </w:rPr>
            </w:pPr>
            <w:r w:rsidRPr="00800D22">
              <w:rPr>
                <w:kern w:val="0"/>
                <w:sz w:val="18"/>
                <w:szCs w:val="18"/>
              </w:rPr>
              <w:t>86.38%</w:t>
            </w:r>
          </w:p>
        </w:tc>
        <w:tc>
          <w:tcPr>
            <w:tcW w:w="466" w:type="pct"/>
            <w:noWrap/>
            <w:vAlign w:val="center"/>
          </w:tcPr>
          <w:p w14:paraId="4CB6EEEF" w14:textId="77777777" w:rsidR="00D7265E" w:rsidRPr="00800D22" w:rsidRDefault="00D7265E" w:rsidP="00DB24B0">
            <w:pPr>
              <w:widowControl/>
              <w:rPr>
                <w:kern w:val="0"/>
                <w:sz w:val="18"/>
                <w:szCs w:val="18"/>
              </w:rPr>
            </w:pPr>
            <w:r w:rsidRPr="00800D22">
              <w:rPr>
                <w:kern w:val="0"/>
                <w:sz w:val="18"/>
                <w:szCs w:val="18"/>
              </w:rPr>
              <w:t>85.44%</w:t>
            </w:r>
          </w:p>
        </w:tc>
        <w:tc>
          <w:tcPr>
            <w:tcW w:w="466" w:type="pct"/>
            <w:noWrap/>
            <w:vAlign w:val="center"/>
          </w:tcPr>
          <w:p w14:paraId="20F9131A" w14:textId="77777777" w:rsidR="00D7265E" w:rsidRPr="00800D22" w:rsidRDefault="00D7265E" w:rsidP="00DB24B0">
            <w:pPr>
              <w:widowControl/>
              <w:rPr>
                <w:kern w:val="0"/>
                <w:sz w:val="18"/>
                <w:szCs w:val="18"/>
              </w:rPr>
            </w:pPr>
            <w:r w:rsidRPr="00800D22">
              <w:rPr>
                <w:kern w:val="0"/>
                <w:sz w:val="18"/>
                <w:szCs w:val="18"/>
              </w:rPr>
              <w:t>84.73%</w:t>
            </w:r>
          </w:p>
        </w:tc>
        <w:tc>
          <w:tcPr>
            <w:tcW w:w="466" w:type="pct"/>
            <w:noWrap/>
            <w:vAlign w:val="center"/>
          </w:tcPr>
          <w:p w14:paraId="0E5EA2D7" w14:textId="77777777" w:rsidR="00D7265E" w:rsidRPr="00800D22" w:rsidRDefault="00D7265E" w:rsidP="00DB24B0">
            <w:pPr>
              <w:widowControl/>
              <w:rPr>
                <w:kern w:val="0"/>
                <w:sz w:val="18"/>
                <w:szCs w:val="18"/>
              </w:rPr>
            </w:pPr>
            <w:r w:rsidRPr="00800D22">
              <w:rPr>
                <w:kern w:val="0"/>
                <w:sz w:val="18"/>
                <w:szCs w:val="18"/>
              </w:rPr>
              <w:t>84.37%</w:t>
            </w:r>
          </w:p>
        </w:tc>
        <w:tc>
          <w:tcPr>
            <w:tcW w:w="466" w:type="pct"/>
            <w:noWrap/>
            <w:vAlign w:val="center"/>
          </w:tcPr>
          <w:p w14:paraId="5F99D624" w14:textId="77777777" w:rsidR="00D7265E" w:rsidRPr="00800D22" w:rsidRDefault="00D7265E" w:rsidP="00DB24B0">
            <w:pPr>
              <w:widowControl/>
              <w:rPr>
                <w:kern w:val="0"/>
                <w:sz w:val="18"/>
                <w:szCs w:val="18"/>
              </w:rPr>
            </w:pPr>
            <w:r w:rsidRPr="00800D22">
              <w:rPr>
                <w:kern w:val="0"/>
                <w:sz w:val="18"/>
                <w:szCs w:val="18"/>
              </w:rPr>
              <w:t>83.72%</w:t>
            </w:r>
          </w:p>
        </w:tc>
        <w:tc>
          <w:tcPr>
            <w:tcW w:w="466" w:type="pct"/>
            <w:noWrap/>
            <w:vAlign w:val="center"/>
          </w:tcPr>
          <w:p w14:paraId="2BB8FA39" w14:textId="77777777" w:rsidR="00D7265E" w:rsidRPr="00800D22" w:rsidRDefault="00D7265E" w:rsidP="00DB24B0">
            <w:pPr>
              <w:widowControl/>
              <w:rPr>
                <w:kern w:val="0"/>
                <w:sz w:val="18"/>
                <w:szCs w:val="18"/>
              </w:rPr>
            </w:pPr>
            <w:r w:rsidRPr="00800D22">
              <w:rPr>
                <w:kern w:val="0"/>
                <w:sz w:val="18"/>
                <w:szCs w:val="18"/>
              </w:rPr>
              <w:t>83.30%</w:t>
            </w:r>
          </w:p>
        </w:tc>
        <w:tc>
          <w:tcPr>
            <w:tcW w:w="466" w:type="pct"/>
            <w:noWrap/>
            <w:vAlign w:val="center"/>
          </w:tcPr>
          <w:p w14:paraId="726419B2" w14:textId="77777777" w:rsidR="00D7265E" w:rsidRPr="00800D22" w:rsidRDefault="00D7265E" w:rsidP="00DB24B0">
            <w:pPr>
              <w:widowControl/>
              <w:rPr>
                <w:kern w:val="0"/>
                <w:sz w:val="18"/>
                <w:szCs w:val="18"/>
              </w:rPr>
            </w:pPr>
            <w:r w:rsidRPr="00800D22">
              <w:rPr>
                <w:kern w:val="0"/>
                <w:sz w:val="18"/>
                <w:szCs w:val="18"/>
              </w:rPr>
              <w:t>83.33%</w:t>
            </w:r>
          </w:p>
        </w:tc>
      </w:tr>
      <w:tr w:rsidR="00D7265E" w:rsidRPr="00800D22" w14:paraId="3DCAC8E4" w14:textId="77777777" w:rsidTr="00DB24B0">
        <w:trPr>
          <w:trHeight w:val="285"/>
        </w:trPr>
        <w:tc>
          <w:tcPr>
            <w:tcW w:w="340" w:type="pct"/>
            <w:tcBorders>
              <w:bottom w:val="single" w:sz="4" w:space="0" w:color="auto"/>
            </w:tcBorders>
            <w:noWrap/>
            <w:vAlign w:val="center"/>
          </w:tcPr>
          <w:p w14:paraId="39577CF7"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bottom w:val="single" w:sz="4" w:space="0" w:color="auto"/>
            </w:tcBorders>
            <w:noWrap/>
            <w:vAlign w:val="center"/>
          </w:tcPr>
          <w:p w14:paraId="6C61EE23" w14:textId="77777777" w:rsidR="00D7265E" w:rsidRPr="00800D22" w:rsidRDefault="00D7265E" w:rsidP="00DB24B0">
            <w:pPr>
              <w:widowControl/>
              <w:rPr>
                <w:kern w:val="0"/>
                <w:sz w:val="18"/>
                <w:szCs w:val="18"/>
              </w:rPr>
            </w:pPr>
            <w:r w:rsidRPr="00800D22">
              <w:rPr>
                <w:kern w:val="0"/>
                <w:sz w:val="18"/>
                <w:szCs w:val="18"/>
              </w:rPr>
              <w:t>96.49%</w:t>
            </w:r>
          </w:p>
        </w:tc>
        <w:tc>
          <w:tcPr>
            <w:tcW w:w="466" w:type="pct"/>
            <w:tcBorders>
              <w:bottom w:val="single" w:sz="4" w:space="0" w:color="auto"/>
            </w:tcBorders>
            <w:noWrap/>
            <w:vAlign w:val="center"/>
          </w:tcPr>
          <w:p w14:paraId="03F9AFD3" w14:textId="77777777" w:rsidR="00D7265E" w:rsidRPr="00800D22" w:rsidRDefault="00D7265E" w:rsidP="00DB24B0">
            <w:pPr>
              <w:widowControl/>
              <w:rPr>
                <w:kern w:val="0"/>
                <w:sz w:val="18"/>
                <w:szCs w:val="18"/>
              </w:rPr>
            </w:pPr>
            <w:r w:rsidRPr="00800D22">
              <w:rPr>
                <w:kern w:val="0"/>
                <w:sz w:val="18"/>
                <w:szCs w:val="18"/>
              </w:rPr>
              <w:t>94.67%</w:t>
            </w:r>
          </w:p>
        </w:tc>
        <w:tc>
          <w:tcPr>
            <w:tcW w:w="466" w:type="pct"/>
            <w:tcBorders>
              <w:bottom w:val="single" w:sz="4" w:space="0" w:color="auto"/>
            </w:tcBorders>
            <w:noWrap/>
            <w:vAlign w:val="center"/>
          </w:tcPr>
          <w:p w14:paraId="1CDAF5EA" w14:textId="77777777" w:rsidR="00D7265E" w:rsidRPr="00800D22" w:rsidRDefault="00D7265E" w:rsidP="00DB24B0">
            <w:pPr>
              <w:widowControl/>
              <w:rPr>
                <w:kern w:val="0"/>
                <w:sz w:val="18"/>
                <w:szCs w:val="18"/>
              </w:rPr>
            </w:pPr>
            <w:r w:rsidRPr="00800D22">
              <w:rPr>
                <w:kern w:val="0"/>
                <w:sz w:val="18"/>
                <w:szCs w:val="18"/>
              </w:rPr>
              <w:t>92.83%</w:t>
            </w:r>
          </w:p>
        </w:tc>
        <w:tc>
          <w:tcPr>
            <w:tcW w:w="466" w:type="pct"/>
            <w:tcBorders>
              <w:bottom w:val="single" w:sz="4" w:space="0" w:color="auto"/>
            </w:tcBorders>
            <w:noWrap/>
            <w:vAlign w:val="center"/>
          </w:tcPr>
          <w:p w14:paraId="1718D7B2" w14:textId="77777777" w:rsidR="00D7265E" w:rsidRPr="00800D22" w:rsidRDefault="00D7265E" w:rsidP="00DB24B0">
            <w:pPr>
              <w:widowControl/>
              <w:rPr>
                <w:kern w:val="0"/>
                <w:sz w:val="18"/>
                <w:szCs w:val="18"/>
              </w:rPr>
            </w:pPr>
            <w:r w:rsidRPr="00800D22">
              <w:rPr>
                <w:kern w:val="0"/>
                <w:sz w:val="18"/>
                <w:szCs w:val="18"/>
              </w:rPr>
              <w:t>91.30%</w:t>
            </w:r>
          </w:p>
        </w:tc>
        <w:tc>
          <w:tcPr>
            <w:tcW w:w="466" w:type="pct"/>
            <w:tcBorders>
              <w:bottom w:val="single" w:sz="4" w:space="0" w:color="auto"/>
            </w:tcBorders>
            <w:noWrap/>
            <w:vAlign w:val="center"/>
          </w:tcPr>
          <w:p w14:paraId="2F17784B" w14:textId="77777777" w:rsidR="00D7265E" w:rsidRPr="00800D22" w:rsidRDefault="00D7265E" w:rsidP="00DB24B0">
            <w:pPr>
              <w:widowControl/>
              <w:rPr>
                <w:kern w:val="0"/>
                <w:sz w:val="18"/>
                <w:szCs w:val="18"/>
              </w:rPr>
            </w:pPr>
            <w:r w:rsidRPr="00800D22">
              <w:rPr>
                <w:kern w:val="0"/>
                <w:sz w:val="18"/>
                <w:szCs w:val="18"/>
              </w:rPr>
              <w:t>90.68%</w:t>
            </w:r>
          </w:p>
        </w:tc>
        <w:tc>
          <w:tcPr>
            <w:tcW w:w="466" w:type="pct"/>
            <w:tcBorders>
              <w:bottom w:val="single" w:sz="4" w:space="0" w:color="auto"/>
            </w:tcBorders>
            <w:noWrap/>
            <w:vAlign w:val="center"/>
          </w:tcPr>
          <w:p w14:paraId="326EAAAA" w14:textId="77777777" w:rsidR="00D7265E" w:rsidRPr="00800D22" w:rsidRDefault="00D7265E" w:rsidP="00DB24B0">
            <w:pPr>
              <w:widowControl/>
              <w:rPr>
                <w:kern w:val="0"/>
                <w:sz w:val="18"/>
                <w:szCs w:val="18"/>
              </w:rPr>
            </w:pPr>
            <w:r w:rsidRPr="00800D22">
              <w:rPr>
                <w:kern w:val="0"/>
                <w:sz w:val="18"/>
                <w:szCs w:val="18"/>
              </w:rPr>
              <w:t>90.22%</w:t>
            </w:r>
          </w:p>
        </w:tc>
        <w:tc>
          <w:tcPr>
            <w:tcW w:w="466" w:type="pct"/>
            <w:tcBorders>
              <w:bottom w:val="single" w:sz="4" w:space="0" w:color="auto"/>
            </w:tcBorders>
            <w:noWrap/>
            <w:vAlign w:val="center"/>
          </w:tcPr>
          <w:p w14:paraId="5A96184B" w14:textId="77777777" w:rsidR="00D7265E" w:rsidRPr="00800D22" w:rsidRDefault="00D7265E" w:rsidP="00DB24B0">
            <w:pPr>
              <w:widowControl/>
              <w:rPr>
                <w:kern w:val="0"/>
                <w:sz w:val="18"/>
                <w:szCs w:val="18"/>
              </w:rPr>
            </w:pPr>
            <w:r w:rsidRPr="00800D22">
              <w:rPr>
                <w:kern w:val="0"/>
                <w:sz w:val="18"/>
                <w:szCs w:val="18"/>
              </w:rPr>
              <w:t>90.00%</w:t>
            </w:r>
          </w:p>
        </w:tc>
        <w:tc>
          <w:tcPr>
            <w:tcW w:w="466" w:type="pct"/>
            <w:tcBorders>
              <w:bottom w:val="single" w:sz="4" w:space="0" w:color="auto"/>
            </w:tcBorders>
            <w:noWrap/>
            <w:vAlign w:val="center"/>
          </w:tcPr>
          <w:p w14:paraId="4B2EDB99" w14:textId="77777777" w:rsidR="00D7265E" w:rsidRPr="00800D22" w:rsidRDefault="00D7265E" w:rsidP="00DB24B0">
            <w:pPr>
              <w:widowControl/>
              <w:rPr>
                <w:kern w:val="0"/>
                <w:sz w:val="18"/>
                <w:szCs w:val="18"/>
              </w:rPr>
            </w:pPr>
            <w:r w:rsidRPr="00800D22">
              <w:rPr>
                <w:kern w:val="0"/>
                <w:sz w:val="18"/>
                <w:szCs w:val="18"/>
              </w:rPr>
              <w:t>89.62%</w:t>
            </w:r>
          </w:p>
        </w:tc>
        <w:tc>
          <w:tcPr>
            <w:tcW w:w="466" w:type="pct"/>
            <w:tcBorders>
              <w:bottom w:val="single" w:sz="4" w:space="0" w:color="auto"/>
            </w:tcBorders>
            <w:noWrap/>
            <w:vAlign w:val="center"/>
          </w:tcPr>
          <w:p w14:paraId="5FAB5B11" w14:textId="77777777" w:rsidR="00D7265E" w:rsidRPr="00800D22" w:rsidRDefault="00D7265E" w:rsidP="00DB24B0">
            <w:pPr>
              <w:widowControl/>
              <w:rPr>
                <w:kern w:val="0"/>
                <w:sz w:val="18"/>
                <w:szCs w:val="18"/>
              </w:rPr>
            </w:pPr>
            <w:r w:rsidRPr="00800D22">
              <w:rPr>
                <w:kern w:val="0"/>
                <w:sz w:val="18"/>
                <w:szCs w:val="18"/>
              </w:rPr>
              <w:t>89.21%</w:t>
            </w:r>
          </w:p>
        </w:tc>
        <w:tc>
          <w:tcPr>
            <w:tcW w:w="466" w:type="pct"/>
            <w:tcBorders>
              <w:bottom w:val="single" w:sz="4" w:space="0" w:color="auto"/>
            </w:tcBorders>
            <w:noWrap/>
            <w:vAlign w:val="center"/>
          </w:tcPr>
          <w:p w14:paraId="4BD176E3" w14:textId="77777777" w:rsidR="00D7265E" w:rsidRPr="00800D22" w:rsidRDefault="00D7265E" w:rsidP="00DB24B0">
            <w:pPr>
              <w:widowControl/>
              <w:rPr>
                <w:kern w:val="0"/>
                <w:sz w:val="18"/>
                <w:szCs w:val="18"/>
              </w:rPr>
            </w:pPr>
            <w:r w:rsidRPr="00800D22">
              <w:rPr>
                <w:kern w:val="0"/>
                <w:sz w:val="18"/>
                <w:szCs w:val="18"/>
              </w:rPr>
              <w:t>88.89%</w:t>
            </w:r>
          </w:p>
        </w:tc>
      </w:tr>
      <w:tr w:rsidR="00D7265E" w:rsidRPr="00800D22" w14:paraId="696F79BF" w14:textId="77777777" w:rsidTr="00DB24B0">
        <w:trPr>
          <w:trHeight w:val="285"/>
        </w:trPr>
        <w:tc>
          <w:tcPr>
            <w:tcW w:w="5000" w:type="pct"/>
            <w:gridSpan w:val="11"/>
            <w:tcBorders>
              <w:top w:val="single" w:sz="4" w:space="0" w:color="auto"/>
              <w:bottom w:val="nil"/>
            </w:tcBorders>
            <w:noWrap/>
            <w:vAlign w:val="center"/>
          </w:tcPr>
          <w:p w14:paraId="2789B848"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AA-</w:t>
            </w:r>
          </w:p>
        </w:tc>
      </w:tr>
      <w:tr w:rsidR="00D7265E" w:rsidRPr="00800D22" w14:paraId="773FA618" w14:textId="77777777" w:rsidTr="00DB24B0">
        <w:trPr>
          <w:trHeight w:val="285"/>
        </w:trPr>
        <w:tc>
          <w:tcPr>
            <w:tcW w:w="340" w:type="pct"/>
            <w:tcBorders>
              <w:top w:val="nil"/>
              <w:bottom w:val="single" w:sz="4" w:space="0" w:color="auto"/>
            </w:tcBorders>
            <w:noWrap/>
            <w:vAlign w:val="center"/>
          </w:tcPr>
          <w:p w14:paraId="749E7B2F"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7EE8C25E"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42757993"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2FC5C5C2"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514076A5"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3114899C"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7BEFEE33"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3E921423"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051B5511"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049B1232"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4C15B14D"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4E468C49" w14:textId="77777777" w:rsidTr="00DB24B0">
        <w:trPr>
          <w:trHeight w:val="285"/>
        </w:trPr>
        <w:tc>
          <w:tcPr>
            <w:tcW w:w="340" w:type="pct"/>
            <w:tcBorders>
              <w:top w:val="single" w:sz="4" w:space="0" w:color="auto"/>
            </w:tcBorders>
            <w:noWrap/>
            <w:vAlign w:val="center"/>
          </w:tcPr>
          <w:p w14:paraId="5FD3DFBA"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top w:val="single" w:sz="4" w:space="0" w:color="auto"/>
            </w:tcBorders>
            <w:noWrap/>
            <w:vAlign w:val="center"/>
          </w:tcPr>
          <w:p w14:paraId="5E3AC9E5" w14:textId="77777777" w:rsidR="00D7265E" w:rsidRPr="00800D22" w:rsidRDefault="00D7265E" w:rsidP="00DB24B0">
            <w:pPr>
              <w:widowControl/>
              <w:rPr>
                <w:kern w:val="0"/>
                <w:sz w:val="18"/>
                <w:szCs w:val="18"/>
              </w:rPr>
            </w:pPr>
            <w:r w:rsidRPr="00800D22">
              <w:rPr>
                <w:kern w:val="0"/>
                <w:sz w:val="18"/>
                <w:szCs w:val="18"/>
              </w:rPr>
              <w:t>48.13%</w:t>
            </w:r>
          </w:p>
        </w:tc>
        <w:tc>
          <w:tcPr>
            <w:tcW w:w="466" w:type="pct"/>
            <w:tcBorders>
              <w:top w:val="single" w:sz="4" w:space="0" w:color="auto"/>
            </w:tcBorders>
            <w:noWrap/>
            <w:vAlign w:val="center"/>
          </w:tcPr>
          <w:p w14:paraId="1060428A" w14:textId="77777777" w:rsidR="00D7265E" w:rsidRPr="00800D22" w:rsidRDefault="00D7265E" w:rsidP="00DB24B0">
            <w:pPr>
              <w:widowControl/>
              <w:rPr>
                <w:kern w:val="0"/>
                <w:sz w:val="18"/>
                <w:szCs w:val="18"/>
              </w:rPr>
            </w:pPr>
            <w:r w:rsidRPr="00800D22">
              <w:rPr>
                <w:kern w:val="0"/>
                <w:sz w:val="18"/>
                <w:szCs w:val="18"/>
              </w:rPr>
              <w:t>48.65%</w:t>
            </w:r>
          </w:p>
        </w:tc>
        <w:tc>
          <w:tcPr>
            <w:tcW w:w="466" w:type="pct"/>
            <w:tcBorders>
              <w:top w:val="single" w:sz="4" w:space="0" w:color="auto"/>
            </w:tcBorders>
            <w:noWrap/>
            <w:vAlign w:val="center"/>
          </w:tcPr>
          <w:p w14:paraId="57E574A2" w14:textId="77777777" w:rsidR="00D7265E" w:rsidRPr="00800D22" w:rsidRDefault="00D7265E" w:rsidP="00DB24B0">
            <w:pPr>
              <w:widowControl/>
              <w:rPr>
                <w:kern w:val="0"/>
                <w:sz w:val="18"/>
                <w:szCs w:val="18"/>
              </w:rPr>
            </w:pPr>
            <w:r w:rsidRPr="00800D22">
              <w:rPr>
                <w:kern w:val="0"/>
                <w:sz w:val="18"/>
                <w:szCs w:val="18"/>
              </w:rPr>
              <w:t>49.57%</w:t>
            </w:r>
          </w:p>
        </w:tc>
        <w:tc>
          <w:tcPr>
            <w:tcW w:w="466" w:type="pct"/>
            <w:tcBorders>
              <w:top w:val="single" w:sz="4" w:space="0" w:color="auto"/>
            </w:tcBorders>
            <w:noWrap/>
            <w:vAlign w:val="center"/>
          </w:tcPr>
          <w:p w14:paraId="18B85627" w14:textId="77777777" w:rsidR="00D7265E" w:rsidRPr="00800D22" w:rsidRDefault="00D7265E" w:rsidP="00DB24B0">
            <w:pPr>
              <w:widowControl/>
              <w:rPr>
                <w:kern w:val="0"/>
                <w:sz w:val="18"/>
                <w:szCs w:val="18"/>
              </w:rPr>
            </w:pPr>
            <w:r w:rsidRPr="00800D22">
              <w:rPr>
                <w:kern w:val="0"/>
                <w:sz w:val="18"/>
                <w:szCs w:val="18"/>
              </w:rPr>
              <w:t>46.56%</w:t>
            </w:r>
          </w:p>
        </w:tc>
        <w:tc>
          <w:tcPr>
            <w:tcW w:w="466" w:type="pct"/>
            <w:tcBorders>
              <w:top w:val="single" w:sz="4" w:space="0" w:color="auto"/>
            </w:tcBorders>
            <w:noWrap/>
            <w:vAlign w:val="center"/>
          </w:tcPr>
          <w:p w14:paraId="72CDCDD6" w14:textId="77777777" w:rsidR="00D7265E" w:rsidRPr="00800D22" w:rsidRDefault="00D7265E" w:rsidP="00DB24B0">
            <w:pPr>
              <w:widowControl/>
              <w:rPr>
                <w:kern w:val="0"/>
                <w:sz w:val="18"/>
                <w:szCs w:val="18"/>
              </w:rPr>
            </w:pPr>
            <w:r w:rsidRPr="00800D22">
              <w:rPr>
                <w:kern w:val="0"/>
                <w:sz w:val="18"/>
                <w:szCs w:val="18"/>
              </w:rPr>
              <w:t>45.59%</w:t>
            </w:r>
          </w:p>
        </w:tc>
        <w:tc>
          <w:tcPr>
            <w:tcW w:w="466" w:type="pct"/>
            <w:tcBorders>
              <w:top w:val="single" w:sz="4" w:space="0" w:color="auto"/>
            </w:tcBorders>
            <w:noWrap/>
            <w:vAlign w:val="center"/>
          </w:tcPr>
          <w:p w14:paraId="5C5E895F" w14:textId="77777777" w:rsidR="00D7265E" w:rsidRPr="00800D22" w:rsidRDefault="00D7265E" w:rsidP="00DB24B0">
            <w:pPr>
              <w:widowControl/>
              <w:rPr>
                <w:kern w:val="0"/>
                <w:sz w:val="18"/>
                <w:szCs w:val="18"/>
              </w:rPr>
            </w:pPr>
            <w:r w:rsidRPr="00800D22">
              <w:rPr>
                <w:kern w:val="0"/>
                <w:sz w:val="18"/>
                <w:szCs w:val="18"/>
              </w:rPr>
              <w:t>44.55%</w:t>
            </w:r>
          </w:p>
        </w:tc>
        <w:tc>
          <w:tcPr>
            <w:tcW w:w="466" w:type="pct"/>
            <w:tcBorders>
              <w:top w:val="single" w:sz="4" w:space="0" w:color="auto"/>
            </w:tcBorders>
            <w:noWrap/>
            <w:vAlign w:val="center"/>
          </w:tcPr>
          <w:p w14:paraId="31C8DA74" w14:textId="77777777" w:rsidR="00D7265E" w:rsidRPr="00800D22" w:rsidRDefault="00D7265E" w:rsidP="00DB24B0">
            <w:pPr>
              <w:widowControl/>
              <w:rPr>
                <w:kern w:val="0"/>
                <w:sz w:val="18"/>
                <w:szCs w:val="18"/>
              </w:rPr>
            </w:pPr>
            <w:r w:rsidRPr="00800D22">
              <w:rPr>
                <w:kern w:val="0"/>
                <w:sz w:val="18"/>
                <w:szCs w:val="18"/>
              </w:rPr>
              <w:t>44.09%</w:t>
            </w:r>
          </w:p>
        </w:tc>
        <w:tc>
          <w:tcPr>
            <w:tcW w:w="466" w:type="pct"/>
            <w:tcBorders>
              <w:top w:val="single" w:sz="4" w:space="0" w:color="auto"/>
            </w:tcBorders>
            <w:noWrap/>
            <w:vAlign w:val="center"/>
          </w:tcPr>
          <w:p w14:paraId="01715EEC" w14:textId="77777777" w:rsidR="00D7265E" w:rsidRPr="00800D22" w:rsidRDefault="00D7265E" w:rsidP="00DB24B0">
            <w:pPr>
              <w:widowControl/>
              <w:rPr>
                <w:kern w:val="0"/>
                <w:sz w:val="18"/>
                <w:szCs w:val="18"/>
              </w:rPr>
            </w:pPr>
            <w:r w:rsidRPr="00800D22">
              <w:rPr>
                <w:kern w:val="0"/>
                <w:sz w:val="18"/>
                <w:szCs w:val="18"/>
              </w:rPr>
              <w:t>43.33%</w:t>
            </w:r>
          </w:p>
        </w:tc>
        <w:tc>
          <w:tcPr>
            <w:tcW w:w="466" w:type="pct"/>
            <w:tcBorders>
              <w:top w:val="single" w:sz="4" w:space="0" w:color="auto"/>
            </w:tcBorders>
            <w:noWrap/>
            <w:vAlign w:val="center"/>
          </w:tcPr>
          <w:p w14:paraId="755341D9" w14:textId="77777777" w:rsidR="00D7265E" w:rsidRPr="00800D22" w:rsidRDefault="00D7265E" w:rsidP="00DB24B0">
            <w:pPr>
              <w:widowControl/>
              <w:rPr>
                <w:kern w:val="0"/>
                <w:sz w:val="18"/>
                <w:szCs w:val="18"/>
              </w:rPr>
            </w:pPr>
            <w:r w:rsidRPr="00800D22">
              <w:rPr>
                <w:kern w:val="0"/>
                <w:sz w:val="18"/>
                <w:szCs w:val="18"/>
              </w:rPr>
              <w:t>42.93%</w:t>
            </w:r>
          </w:p>
        </w:tc>
        <w:tc>
          <w:tcPr>
            <w:tcW w:w="466" w:type="pct"/>
            <w:tcBorders>
              <w:top w:val="single" w:sz="4" w:space="0" w:color="auto"/>
            </w:tcBorders>
            <w:noWrap/>
            <w:vAlign w:val="center"/>
          </w:tcPr>
          <w:p w14:paraId="161211EE" w14:textId="77777777" w:rsidR="00D7265E" w:rsidRPr="00800D22" w:rsidRDefault="00D7265E" w:rsidP="00DB24B0">
            <w:pPr>
              <w:widowControl/>
              <w:rPr>
                <w:kern w:val="0"/>
                <w:sz w:val="18"/>
                <w:szCs w:val="18"/>
              </w:rPr>
            </w:pPr>
            <w:r w:rsidRPr="00800D22">
              <w:rPr>
                <w:kern w:val="0"/>
                <w:sz w:val="18"/>
                <w:szCs w:val="18"/>
              </w:rPr>
              <w:t>42.86%</w:t>
            </w:r>
          </w:p>
        </w:tc>
      </w:tr>
      <w:tr w:rsidR="00D7265E" w:rsidRPr="00800D22" w14:paraId="57E0F85E" w14:textId="77777777" w:rsidTr="00DB24B0">
        <w:trPr>
          <w:trHeight w:val="285"/>
        </w:trPr>
        <w:tc>
          <w:tcPr>
            <w:tcW w:w="340" w:type="pct"/>
            <w:noWrap/>
            <w:vAlign w:val="center"/>
          </w:tcPr>
          <w:p w14:paraId="0380A889" w14:textId="77777777" w:rsidR="00D7265E" w:rsidRPr="00800D22" w:rsidRDefault="00D7265E" w:rsidP="00DB24B0">
            <w:pPr>
              <w:widowControl/>
              <w:rPr>
                <w:kern w:val="0"/>
                <w:sz w:val="18"/>
                <w:szCs w:val="18"/>
              </w:rPr>
            </w:pPr>
            <w:r w:rsidRPr="00800D22">
              <w:rPr>
                <w:kern w:val="0"/>
                <w:sz w:val="18"/>
                <w:szCs w:val="18"/>
              </w:rPr>
              <w:t>A</w:t>
            </w:r>
          </w:p>
        </w:tc>
        <w:tc>
          <w:tcPr>
            <w:tcW w:w="466" w:type="pct"/>
            <w:noWrap/>
            <w:vAlign w:val="center"/>
          </w:tcPr>
          <w:p w14:paraId="79CE4557" w14:textId="77777777" w:rsidR="00D7265E" w:rsidRPr="00800D22" w:rsidRDefault="00D7265E" w:rsidP="00DB24B0">
            <w:pPr>
              <w:widowControl/>
              <w:rPr>
                <w:kern w:val="0"/>
                <w:sz w:val="18"/>
                <w:szCs w:val="18"/>
              </w:rPr>
            </w:pPr>
            <w:r w:rsidRPr="00800D22">
              <w:rPr>
                <w:kern w:val="0"/>
                <w:sz w:val="18"/>
                <w:szCs w:val="18"/>
              </w:rPr>
              <w:t>72.24%</w:t>
            </w:r>
          </w:p>
        </w:tc>
        <w:tc>
          <w:tcPr>
            <w:tcW w:w="466" w:type="pct"/>
            <w:noWrap/>
            <w:vAlign w:val="center"/>
          </w:tcPr>
          <w:p w14:paraId="794715EF" w14:textId="77777777" w:rsidR="00D7265E" w:rsidRPr="00800D22" w:rsidRDefault="00D7265E" w:rsidP="00DB24B0">
            <w:pPr>
              <w:widowControl/>
              <w:rPr>
                <w:kern w:val="0"/>
                <w:sz w:val="18"/>
                <w:szCs w:val="18"/>
              </w:rPr>
            </w:pPr>
            <w:r w:rsidRPr="00800D22">
              <w:rPr>
                <w:kern w:val="0"/>
                <w:sz w:val="18"/>
                <w:szCs w:val="18"/>
              </w:rPr>
              <w:t>72.86%</w:t>
            </w:r>
          </w:p>
        </w:tc>
        <w:tc>
          <w:tcPr>
            <w:tcW w:w="466" w:type="pct"/>
            <w:noWrap/>
            <w:vAlign w:val="center"/>
          </w:tcPr>
          <w:p w14:paraId="3721716E" w14:textId="77777777" w:rsidR="00D7265E" w:rsidRPr="00800D22" w:rsidRDefault="00D7265E" w:rsidP="00DB24B0">
            <w:pPr>
              <w:widowControl/>
              <w:rPr>
                <w:kern w:val="0"/>
                <w:sz w:val="18"/>
                <w:szCs w:val="18"/>
              </w:rPr>
            </w:pPr>
            <w:r w:rsidRPr="00800D22">
              <w:rPr>
                <w:kern w:val="0"/>
                <w:sz w:val="18"/>
                <w:szCs w:val="18"/>
              </w:rPr>
              <w:t>73.42%</w:t>
            </w:r>
          </w:p>
        </w:tc>
        <w:tc>
          <w:tcPr>
            <w:tcW w:w="466" w:type="pct"/>
            <w:noWrap/>
            <w:vAlign w:val="center"/>
          </w:tcPr>
          <w:p w14:paraId="19094954" w14:textId="77777777" w:rsidR="00D7265E" w:rsidRPr="00800D22" w:rsidRDefault="00D7265E" w:rsidP="00DB24B0">
            <w:pPr>
              <w:widowControl/>
              <w:rPr>
                <w:kern w:val="0"/>
                <w:sz w:val="18"/>
                <w:szCs w:val="18"/>
              </w:rPr>
            </w:pPr>
            <w:r w:rsidRPr="00800D22">
              <w:rPr>
                <w:kern w:val="0"/>
                <w:sz w:val="18"/>
                <w:szCs w:val="18"/>
              </w:rPr>
              <w:t>70.72%</w:t>
            </w:r>
          </w:p>
        </w:tc>
        <w:tc>
          <w:tcPr>
            <w:tcW w:w="466" w:type="pct"/>
            <w:noWrap/>
            <w:vAlign w:val="center"/>
          </w:tcPr>
          <w:p w14:paraId="144ED01E" w14:textId="77777777" w:rsidR="00D7265E" w:rsidRPr="00800D22" w:rsidRDefault="00D7265E" w:rsidP="00DB24B0">
            <w:pPr>
              <w:widowControl/>
              <w:rPr>
                <w:kern w:val="0"/>
                <w:sz w:val="18"/>
                <w:szCs w:val="18"/>
              </w:rPr>
            </w:pPr>
            <w:r w:rsidRPr="00800D22">
              <w:rPr>
                <w:kern w:val="0"/>
                <w:sz w:val="18"/>
                <w:szCs w:val="18"/>
              </w:rPr>
              <w:t>69.59%</w:t>
            </w:r>
          </w:p>
        </w:tc>
        <w:tc>
          <w:tcPr>
            <w:tcW w:w="466" w:type="pct"/>
            <w:noWrap/>
            <w:vAlign w:val="center"/>
          </w:tcPr>
          <w:p w14:paraId="2E92D602" w14:textId="77777777" w:rsidR="00D7265E" w:rsidRPr="00800D22" w:rsidRDefault="00D7265E" w:rsidP="00DB24B0">
            <w:pPr>
              <w:widowControl/>
              <w:rPr>
                <w:kern w:val="0"/>
                <w:sz w:val="18"/>
                <w:szCs w:val="18"/>
              </w:rPr>
            </w:pPr>
            <w:r w:rsidRPr="00800D22">
              <w:rPr>
                <w:kern w:val="0"/>
                <w:sz w:val="18"/>
                <w:szCs w:val="18"/>
              </w:rPr>
              <w:t>68.61%</w:t>
            </w:r>
          </w:p>
        </w:tc>
        <w:tc>
          <w:tcPr>
            <w:tcW w:w="466" w:type="pct"/>
            <w:noWrap/>
            <w:vAlign w:val="center"/>
          </w:tcPr>
          <w:p w14:paraId="5228CCAA" w14:textId="77777777" w:rsidR="00D7265E" w:rsidRPr="00800D22" w:rsidRDefault="00D7265E" w:rsidP="00DB24B0">
            <w:pPr>
              <w:widowControl/>
              <w:rPr>
                <w:kern w:val="0"/>
                <w:sz w:val="18"/>
                <w:szCs w:val="18"/>
              </w:rPr>
            </w:pPr>
            <w:r w:rsidRPr="00800D22">
              <w:rPr>
                <w:kern w:val="0"/>
                <w:sz w:val="18"/>
                <w:szCs w:val="18"/>
              </w:rPr>
              <w:t>68.03%</w:t>
            </w:r>
          </w:p>
        </w:tc>
        <w:tc>
          <w:tcPr>
            <w:tcW w:w="466" w:type="pct"/>
            <w:noWrap/>
            <w:vAlign w:val="center"/>
          </w:tcPr>
          <w:p w14:paraId="0240699B" w14:textId="77777777" w:rsidR="00D7265E" w:rsidRPr="00800D22" w:rsidRDefault="00D7265E" w:rsidP="00DB24B0">
            <w:pPr>
              <w:widowControl/>
              <w:rPr>
                <w:kern w:val="0"/>
                <w:sz w:val="18"/>
                <w:szCs w:val="18"/>
              </w:rPr>
            </w:pPr>
            <w:r w:rsidRPr="00800D22">
              <w:rPr>
                <w:kern w:val="0"/>
                <w:sz w:val="18"/>
                <w:szCs w:val="18"/>
              </w:rPr>
              <w:t>67.19%</w:t>
            </w:r>
          </w:p>
        </w:tc>
        <w:tc>
          <w:tcPr>
            <w:tcW w:w="466" w:type="pct"/>
            <w:noWrap/>
            <w:vAlign w:val="center"/>
          </w:tcPr>
          <w:p w14:paraId="7C201C99" w14:textId="77777777" w:rsidR="00D7265E" w:rsidRPr="00800D22" w:rsidRDefault="00D7265E" w:rsidP="00DB24B0">
            <w:pPr>
              <w:widowControl/>
              <w:rPr>
                <w:kern w:val="0"/>
                <w:sz w:val="18"/>
                <w:szCs w:val="18"/>
              </w:rPr>
            </w:pPr>
            <w:r w:rsidRPr="00800D22">
              <w:rPr>
                <w:kern w:val="0"/>
                <w:sz w:val="18"/>
                <w:szCs w:val="18"/>
              </w:rPr>
              <w:t>66.70%</w:t>
            </w:r>
          </w:p>
        </w:tc>
        <w:tc>
          <w:tcPr>
            <w:tcW w:w="466" w:type="pct"/>
            <w:noWrap/>
            <w:vAlign w:val="center"/>
          </w:tcPr>
          <w:p w14:paraId="76F609C0" w14:textId="77777777" w:rsidR="00D7265E" w:rsidRPr="00800D22" w:rsidRDefault="00D7265E" w:rsidP="00DB24B0">
            <w:pPr>
              <w:widowControl/>
              <w:rPr>
                <w:kern w:val="0"/>
                <w:sz w:val="18"/>
                <w:szCs w:val="18"/>
              </w:rPr>
            </w:pPr>
            <w:r w:rsidRPr="00800D22">
              <w:rPr>
                <w:kern w:val="0"/>
                <w:sz w:val="18"/>
                <w:szCs w:val="18"/>
              </w:rPr>
              <w:t>66.67%</w:t>
            </w:r>
          </w:p>
        </w:tc>
      </w:tr>
      <w:tr w:rsidR="00D7265E" w:rsidRPr="00800D22" w14:paraId="1EF23F6F" w14:textId="77777777" w:rsidTr="00DB24B0">
        <w:trPr>
          <w:trHeight w:val="285"/>
        </w:trPr>
        <w:tc>
          <w:tcPr>
            <w:tcW w:w="340" w:type="pct"/>
            <w:tcBorders>
              <w:bottom w:val="single" w:sz="4" w:space="0" w:color="auto"/>
            </w:tcBorders>
            <w:noWrap/>
            <w:vAlign w:val="center"/>
          </w:tcPr>
          <w:p w14:paraId="6CA52475"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bottom w:val="single" w:sz="4" w:space="0" w:color="auto"/>
            </w:tcBorders>
            <w:noWrap/>
            <w:vAlign w:val="center"/>
          </w:tcPr>
          <w:p w14:paraId="16749571" w14:textId="77777777" w:rsidR="00D7265E" w:rsidRPr="00800D22" w:rsidRDefault="00D7265E" w:rsidP="00DB24B0">
            <w:pPr>
              <w:widowControl/>
              <w:rPr>
                <w:kern w:val="0"/>
                <w:sz w:val="18"/>
                <w:szCs w:val="18"/>
              </w:rPr>
            </w:pPr>
            <w:r w:rsidRPr="00800D22">
              <w:rPr>
                <w:kern w:val="0"/>
                <w:sz w:val="18"/>
                <w:szCs w:val="18"/>
              </w:rPr>
              <w:t>92.23%</w:t>
            </w:r>
          </w:p>
        </w:tc>
        <w:tc>
          <w:tcPr>
            <w:tcW w:w="466" w:type="pct"/>
            <w:tcBorders>
              <w:bottom w:val="single" w:sz="4" w:space="0" w:color="auto"/>
            </w:tcBorders>
            <w:noWrap/>
            <w:vAlign w:val="center"/>
          </w:tcPr>
          <w:p w14:paraId="1195CA20" w14:textId="77777777" w:rsidR="00D7265E" w:rsidRPr="00800D22" w:rsidRDefault="00D7265E" w:rsidP="00DB24B0">
            <w:pPr>
              <w:widowControl/>
              <w:rPr>
                <w:kern w:val="0"/>
                <w:sz w:val="18"/>
                <w:szCs w:val="18"/>
              </w:rPr>
            </w:pPr>
            <w:r w:rsidRPr="00800D22">
              <w:rPr>
                <w:kern w:val="0"/>
                <w:sz w:val="18"/>
                <w:szCs w:val="18"/>
              </w:rPr>
              <w:t>87.33%</w:t>
            </w:r>
          </w:p>
        </w:tc>
        <w:tc>
          <w:tcPr>
            <w:tcW w:w="466" w:type="pct"/>
            <w:tcBorders>
              <w:bottom w:val="single" w:sz="4" w:space="0" w:color="auto"/>
            </w:tcBorders>
            <w:noWrap/>
            <w:vAlign w:val="center"/>
          </w:tcPr>
          <w:p w14:paraId="3A77D856" w14:textId="77777777" w:rsidR="00D7265E" w:rsidRPr="00800D22" w:rsidRDefault="00D7265E" w:rsidP="00DB24B0">
            <w:pPr>
              <w:widowControl/>
              <w:rPr>
                <w:kern w:val="0"/>
                <w:sz w:val="18"/>
                <w:szCs w:val="18"/>
              </w:rPr>
            </w:pPr>
            <w:r w:rsidRPr="00800D22">
              <w:rPr>
                <w:kern w:val="0"/>
                <w:sz w:val="18"/>
                <w:szCs w:val="18"/>
              </w:rPr>
              <w:t>83.61%</w:t>
            </w:r>
          </w:p>
        </w:tc>
        <w:tc>
          <w:tcPr>
            <w:tcW w:w="466" w:type="pct"/>
            <w:tcBorders>
              <w:bottom w:val="single" w:sz="4" w:space="0" w:color="auto"/>
            </w:tcBorders>
            <w:noWrap/>
            <w:vAlign w:val="center"/>
          </w:tcPr>
          <w:p w14:paraId="22B32340" w14:textId="77777777" w:rsidR="00D7265E" w:rsidRPr="00800D22" w:rsidRDefault="00D7265E" w:rsidP="00DB24B0">
            <w:pPr>
              <w:widowControl/>
              <w:rPr>
                <w:kern w:val="0"/>
                <w:sz w:val="18"/>
                <w:szCs w:val="18"/>
              </w:rPr>
            </w:pPr>
            <w:r w:rsidRPr="00800D22">
              <w:rPr>
                <w:kern w:val="0"/>
                <w:sz w:val="18"/>
                <w:szCs w:val="18"/>
              </w:rPr>
              <w:t>81.30%</w:t>
            </w:r>
          </w:p>
        </w:tc>
        <w:tc>
          <w:tcPr>
            <w:tcW w:w="466" w:type="pct"/>
            <w:tcBorders>
              <w:bottom w:val="single" w:sz="4" w:space="0" w:color="auto"/>
            </w:tcBorders>
            <w:noWrap/>
            <w:vAlign w:val="center"/>
          </w:tcPr>
          <w:p w14:paraId="4D5C1714" w14:textId="77777777" w:rsidR="00D7265E" w:rsidRPr="00800D22" w:rsidRDefault="00D7265E" w:rsidP="00DB24B0">
            <w:pPr>
              <w:widowControl/>
              <w:rPr>
                <w:kern w:val="0"/>
                <w:sz w:val="18"/>
                <w:szCs w:val="18"/>
              </w:rPr>
            </w:pPr>
            <w:r w:rsidRPr="00800D22">
              <w:rPr>
                <w:kern w:val="0"/>
                <w:sz w:val="18"/>
                <w:szCs w:val="18"/>
              </w:rPr>
              <w:t>80.55%</w:t>
            </w:r>
          </w:p>
        </w:tc>
        <w:tc>
          <w:tcPr>
            <w:tcW w:w="466" w:type="pct"/>
            <w:tcBorders>
              <w:bottom w:val="single" w:sz="4" w:space="0" w:color="auto"/>
            </w:tcBorders>
            <w:noWrap/>
            <w:vAlign w:val="center"/>
          </w:tcPr>
          <w:p w14:paraId="60EE4962" w14:textId="77777777" w:rsidR="00D7265E" w:rsidRPr="00800D22" w:rsidRDefault="00D7265E" w:rsidP="00DB24B0">
            <w:pPr>
              <w:widowControl/>
              <w:rPr>
                <w:kern w:val="0"/>
                <w:sz w:val="18"/>
                <w:szCs w:val="18"/>
              </w:rPr>
            </w:pPr>
            <w:r w:rsidRPr="00800D22">
              <w:rPr>
                <w:kern w:val="0"/>
                <w:sz w:val="18"/>
                <w:szCs w:val="18"/>
              </w:rPr>
              <w:t>79.89%</w:t>
            </w:r>
          </w:p>
        </w:tc>
        <w:tc>
          <w:tcPr>
            <w:tcW w:w="466" w:type="pct"/>
            <w:tcBorders>
              <w:bottom w:val="single" w:sz="4" w:space="0" w:color="auto"/>
            </w:tcBorders>
            <w:noWrap/>
            <w:vAlign w:val="center"/>
          </w:tcPr>
          <w:p w14:paraId="30821CC1" w14:textId="77777777" w:rsidR="00D7265E" w:rsidRPr="00800D22" w:rsidRDefault="00D7265E" w:rsidP="00DB24B0">
            <w:pPr>
              <w:widowControl/>
              <w:rPr>
                <w:kern w:val="0"/>
                <w:sz w:val="18"/>
                <w:szCs w:val="18"/>
              </w:rPr>
            </w:pPr>
            <w:r w:rsidRPr="00800D22">
              <w:rPr>
                <w:kern w:val="0"/>
                <w:sz w:val="18"/>
                <w:szCs w:val="18"/>
              </w:rPr>
              <w:t>79.55%</w:t>
            </w:r>
          </w:p>
        </w:tc>
        <w:tc>
          <w:tcPr>
            <w:tcW w:w="466" w:type="pct"/>
            <w:tcBorders>
              <w:bottom w:val="single" w:sz="4" w:space="0" w:color="auto"/>
            </w:tcBorders>
            <w:noWrap/>
            <w:vAlign w:val="center"/>
          </w:tcPr>
          <w:p w14:paraId="0A95DE06" w14:textId="77777777" w:rsidR="00D7265E" w:rsidRPr="00800D22" w:rsidRDefault="00D7265E" w:rsidP="00DB24B0">
            <w:pPr>
              <w:widowControl/>
              <w:rPr>
                <w:kern w:val="0"/>
                <w:sz w:val="18"/>
                <w:szCs w:val="18"/>
              </w:rPr>
            </w:pPr>
            <w:r w:rsidRPr="00800D22">
              <w:rPr>
                <w:kern w:val="0"/>
                <w:sz w:val="18"/>
                <w:szCs w:val="18"/>
              </w:rPr>
              <w:t>79.08%</w:t>
            </w:r>
          </w:p>
        </w:tc>
        <w:tc>
          <w:tcPr>
            <w:tcW w:w="466" w:type="pct"/>
            <w:tcBorders>
              <w:bottom w:val="single" w:sz="4" w:space="0" w:color="auto"/>
            </w:tcBorders>
            <w:noWrap/>
            <w:vAlign w:val="center"/>
          </w:tcPr>
          <w:p w14:paraId="327351B7" w14:textId="77777777" w:rsidR="00D7265E" w:rsidRPr="00800D22" w:rsidRDefault="00D7265E" w:rsidP="00DB24B0">
            <w:pPr>
              <w:widowControl/>
              <w:rPr>
                <w:kern w:val="0"/>
                <w:sz w:val="18"/>
                <w:szCs w:val="18"/>
              </w:rPr>
            </w:pPr>
            <w:r w:rsidRPr="00800D22">
              <w:rPr>
                <w:kern w:val="0"/>
                <w:sz w:val="18"/>
                <w:szCs w:val="18"/>
              </w:rPr>
              <w:t>78.49%</w:t>
            </w:r>
          </w:p>
        </w:tc>
        <w:tc>
          <w:tcPr>
            <w:tcW w:w="466" w:type="pct"/>
            <w:tcBorders>
              <w:bottom w:val="single" w:sz="4" w:space="0" w:color="auto"/>
            </w:tcBorders>
            <w:noWrap/>
            <w:vAlign w:val="center"/>
          </w:tcPr>
          <w:p w14:paraId="0D12A28A" w14:textId="77777777" w:rsidR="00D7265E" w:rsidRPr="00800D22" w:rsidRDefault="00D7265E" w:rsidP="00DB24B0">
            <w:pPr>
              <w:widowControl/>
              <w:rPr>
                <w:kern w:val="0"/>
                <w:sz w:val="18"/>
                <w:szCs w:val="18"/>
              </w:rPr>
            </w:pPr>
            <w:r w:rsidRPr="00800D22">
              <w:rPr>
                <w:kern w:val="0"/>
                <w:sz w:val="18"/>
                <w:szCs w:val="18"/>
              </w:rPr>
              <w:t>77.78%</w:t>
            </w:r>
          </w:p>
        </w:tc>
      </w:tr>
      <w:tr w:rsidR="00D7265E" w:rsidRPr="00800D22" w14:paraId="75729EC7" w14:textId="77777777" w:rsidTr="00DB24B0">
        <w:trPr>
          <w:trHeight w:val="285"/>
        </w:trPr>
        <w:tc>
          <w:tcPr>
            <w:tcW w:w="5000" w:type="pct"/>
            <w:gridSpan w:val="11"/>
            <w:tcBorders>
              <w:top w:val="single" w:sz="4" w:space="0" w:color="auto"/>
              <w:bottom w:val="nil"/>
            </w:tcBorders>
            <w:noWrap/>
            <w:vAlign w:val="center"/>
          </w:tcPr>
          <w:p w14:paraId="4E783ABF"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w:t>
            </w:r>
          </w:p>
        </w:tc>
      </w:tr>
      <w:tr w:rsidR="00D7265E" w:rsidRPr="00800D22" w14:paraId="7E6CE4C4" w14:textId="77777777" w:rsidTr="00DB24B0">
        <w:trPr>
          <w:trHeight w:val="285"/>
        </w:trPr>
        <w:tc>
          <w:tcPr>
            <w:tcW w:w="340" w:type="pct"/>
            <w:tcBorders>
              <w:top w:val="nil"/>
              <w:bottom w:val="single" w:sz="4" w:space="0" w:color="auto"/>
            </w:tcBorders>
            <w:noWrap/>
            <w:vAlign w:val="center"/>
          </w:tcPr>
          <w:p w14:paraId="49423FFD"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0D9DA4F4"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73CDE886"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3D5E4C40"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659FF88F"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450F6076"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79F478E3"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32CE9D7E"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3B7CBC85"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3B591AAD"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646128F3"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2ECC00A7" w14:textId="77777777" w:rsidTr="00DB24B0">
        <w:trPr>
          <w:trHeight w:val="285"/>
        </w:trPr>
        <w:tc>
          <w:tcPr>
            <w:tcW w:w="340" w:type="pct"/>
            <w:tcBorders>
              <w:top w:val="single" w:sz="4" w:space="0" w:color="auto"/>
            </w:tcBorders>
            <w:noWrap/>
            <w:vAlign w:val="center"/>
          </w:tcPr>
          <w:p w14:paraId="32912206"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top w:val="single" w:sz="4" w:space="0" w:color="auto"/>
            </w:tcBorders>
            <w:noWrap/>
            <w:vAlign w:val="center"/>
          </w:tcPr>
          <w:p w14:paraId="04D30C89" w14:textId="77777777" w:rsidR="00D7265E" w:rsidRPr="00800D22" w:rsidRDefault="00D7265E" w:rsidP="00DB24B0">
            <w:pPr>
              <w:widowControl/>
              <w:rPr>
                <w:kern w:val="0"/>
                <w:sz w:val="18"/>
                <w:szCs w:val="18"/>
              </w:rPr>
            </w:pPr>
            <w:r w:rsidRPr="00800D22">
              <w:rPr>
                <w:kern w:val="0"/>
                <w:sz w:val="18"/>
                <w:szCs w:val="18"/>
              </w:rPr>
              <w:t>46.49%</w:t>
            </w:r>
          </w:p>
        </w:tc>
        <w:tc>
          <w:tcPr>
            <w:tcW w:w="466" w:type="pct"/>
            <w:tcBorders>
              <w:top w:val="single" w:sz="4" w:space="0" w:color="auto"/>
            </w:tcBorders>
            <w:noWrap/>
            <w:vAlign w:val="center"/>
          </w:tcPr>
          <w:p w14:paraId="2F949AC5" w14:textId="77777777" w:rsidR="00D7265E" w:rsidRPr="00800D22" w:rsidRDefault="00D7265E" w:rsidP="00DB24B0">
            <w:pPr>
              <w:widowControl/>
              <w:rPr>
                <w:kern w:val="0"/>
                <w:sz w:val="18"/>
                <w:szCs w:val="18"/>
              </w:rPr>
            </w:pPr>
            <w:r w:rsidRPr="00800D22">
              <w:rPr>
                <w:kern w:val="0"/>
                <w:sz w:val="18"/>
                <w:szCs w:val="18"/>
              </w:rPr>
              <w:t>47.14%</w:t>
            </w:r>
          </w:p>
        </w:tc>
        <w:tc>
          <w:tcPr>
            <w:tcW w:w="466" w:type="pct"/>
            <w:tcBorders>
              <w:top w:val="single" w:sz="4" w:space="0" w:color="auto"/>
            </w:tcBorders>
            <w:noWrap/>
            <w:vAlign w:val="center"/>
          </w:tcPr>
          <w:p w14:paraId="7302377A" w14:textId="77777777" w:rsidR="00D7265E" w:rsidRPr="00800D22" w:rsidRDefault="00D7265E" w:rsidP="00DB24B0">
            <w:pPr>
              <w:widowControl/>
              <w:rPr>
                <w:kern w:val="0"/>
                <w:sz w:val="18"/>
                <w:szCs w:val="18"/>
              </w:rPr>
            </w:pPr>
            <w:r w:rsidRPr="00800D22">
              <w:rPr>
                <w:kern w:val="0"/>
                <w:sz w:val="18"/>
                <w:szCs w:val="18"/>
              </w:rPr>
              <w:t>47.30%</w:t>
            </w:r>
          </w:p>
        </w:tc>
        <w:tc>
          <w:tcPr>
            <w:tcW w:w="466" w:type="pct"/>
            <w:tcBorders>
              <w:top w:val="single" w:sz="4" w:space="0" w:color="auto"/>
            </w:tcBorders>
            <w:noWrap/>
            <w:vAlign w:val="center"/>
          </w:tcPr>
          <w:p w14:paraId="37174133" w14:textId="77777777" w:rsidR="00D7265E" w:rsidRPr="00800D22" w:rsidRDefault="00D7265E" w:rsidP="00DB24B0">
            <w:pPr>
              <w:widowControl/>
              <w:rPr>
                <w:kern w:val="0"/>
                <w:sz w:val="18"/>
                <w:szCs w:val="18"/>
              </w:rPr>
            </w:pPr>
            <w:r w:rsidRPr="00800D22">
              <w:rPr>
                <w:kern w:val="0"/>
                <w:sz w:val="18"/>
                <w:szCs w:val="18"/>
              </w:rPr>
              <w:t>45.22%</w:t>
            </w:r>
          </w:p>
        </w:tc>
        <w:tc>
          <w:tcPr>
            <w:tcW w:w="466" w:type="pct"/>
            <w:tcBorders>
              <w:top w:val="single" w:sz="4" w:space="0" w:color="auto"/>
            </w:tcBorders>
            <w:noWrap/>
            <w:vAlign w:val="center"/>
          </w:tcPr>
          <w:p w14:paraId="122D215D" w14:textId="77777777" w:rsidR="00D7265E" w:rsidRPr="00800D22" w:rsidRDefault="00D7265E" w:rsidP="00DB24B0">
            <w:pPr>
              <w:widowControl/>
              <w:rPr>
                <w:kern w:val="0"/>
                <w:sz w:val="18"/>
                <w:szCs w:val="18"/>
              </w:rPr>
            </w:pPr>
            <w:r w:rsidRPr="00800D22">
              <w:rPr>
                <w:kern w:val="0"/>
                <w:sz w:val="18"/>
                <w:szCs w:val="18"/>
              </w:rPr>
              <w:t>44.11%</w:t>
            </w:r>
          </w:p>
        </w:tc>
        <w:tc>
          <w:tcPr>
            <w:tcW w:w="466" w:type="pct"/>
            <w:tcBorders>
              <w:top w:val="single" w:sz="4" w:space="0" w:color="auto"/>
            </w:tcBorders>
            <w:noWrap/>
            <w:vAlign w:val="center"/>
          </w:tcPr>
          <w:p w14:paraId="6865AC79" w14:textId="77777777" w:rsidR="00D7265E" w:rsidRPr="00800D22" w:rsidRDefault="00D7265E" w:rsidP="00DB24B0">
            <w:pPr>
              <w:widowControl/>
              <w:rPr>
                <w:kern w:val="0"/>
                <w:sz w:val="18"/>
                <w:szCs w:val="18"/>
              </w:rPr>
            </w:pPr>
            <w:r w:rsidRPr="00800D22">
              <w:rPr>
                <w:kern w:val="0"/>
                <w:sz w:val="18"/>
                <w:szCs w:val="18"/>
              </w:rPr>
              <w:t>43.40%</w:t>
            </w:r>
          </w:p>
        </w:tc>
        <w:tc>
          <w:tcPr>
            <w:tcW w:w="466" w:type="pct"/>
            <w:tcBorders>
              <w:top w:val="single" w:sz="4" w:space="0" w:color="auto"/>
            </w:tcBorders>
            <w:noWrap/>
            <w:vAlign w:val="center"/>
          </w:tcPr>
          <w:p w14:paraId="1F9686EF" w14:textId="77777777" w:rsidR="00D7265E" w:rsidRPr="00800D22" w:rsidRDefault="00D7265E" w:rsidP="00DB24B0">
            <w:pPr>
              <w:widowControl/>
              <w:rPr>
                <w:kern w:val="0"/>
                <w:sz w:val="18"/>
                <w:szCs w:val="18"/>
              </w:rPr>
            </w:pPr>
            <w:r w:rsidRPr="00800D22">
              <w:rPr>
                <w:kern w:val="0"/>
                <w:sz w:val="18"/>
                <w:szCs w:val="18"/>
              </w:rPr>
              <w:t>42.82%</w:t>
            </w:r>
          </w:p>
        </w:tc>
        <w:tc>
          <w:tcPr>
            <w:tcW w:w="466" w:type="pct"/>
            <w:tcBorders>
              <w:top w:val="single" w:sz="4" w:space="0" w:color="auto"/>
            </w:tcBorders>
            <w:noWrap/>
            <w:vAlign w:val="center"/>
          </w:tcPr>
          <w:p w14:paraId="6CC344A8" w14:textId="77777777" w:rsidR="00D7265E" w:rsidRPr="00800D22" w:rsidRDefault="00D7265E" w:rsidP="00DB24B0">
            <w:pPr>
              <w:widowControl/>
              <w:rPr>
                <w:kern w:val="0"/>
                <w:sz w:val="18"/>
                <w:szCs w:val="18"/>
              </w:rPr>
            </w:pPr>
            <w:r w:rsidRPr="00800D22">
              <w:rPr>
                <w:kern w:val="0"/>
                <w:sz w:val="18"/>
                <w:szCs w:val="18"/>
              </w:rPr>
              <w:t>42.10%</w:t>
            </w:r>
          </w:p>
        </w:tc>
        <w:tc>
          <w:tcPr>
            <w:tcW w:w="466" w:type="pct"/>
            <w:tcBorders>
              <w:top w:val="single" w:sz="4" w:space="0" w:color="auto"/>
            </w:tcBorders>
            <w:noWrap/>
            <w:vAlign w:val="center"/>
          </w:tcPr>
          <w:p w14:paraId="1A2DC5F6" w14:textId="77777777" w:rsidR="00D7265E" w:rsidRPr="00800D22" w:rsidRDefault="00D7265E" w:rsidP="00DB24B0">
            <w:pPr>
              <w:widowControl/>
              <w:rPr>
                <w:kern w:val="0"/>
                <w:sz w:val="18"/>
                <w:szCs w:val="18"/>
              </w:rPr>
            </w:pPr>
            <w:r w:rsidRPr="00800D22">
              <w:rPr>
                <w:kern w:val="0"/>
                <w:sz w:val="18"/>
                <w:szCs w:val="18"/>
              </w:rPr>
              <w:t>41.65%</w:t>
            </w:r>
          </w:p>
        </w:tc>
        <w:tc>
          <w:tcPr>
            <w:tcW w:w="466" w:type="pct"/>
            <w:tcBorders>
              <w:top w:val="single" w:sz="4" w:space="0" w:color="auto"/>
            </w:tcBorders>
            <w:noWrap/>
            <w:vAlign w:val="center"/>
          </w:tcPr>
          <w:p w14:paraId="69103B9E" w14:textId="77777777" w:rsidR="00D7265E" w:rsidRPr="00800D22" w:rsidRDefault="00D7265E" w:rsidP="00DB24B0">
            <w:pPr>
              <w:widowControl/>
              <w:rPr>
                <w:kern w:val="0"/>
                <w:sz w:val="18"/>
                <w:szCs w:val="18"/>
              </w:rPr>
            </w:pPr>
            <w:r w:rsidRPr="00800D22">
              <w:rPr>
                <w:kern w:val="0"/>
                <w:sz w:val="18"/>
                <w:szCs w:val="18"/>
              </w:rPr>
              <w:t>41.67%</w:t>
            </w:r>
          </w:p>
        </w:tc>
      </w:tr>
      <w:tr w:rsidR="00D7265E" w:rsidRPr="00800D22" w14:paraId="23F6E9A7" w14:textId="77777777" w:rsidTr="00DB24B0">
        <w:trPr>
          <w:trHeight w:val="285"/>
        </w:trPr>
        <w:tc>
          <w:tcPr>
            <w:tcW w:w="340" w:type="pct"/>
            <w:tcBorders>
              <w:bottom w:val="single" w:sz="4" w:space="0" w:color="auto"/>
            </w:tcBorders>
            <w:noWrap/>
            <w:vAlign w:val="center"/>
          </w:tcPr>
          <w:p w14:paraId="6341E1DB" w14:textId="77777777" w:rsidR="00D7265E" w:rsidRPr="00800D22" w:rsidRDefault="00D7265E" w:rsidP="00DB24B0">
            <w:pPr>
              <w:widowControl/>
              <w:rPr>
                <w:kern w:val="0"/>
                <w:sz w:val="18"/>
                <w:szCs w:val="18"/>
              </w:rPr>
            </w:pPr>
            <w:r w:rsidRPr="00800D22">
              <w:rPr>
                <w:kern w:val="0"/>
                <w:sz w:val="18"/>
                <w:szCs w:val="18"/>
              </w:rPr>
              <w:t>A-</w:t>
            </w:r>
          </w:p>
        </w:tc>
        <w:tc>
          <w:tcPr>
            <w:tcW w:w="466" w:type="pct"/>
            <w:tcBorders>
              <w:bottom w:val="single" w:sz="4" w:space="0" w:color="auto"/>
            </w:tcBorders>
            <w:noWrap/>
            <w:vAlign w:val="center"/>
          </w:tcPr>
          <w:p w14:paraId="71826A91" w14:textId="77777777" w:rsidR="00D7265E" w:rsidRPr="00800D22" w:rsidRDefault="00D7265E" w:rsidP="00DB24B0">
            <w:pPr>
              <w:widowControl/>
              <w:rPr>
                <w:kern w:val="0"/>
                <w:sz w:val="18"/>
                <w:szCs w:val="18"/>
              </w:rPr>
            </w:pPr>
            <w:r w:rsidRPr="00800D22">
              <w:rPr>
                <w:kern w:val="0"/>
                <w:sz w:val="18"/>
                <w:szCs w:val="18"/>
              </w:rPr>
              <w:t>85.03%</w:t>
            </w:r>
          </w:p>
        </w:tc>
        <w:tc>
          <w:tcPr>
            <w:tcW w:w="466" w:type="pct"/>
            <w:tcBorders>
              <w:bottom w:val="single" w:sz="4" w:space="0" w:color="auto"/>
            </w:tcBorders>
            <w:noWrap/>
            <w:vAlign w:val="center"/>
          </w:tcPr>
          <w:p w14:paraId="333F3EFA" w14:textId="77777777" w:rsidR="00D7265E" w:rsidRPr="00800D22" w:rsidRDefault="00D7265E" w:rsidP="00DB24B0">
            <w:pPr>
              <w:widowControl/>
              <w:rPr>
                <w:kern w:val="0"/>
                <w:sz w:val="18"/>
                <w:szCs w:val="18"/>
              </w:rPr>
            </w:pPr>
            <w:r w:rsidRPr="00800D22">
              <w:rPr>
                <w:kern w:val="0"/>
                <w:sz w:val="18"/>
                <w:szCs w:val="18"/>
              </w:rPr>
              <w:t>75.33%</w:t>
            </w:r>
          </w:p>
        </w:tc>
        <w:tc>
          <w:tcPr>
            <w:tcW w:w="466" w:type="pct"/>
            <w:tcBorders>
              <w:bottom w:val="single" w:sz="4" w:space="0" w:color="auto"/>
            </w:tcBorders>
            <w:noWrap/>
            <w:vAlign w:val="center"/>
          </w:tcPr>
          <w:p w14:paraId="1C5FD1DE" w14:textId="77777777" w:rsidR="00D7265E" w:rsidRPr="00800D22" w:rsidRDefault="00D7265E" w:rsidP="00DB24B0">
            <w:pPr>
              <w:widowControl/>
              <w:rPr>
                <w:kern w:val="0"/>
                <w:sz w:val="18"/>
                <w:szCs w:val="18"/>
              </w:rPr>
            </w:pPr>
            <w:r w:rsidRPr="00800D22">
              <w:rPr>
                <w:kern w:val="0"/>
                <w:sz w:val="18"/>
                <w:szCs w:val="18"/>
              </w:rPr>
              <w:t>67.50%</w:t>
            </w:r>
          </w:p>
        </w:tc>
        <w:tc>
          <w:tcPr>
            <w:tcW w:w="466" w:type="pct"/>
            <w:tcBorders>
              <w:bottom w:val="single" w:sz="4" w:space="0" w:color="auto"/>
            </w:tcBorders>
            <w:noWrap/>
            <w:vAlign w:val="center"/>
          </w:tcPr>
          <w:p w14:paraId="2302EB58" w14:textId="77777777" w:rsidR="00D7265E" w:rsidRPr="00800D22" w:rsidRDefault="00D7265E" w:rsidP="00DB24B0">
            <w:pPr>
              <w:widowControl/>
              <w:rPr>
                <w:kern w:val="0"/>
                <w:sz w:val="18"/>
                <w:szCs w:val="18"/>
              </w:rPr>
            </w:pPr>
            <w:r w:rsidRPr="00800D22">
              <w:rPr>
                <w:kern w:val="0"/>
                <w:sz w:val="18"/>
                <w:szCs w:val="18"/>
              </w:rPr>
              <w:t>65.00%</w:t>
            </w:r>
          </w:p>
        </w:tc>
        <w:tc>
          <w:tcPr>
            <w:tcW w:w="466" w:type="pct"/>
            <w:tcBorders>
              <w:bottom w:val="single" w:sz="4" w:space="0" w:color="auto"/>
            </w:tcBorders>
            <w:noWrap/>
            <w:vAlign w:val="center"/>
          </w:tcPr>
          <w:p w14:paraId="420B6390" w14:textId="77777777" w:rsidR="00D7265E" w:rsidRPr="00800D22" w:rsidRDefault="00D7265E" w:rsidP="00DB24B0">
            <w:pPr>
              <w:widowControl/>
              <w:rPr>
                <w:kern w:val="0"/>
                <w:sz w:val="18"/>
                <w:szCs w:val="18"/>
              </w:rPr>
            </w:pPr>
            <w:r w:rsidRPr="00800D22">
              <w:rPr>
                <w:kern w:val="0"/>
                <w:sz w:val="18"/>
                <w:szCs w:val="18"/>
              </w:rPr>
              <w:t>64.25%</w:t>
            </w:r>
          </w:p>
        </w:tc>
        <w:tc>
          <w:tcPr>
            <w:tcW w:w="466" w:type="pct"/>
            <w:tcBorders>
              <w:bottom w:val="single" w:sz="4" w:space="0" w:color="auto"/>
            </w:tcBorders>
            <w:noWrap/>
            <w:vAlign w:val="center"/>
          </w:tcPr>
          <w:p w14:paraId="49F767EC" w14:textId="77777777" w:rsidR="00D7265E" w:rsidRPr="00800D22" w:rsidRDefault="00D7265E" w:rsidP="00DB24B0">
            <w:pPr>
              <w:widowControl/>
              <w:rPr>
                <w:kern w:val="0"/>
                <w:sz w:val="18"/>
                <w:szCs w:val="18"/>
              </w:rPr>
            </w:pPr>
            <w:r w:rsidRPr="00800D22">
              <w:rPr>
                <w:kern w:val="0"/>
                <w:sz w:val="18"/>
                <w:szCs w:val="18"/>
              </w:rPr>
              <w:t>63.74%</w:t>
            </w:r>
          </w:p>
        </w:tc>
        <w:tc>
          <w:tcPr>
            <w:tcW w:w="466" w:type="pct"/>
            <w:tcBorders>
              <w:bottom w:val="single" w:sz="4" w:space="0" w:color="auto"/>
            </w:tcBorders>
            <w:noWrap/>
            <w:vAlign w:val="center"/>
          </w:tcPr>
          <w:p w14:paraId="335AB60E" w14:textId="77777777" w:rsidR="00D7265E" w:rsidRPr="00800D22" w:rsidRDefault="00D7265E" w:rsidP="00DB24B0">
            <w:pPr>
              <w:widowControl/>
              <w:rPr>
                <w:kern w:val="0"/>
                <w:sz w:val="18"/>
                <w:szCs w:val="18"/>
              </w:rPr>
            </w:pPr>
            <w:r w:rsidRPr="00800D22">
              <w:rPr>
                <w:kern w:val="0"/>
                <w:sz w:val="18"/>
                <w:szCs w:val="18"/>
              </w:rPr>
              <w:t>63.42%</w:t>
            </w:r>
          </w:p>
        </w:tc>
        <w:tc>
          <w:tcPr>
            <w:tcW w:w="466" w:type="pct"/>
            <w:tcBorders>
              <w:bottom w:val="single" w:sz="4" w:space="0" w:color="auto"/>
            </w:tcBorders>
            <w:noWrap/>
            <w:vAlign w:val="center"/>
          </w:tcPr>
          <w:p w14:paraId="3A071173" w14:textId="77777777" w:rsidR="00D7265E" w:rsidRPr="00800D22" w:rsidRDefault="00D7265E" w:rsidP="00DB24B0">
            <w:pPr>
              <w:widowControl/>
              <w:rPr>
                <w:kern w:val="0"/>
                <w:sz w:val="18"/>
                <w:szCs w:val="18"/>
              </w:rPr>
            </w:pPr>
            <w:r w:rsidRPr="00800D22">
              <w:rPr>
                <w:kern w:val="0"/>
                <w:sz w:val="18"/>
                <w:szCs w:val="18"/>
              </w:rPr>
              <w:t>63.08%</w:t>
            </w:r>
          </w:p>
        </w:tc>
        <w:tc>
          <w:tcPr>
            <w:tcW w:w="466" w:type="pct"/>
            <w:tcBorders>
              <w:bottom w:val="single" w:sz="4" w:space="0" w:color="auto"/>
            </w:tcBorders>
            <w:noWrap/>
            <w:vAlign w:val="center"/>
          </w:tcPr>
          <w:p w14:paraId="3C3544DD" w14:textId="77777777" w:rsidR="00D7265E" w:rsidRPr="00800D22" w:rsidRDefault="00D7265E" w:rsidP="00DB24B0">
            <w:pPr>
              <w:widowControl/>
              <w:rPr>
                <w:kern w:val="0"/>
                <w:sz w:val="18"/>
                <w:szCs w:val="18"/>
              </w:rPr>
            </w:pPr>
            <w:r w:rsidRPr="00800D22">
              <w:rPr>
                <w:kern w:val="0"/>
                <w:sz w:val="18"/>
                <w:szCs w:val="18"/>
              </w:rPr>
              <w:t>62.30%</w:t>
            </w:r>
          </w:p>
        </w:tc>
        <w:tc>
          <w:tcPr>
            <w:tcW w:w="466" w:type="pct"/>
            <w:tcBorders>
              <w:bottom w:val="single" w:sz="4" w:space="0" w:color="auto"/>
            </w:tcBorders>
            <w:noWrap/>
            <w:vAlign w:val="center"/>
          </w:tcPr>
          <w:p w14:paraId="629FB530" w14:textId="77777777" w:rsidR="00D7265E" w:rsidRPr="00800D22" w:rsidRDefault="00D7265E" w:rsidP="00DB24B0">
            <w:pPr>
              <w:widowControl/>
              <w:rPr>
                <w:kern w:val="0"/>
                <w:sz w:val="18"/>
                <w:szCs w:val="18"/>
              </w:rPr>
            </w:pPr>
            <w:r w:rsidRPr="00800D22">
              <w:rPr>
                <w:kern w:val="0"/>
                <w:sz w:val="18"/>
                <w:szCs w:val="18"/>
              </w:rPr>
              <w:t>61.11%</w:t>
            </w:r>
          </w:p>
        </w:tc>
      </w:tr>
      <w:tr w:rsidR="00D7265E" w:rsidRPr="00800D22" w14:paraId="6F3680C2" w14:textId="77777777" w:rsidTr="00DB24B0">
        <w:trPr>
          <w:trHeight w:val="285"/>
        </w:trPr>
        <w:tc>
          <w:tcPr>
            <w:tcW w:w="5000" w:type="pct"/>
            <w:gridSpan w:val="11"/>
            <w:tcBorders>
              <w:top w:val="single" w:sz="4" w:space="0" w:color="auto"/>
              <w:bottom w:val="nil"/>
            </w:tcBorders>
            <w:noWrap/>
            <w:vAlign w:val="center"/>
          </w:tcPr>
          <w:p w14:paraId="526E5EC5" w14:textId="77777777" w:rsidR="00D7265E" w:rsidRPr="00800D22" w:rsidRDefault="00D7265E" w:rsidP="00DB24B0">
            <w:pPr>
              <w:widowControl/>
              <w:jc w:val="center"/>
              <w:rPr>
                <w:bCs/>
                <w:kern w:val="0"/>
                <w:sz w:val="18"/>
                <w:szCs w:val="18"/>
              </w:rPr>
            </w:pPr>
            <w:r w:rsidRPr="00800D22">
              <w:rPr>
                <w:bCs/>
                <w:kern w:val="0"/>
                <w:sz w:val="18"/>
                <w:szCs w:val="18"/>
              </w:rPr>
              <w:t>提升到</w:t>
            </w:r>
            <w:r w:rsidRPr="00800D22">
              <w:rPr>
                <w:bCs/>
                <w:kern w:val="0"/>
                <w:sz w:val="18"/>
                <w:szCs w:val="18"/>
              </w:rPr>
              <w:t>A</w:t>
            </w:r>
          </w:p>
        </w:tc>
      </w:tr>
      <w:tr w:rsidR="00D7265E" w:rsidRPr="00800D22" w14:paraId="1B13DA80" w14:textId="77777777" w:rsidTr="00DB24B0">
        <w:trPr>
          <w:trHeight w:val="285"/>
        </w:trPr>
        <w:tc>
          <w:tcPr>
            <w:tcW w:w="340" w:type="pct"/>
            <w:tcBorders>
              <w:top w:val="nil"/>
              <w:bottom w:val="single" w:sz="4" w:space="0" w:color="auto"/>
            </w:tcBorders>
            <w:noWrap/>
            <w:vAlign w:val="center"/>
          </w:tcPr>
          <w:p w14:paraId="18F68079" w14:textId="77777777" w:rsidR="00D7265E" w:rsidRPr="00800D22" w:rsidRDefault="00D7265E" w:rsidP="00DB24B0">
            <w:pPr>
              <w:widowControl/>
              <w:rPr>
                <w:bCs/>
                <w:kern w:val="0"/>
                <w:sz w:val="18"/>
                <w:szCs w:val="18"/>
              </w:rPr>
            </w:pPr>
            <w:r w:rsidRPr="00800D22">
              <w:rPr>
                <w:bCs/>
                <w:kern w:val="0"/>
                <w:sz w:val="18"/>
                <w:szCs w:val="18"/>
              </w:rPr>
              <w:t>年限</w:t>
            </w:r>
          </w:p>
        </w:tc>
        <w:tc>
          <w:tcPr>
            <w:tcW w:w="466" w:type="pct"/>
            <w:tcBorders>
              <w:top w:val="nil"/>
              <w:bottom w:val="single" w:sz="4" w:space="0" w:color="auto"/>
            </w:tcBorders>
            <w:noWrap/>
            <w:vAlign w:val="center"/>
          </w:tcPr>
          <w:p w14:paraId="43AB6E4F" w14:textId="77777777" w:rsidR="00D7265E" w:rsidRPr="00800D22" w:rsidRDefault="00D7265E" w:rsidP="00DB24B0">
            <w:pPr>
              <w:widowControl/>
              <w:rPr>
                <w:bCs/>
                <w:kern w:val="0"/>
                <w:sz w:val="18"/>
                <w:szCs w:val="18"/>
              </w:rPr>
            </w:pPr>
            <w:r w:rsidRPr="00800D22">
              <w:rPr>
                <w:bCs/>
                <w:kern w:val="0"/>
                <w:sz w:val="18"/>
                <w:szCs w:val="18"/>
              </w:rPr>
              <w:t>1</w:t>
            </w:r>
          </w:p>
        </w:tc>
        <w:tc>
          <w:tcPr>
            <w:tcW w:w="466" w:type="pct"/>
            <w:tcBorders>
              <w:top w:val="nil"/>
              <w:bottom w:val="single" w:sz="4" w:space="0" w:color="auto"/>
            </w:tcBorders>
            <w:noWrap/>
            <w:vAlign w:val="center"/>
          </w:tcPr>
          <w:p w14:paraId="22B3AA10" w14:textId="77777777" w:rsidR="00D7265E" w:rsidRPr="00800D22" w:rsidRDefault="00D7265E" w:rsidP="00DB24B0">
            <w:pPr>
              <w:widowControl/>
              <w:rPr>
                <w:bCs/>
                <w:kern w:val="0"/>
                <w:sz w:val="18"/>
                <w:szCs w:val="18"/>
              </w:rPr>
            </w:pPr>
            <w:r w:rsidRPr="00800D22">
              <w:rPr>
                <w:bCs/>
                <w:kern w:val="0"/>
                <w:sz w:val="18"/>
                <w:szCs w:val="18"/>
              </w:rPr>
              <w:t>2</w:t>
            </w:r>
          </w:p>
        </w:tc>
        <w:tc>
          <w:tcPr>
            <w:tcW w:w="466" w:type="pct"/>
            <w:tcBorders>
              <w:top w:val="nil"/>
              <w:bottom w:val="single" w:sz="4" w:space="0" w:color="auto"/>
            </w:tcBorders>
            <w:noWrap/>
            <w:vAlign w:val="center"/>
          </w:tcPr>
          <w:p w14:paraId="618FE7BA" w14:textId="77777777" w:rsidR="00D7265E" w:rsidRPr="00800D22" w:rsidRDefault="00D7265E" w:rsidP="00DB24B0">
            <w:pPr>
              <w:widowControl/>
              <w:rPr>
                <w:bCs/>
                <w:kern w:val="0"/>
                <w:sz w:val="18"/>
                <w:szCs w:val="18"/>
              </w:rPr>
            </w:pPr>
            <w:r w:rsidRPr="00800D22">
              <w:rPr>
                <w:bCs/>
                <w:kern w:val="0"/>
                <w:sz w:val="18"/>
                <w:szCs w:val="18"/>
              </w:rPr>
              <w:t>3</w:t>
            </w:r>
          </w:p>
        </w:tc>
        <w:tc>
          <w:tcPr>
            <w:tcW w:w="466" w:type="pct"/>
            <w:tcBorders>
              <w:top w:val="nil"/>
              <w:bottom w:val="single" w:sz="4" w:space="0" w:color="auto"/>
            </w:tcBorders>
            <w:noWrap/>
            <w:vAlign w:val="center"/>
          </w:tcPr>
          <w:p w14:paraId="68B9A216" w14:textId="77777777" w:rsidR="00D7265E" w:rsidRPr="00800D22" w:rsidRDefault="00D7265E" w:rsidP="00DB24B0">
            <w:pPr>
              <w:widowControl/>
              <w:rPr>
                <w:bCs/>
                <w:kern w:val="0"/>
                <w:sz w:val="18"/>
                <w:szCs w:val="18"/>
              </w:rPr>
            </w:pPr>
            <w:r w:rsidRPr="00800D22">
              <w:rPr>
                <w:bCs/>
                <w:kern w:val="0"/>
                <w:sz w:val="18"/>
                <w:szCs w:val="18"/>
              </w:rPr>
              <w:t>4</w:t>
            </w:r>
          </w:p>
        </w:tc>
        <w:tc>
          <w:tcPr>
            <w:tcW w:w="466" w:type="pct"/>
            <w:tcBorders>
              <w:top w:val="nil"/>
              <w:bottom w:val="single" w:sz="4" w:space="0" w:color="auto"/>
            </w:tcBorders>
            <w:noWrap/>
            <w:vAlign w:val="center"/>
          </w:tcPr>
          <w:p w14:paraId="348C05D4" w14:textId="77777777" w:rsidR="00D7265E" w:rsidRPr="00800D22" w:rsidRDefault="00D7265E" w:rsidP="00DB24B0">
            <w:pPr>
              <w:widowControl/>
              <w:rPr>
                <w:bCs/>
                <w:kern w:val="0"/>
                <w:sz w:val="18"/>
                <w:szCs w:val="18"/>
              </w:rPr>
            </w:pPr>
            <w:r w:rsidRPr="00800D22">
              <w:rPr>
                <w:bCs/>
                <w:kern w:val="0"/>
                <w:sz w:val="18"/>
                <w:szCs w:val="18"/>
              </w:rPr>
              <w:t>5</w:t>
            </w:r>
          </w:p>
        </w:tc>
        <w:tc>
          <w:tcPr>
            <w:tcW w:w="466" w:type="pct"/>
            <w:tcBorders>
              <w:top w:val="nil"/>
              <w:bottom w:val="single" w:sz="4" w:space="0" w:color="auto"/>
            </w:tcBorders>
            <w:noWrap/>
            <w:vAlign w:val="center"/>
          </w:tcPr>
          <w:p w14:paraId="7AC855B4" w14:textId="77777777" w:rsidR="00D7265E" w:rsidRPr="00800D22" w:rsidRDefault="00D7265E" w:rsidP="00DB24B0">
            <w:pPr>
              <w:widowControl/>
              <w:rPr>
                <w:bCs/>
                <w:kern w:val="0"/>
                <w:sz w:val="18"/>
                <w:szCs w:val="18"/>
              </w:rPr>
            </w:pPr>
            <w:r w:rsidRPr="00800D22">
              <w:rPr>
                <w:bCs/>
                <w:kern w:val="0"/>
                <w:sz w:val="18"/>
                <w:szCs w:val="18"/>
              </w:rPr>
              <w:t>6</w:t>
            </w:r>
          </w:p>
        </w:tc>
        <w:tc>
          <w:tcPr>
            <w:tcW w:w="466" w:type="pct"/>
            <w:tcBorders>
              <w:top w:val="nil"/>
              <w:bottom w:val="single" w:sz="4" w:space="0" w:color="auto"/>
            </w:tcBorders>
            <w:noWrap/>
            <w:vAlign w:val="center"/>
          </w:tcPr>
          <w:p w14:paraId="728CC35D" w14:textId="77777777" w:rsidR="00D7265E" w:rsidRPr="00800D22" w:rsidRDefault="00D7265E" w:rsidP="00DB24B0">
            <w:pPr>
              <w:widowControl/>
              <w:rPr>
                <w:bCs/>
                <w:kern w:val="0"/>
                <w:sz w:val="18"/>
                <w:szCs w:val="18"/>
              </w:rPr>
            </w:pPr>
            <w:r w:rsidRPr="00800D22">
              <w:rPr>
                <w:bCs/>
                <w:kern w:val="0"/>
                <w:sz w:val="18"/>
                <w:szCs w:val="18"/>
              </w:rPr>
              <w:t>7</w:t>
            </w:r>
          </w:p>
        </w:tc>
        <w:tc>
          <w:tcPr>
            <w:tcW w:w="466" w:type="pct"/>
            <w:tcBorders>
              <w:top w:val="nil"/>
              <w:bottom w:val="single" w:sz="4" w:space="0" w:color="auto"/>
            </w:tcBorders>
            <w:noWrap/>
            <w:vAlign w:val="center"/>
          </w:tcPr>
          <w:p w14:paraId="1D2FB30F" w14:textId="77777777" w:rsidR="00D7265E" w:rsidRPr="00800D22" w:rsidRDefault="00D7265E" w:rsidP="00DB24B0">
            <w:pPr>
              <w:widowControl/>
              <w:rPr>
                <w:bCs/>
                <w:kern w:val="0"/>
                <w:sz w:val="18"/>
                <w:szCs w:val="18"/>
              </w:rPr>
            </w:pPr>
            <w:r w:rsidRPr="00800D22">
              <w:rPr>
                <w:bCs/>
                <w:kern w:val="0"/>
                <w:sz w:val="18"/>
                <w:szCs w:val="18"/>
              </w:rPr>
              <w:t>8</w:t>
            </w:r>
          </w:p>
        </w:tc>
        <w:tc>
          <w:tcPr>
            <w:tcW w:w="466" w:type="pct"/>
            <w:tcBorders>
              <w:top w:val="nil"/>
              <w:bottom w:val="single" w:sz="4" w:space="0" w:color="auto"/>
            </w:tcBorders>
            <w:noWrap/>
            <w:vAlign w:val="center"/>
          </w:tcPr>
          <w:p w14:paraId="49F50C0F" w14:textId="77777777" w:rsidR="00D7265E" w:rsidRPr="00800D22" w:rsidRDefault="00D7265E" w:rsidP="00DB24B0">
            <w:pPr>
              <w:widowControl/>
              <w:rPr>
                <w:bCs/>
                <w:kern w:val="0"/>
                <w:sz w:val="18"/>
                <w:szCs w:val="18"/>
              </w:rPr>
            </w:pPr>
            <w:r w:rsidRPr="00800D22">
              <w:rPr>
                <w:bCs/>
                <w:kern w:val="0"/>
                <w:sz w:val="18"/>
                <w:szCs w:val="18"/>
              </w:rPr>
              <w:t>9</w:t>
            </w:r>
          </w:p>
        </w:tc>
        <w:tc>
          <w:tcPr>
            <w:tcW w:w="466" w:type="pct"/>
            <w:tcBorders>
              <w:top w:val="nil"/>
              <w:bottom w:val="single" w:sz="4" w:space="0" w:color="auto"/>
            </w:tcBorders>
            <w:noWrap/>
            <w:vAlign w:val="center"/>
          </w:tcPr>
          <w:p w14:paraId="58DC6B79" w14:textId="77777777" w:rsidR="00D7265E" w:rsidRPr="00800D22" w:rsidRDefault="00D7265E" w:rsidP="00DB24B0">
            <w:pPr>
              <w:widowControl/>
              <w:rPr>
                <w:bCs/>
                <w:kern w:val="0"/>
                <w:sz w:val="18"/>
                <w:szCs w:val="18"/>
              </w:rPr>
            </w:pPr>
            <w:r w:rsidRPr="00800D22">
              <w:rPr>
                <w:bCs/>
                <w:kern w:val="0"/>
                <w:sz w:val="18"/>
                <w:szCs w:val="18"/>
              </w:rPr>
              <w:t>10</w:t>
            </w:r>
          </w:p>
        </w:tc>
      </w:tr>
      <w:tr w:rsidR="00D7265E" w:rsidRPr="00800D22" w14:paraId="3345BDC7" w14:textId="77777777" w:rsidTr="00DB24B0">
        <w:trPr>
          <w:trHeight w:val="285"/>
        </w:trPr>
        <w:tc>
          <w:tcPr>
            <w:tcW w:w="340" w:type="pct"/>
            <w:tcBorders>
              <w:top w:val="single" w:sz="4" w:space="0" w:color="auto"/>
            </w:tcBorders>
            <w:noWrap/>
            <w:vAlign w:val="center"/>
          </w:tcPr>
          <w:p w14:paraId="63B2164C" w14:textId="77777777" w:rsidR="00D7265E" w:rsidRPr="00800D22" w:rsidRDefault="00D7265E" w:rsidP="00DB24B0">
            <w:pPr>
              <w:widowControl/>
              <w:spacing w:line="440" w:lineRule="atLeast"/>
              <w:rPr>
                <w:kern w:val="0"/>
                <w:sz w:val="18"/>
                <w:szCs w:val="18"/>
              </w:rPr>
            </w:pPr>
            <w:r w:rsidRPr="00800D22">
              <w:rPr>
                <w:kern w:val="0"/>
                <w:sz w:val="18"/>
                <w:szCs w:val="18"/>
              </w:rPr>
              <w:t>A-</w:t>
            </w:r>
          </w:p>
        </w:tc>
        <w:tc>
          <w:tcPr>
            <w:tcW w:w="466" w:type="pct"/>
            <w:tcBorders>
              <w:top w:val="single" w:sz="4" w:space="0" w:color="auto"/>
            </w:tcBorders>
            <w:noWrap/>
            <w:vAlign w:val="center"/>
          </w:tcPr>
          <w:p w14:paraId="420E4B7C" w14:textId="77777777" w:rsidR="00D7265E" w:rsidRPr="00800D22" w:rsidRDefault="00D7265E" w:rsidP="00DB24B0">
            <w:pPr>
              <w:widowControl/>
              <w:spacing w:line="440" w:lineRule="atLeast"/>
              <w:rPr>
                <w:kern w:val="0"/>
                <w:sz w:val="18"/>
                <w:szCs w:val="18"/>
              </w:rPr>
            </w:pPr>
            <w:r w:rsidRPr="00800D22">
              <w:rPr>
                <w:kern w:val="0"/>
                <w:sz w:val="18"/>
                <w:szCs w:val="18"/>
              </w:rPr>
              <w:t>72.02%</w:t>
            </w:r>
          </w:p>
        </w:tc>
        <w:tc>
          <w:tcPr>
            <w:tcW w:w="466" w:type="pct"/>
            <w:tcBorders>
              <w:top w:val="single" w:sz="4" w:space="0" w:color="auto"/>
            </w:tcBorders>
            <w:noWrap/>
            <w:vAlign w:val="center"/>
          </w:tcPr>
          <w:p w14:paraId="3972A0C6" w14:textId="77777777" w:rsidR="00D7265E" w:rsidRPr="00800D22" w:rsidRDefault="00D7265E" w:rsidP="00DB24B0">
            <w:pPr>
              <w:widowControl/>
              <w:spacing w:line="440" w:lineRule="atLeast"/>
              <w:rPr>
                <w:kern w:val="0"/>
                <w:sz w:val="18"/>
                <w:szCs w:val="18"/>
              </w:rPr>
            </w:pPr>
            <w:r w:rsidRPr="00800D22">
              <w:rPr>
                <w:kern w:val="0"/>
                <w:sz w:val="18"/>
                <w:szCs w:val="18"/>
              </w:rPr>
              <w:t>53.33%</w:t>
            </w:r>
          </w:p>
        </w:tc>
        <w:tc>
          <w:tcPr>
            <w:tcW w:w="466" w:type="pct"/>
            <w:tcBorders>
              <w:top w:val="single" w:sz="4" w:space="0" w:color="auto"/>
            </w:tcBorders>
            <w:noWrap/>
            <w:vAlign w:val="center"/>
          </w:tcPr>
          <w:p w14:paraId="7D8EA5C4" w14:textId="77777777" w:rsidR="00D7265E" w:rsidRPr="00800D22" w:rsidRDefault="00D7265E" w:rsidP="00DB24B0">
            <w:pPr>
              <w:widowControl/>
              <w:spacing w:line="440" w:lineRule="atLeast"/>
              <w:rPr>
                <w:kern w:val="0"/>
                <w:sz w:val="18"/>
                <w:szCs w:val="18"/>
              </w:rPr>
            </w:pPr>
            <w:r w:rsidRPr="00800D22">
              <w:rPr>
                <w:kern w:val="0"/>
                <w:sz w:val="18"/>
                <w:szCs w:val="18"/>
              </w:rPr>
              <w:t>38.33%</w:t>
            </w:r>
          </w:p>
        </w:tc>
        <w:tc>
          <w:tcPr>
            <w:tcW w:w="466" w:type="pct"/>
            <w:tcBorders>
              <w:top w:val="single" w:sz="4" w:space="0" w:color="auto"/>
            </w:tcBorders>
            <w:noWrap/>
            <w:vAlign w:val="center"/>
          </w:tcPr>
          <w:p w14:paraId="647A483D" w14:textId="77777777" w:rsidR="00D7265E" w:rsidRPr="00800D22" w:rsidRDefault="00D7265E" w:rsidP="00DB24B0">
            <w:pPr>
              <w:widowControl/>
              <w:spacing w:line="440" w:lineRule="atLeast"/>
              <w:rPr>
                <w:kern w:val="0"/>
                <w:sz w:val="18"/>
                <w:szCs w:val="18"/>
              </w:rPr>
            </w:pPr>
            <w:r w:rsidRPr="00800D22">
              <w:rPr>
                <w:kern w:val="0"/>
                <w:sz w:val="18"/>
                <w:szCs w:val="18"/>
              </w:rPr>
              <w:t>36.11%</w:t>
            </w:r>
          </w:p>
        </w:tc>
        <w:tc>
          <w:tcPr>
            <w:tcW w:w="466" w:type="pct"/>
            <w:tcBorders>
              <w:top w:val="single" w:sz="4" w:space="0" w:color="auto"/>
            </w:tcBorders>
            <w:noWrap/>
            <w:vAlign w:val="center"/>
          </w:tcPr>
          <w:p w14:paraId="423225B3" w14:textId="77777777" w:rsidR="00D7265E" w:rsidRPr="00800D22" w:rsidRDefault="00D7265E" w:rsidP="00DB24B0">
            <w:pPr>
              <w:widowControl/>
              <w:spacing w:line="440" w:lineRule="atLeast"/>
              <w:rPr>
                <w:kern w:val="0"/>
                <w:sz w:val="18"/>
                <w:szCs w:val="18"/>
              </w:rPr>
            </w:pPr>
            <w:r w:rsidRPr="00800D22">
              <w:rPr>
                <w:kern w:val="0"/>
                <w:sz w:val="18"/>
                <w:szCs w:val="18"/>
              </w:rPr>
              <w:t>36.03%</w:t>
            </w:r>
          </w:p>
        </w:tc>
        <w:tc>
          <w:tcPr>
            <w:tcW w:w="466" w:type="pct"/>
            <w:tcBorders>
              <w:top w:val="single" w:sz="4" w:space="0" w:color="auto"/>
            </w:tcBorders>
            <w:noWrap/>
            <w:vAlign w:val="center"/>
          </w:tcPr>
          <w:p w14:paraId="18DD2031" w14:textId="77777777" w:rsidR="00D7265E" w:rsidRPr="00800D22" w:rsidRDefault="00D7265E" w:rsidP="00DB24B0">
            <w:pPr>
              <w:widowControl/>
              <w:spacing w:line="440" w:lineRule="atLeast"/>
              <w:rPr>
                <w:kern w:val="0"/>
                <w:sz w:val="18"/>
                <w:szCs w:val="18"/>
              </w:rPr>
            </w:pPr>
            <w:r w:rsidRPr="00800D22">
              <w:rPr>
                <w:kern w:val="0"/>
                <w:sz w:val="18"/>
                <w:szCs w:val="18"/>
              </w:rPr>
              <w:t>35.93%</w:t>
            </w:r>
          </w:p>
        </w:tc>
        <w:tc>
          <w:tcPr>
            <w:tcW w:w="466" w:type="pct"/>
            <w:tcBorders>
              <w:top w:val="single" w:sz="4" w:space="0" w:color="auto"/>
            </w:tcBorders>
            <w:noWrap/>
            <w:vAlign w:val="center"/>
          </w:tcPr>
          <w:p w14:paraId="7628BB4F" w14:textId="77777777" w:rsidR="00D7265E" w:rsidRPr="00800D22" w:rsidRDefault="00D7265E" w:rsidP="00DB24B0">
            <w:pPr>
              <w:widowControl/>
              <w:spacing w:line="440" w:lineRule="atLeast"/>
              <w:rPr>
                <w:kern w:val="0"/>
                <w:sz w:val="18"/>
                <w:szCs w:val="18"/>
              </w:rPr>
            </w:pPr>
            <w:r w:rsidRPr="00800D22">
              <w:rPr>
                <w:kern w:val="0"/>
                <w:sz w:val="18"/>
                <w:szCs w:val="18"/>
              </w:rPr>
              <w:t>36.04%</w:t>
            </w:r>
          </w:p>
        </w:tc>
        <w:tc>
          <w:tcPr>
            <w:tcW w:w="466" w:type="pct"/>
            <w:tcBorders>
              <w:top w:val="single" w:sz="4" w:space="0" w:color="auto"/>
            </w:tcBorders>
            <w:noWrap/>
            <w:vAlign w:val="center"/>
          </w:tcPr>
          <w:p w14:paraId="13A6B8CB" w14:textId="77777777" w:rsidR="00D7265E" w:rsidRPr="00800D22" w:rsidRDefault="00D7265E" w:rsidP="00DB24B0">
            <w:pPr>
              <w:widowControl/>
              <w:spacing w:line="440" w:lineRule="atLeast"/>
              <w:rPr>
                <w:kern w:val="0"/>
                <w:sz w:val="18"/>
                <w:szCs w:val="18"/>
              </w:rPr>
            </w:pPr>
            <w:r w:rsidRPr="00800D22">
              <w:rPr>
                <w:kern w:val="0"/>
                <w:sz w:val="18"/>
                <w:szCs w:val="18"/>
              </w:rPr>
              <w:t>36.23%</w:t>
            </w:r>
          </w:p>
        </w:tc>
        <w:tc>
          <w:tcPr>
            <w:tcW w:w="466" w:type="pct"/>
            <w:tcBorders>
              <w:top w:val="single" w:sz="4" w:space="0" w:color="auto"/>
            </w:tcBorders>
            <w:noWrap/>
            <w:vAlign w:val="center"/>
          </w:tcPr>
          <w:p w14:paraId="7E0BF738" w14:textId="77777777" w:rsidR="00D7265E" w:rsidRPr="00800D22" w:rsidRDefault="00D7265E" w:rsidP="00DB24B0">
            <w:pPr>
              <w:widowControl/>
              <w:spacing w:line="440" w:lineRule="atLeast"/>
              <w:rPr>
                <w:kern w:val="0"/>
                <w:sz w:val="18"/>
                <w:szCs w:val="18"/>
              </w:rPr>
            </w:pPr>
            <w:r w:rsidRPr="00800D22">
              <w:rPr>
                <w:kern w:val="0"/>
                <w:sz w:val="18"/>
                <w:szCs w:val="18"/>
              </w:rPr>
              <w:t>35.39%</w:t>
            </w:r>
          </w:p>
        </w:tc>
        <w:tc>
          <w:tcPr>
            <w:tcW w:w="466" w:type="pct"/>
            <w:tcBorders>
              <w:top w:val="single" w:sz="4" w:space="0" w:color="auto"/>
            </w:tcBorders>
            <w:noWrap/>
            <w:vAlign w:val="center"/>
          </w:tcPr>
          <w:p w14:paraId="2C181761" w14:textId="77777777" w:rsidR="00D7265E" w:rsidRPr="00800D22" w:rsidRDefault="00D7265E" w:rsidP="00DB24B0">
            <w:pPr>
              <w:widowControl/>
              <w:spacing w:line="440" w:lineRule="atLeast"/>
              <w:rPr>
                <w:kern w:val="0"/>
                <w:sz w:val="18"/>
                <w:szCs w:val="18"/>
              </w:rPr>
            </w:pPr>
            <w:r w:rsidRPr="00800D22">
              <w:rPr>
                <w:kern w:val="0"/>
                <w:sz w:val="18"/>
                <w:szCs w:val="18"/>
              </w:rPr>
              <w:t>33.33%</w:t>
            </w:r>
          </w:p>
        </w:tc>
      </w:tr>
    </w:tbl>
    <w:p w14:paraId="158E5775" w14:textId="478B0B08" w:rsidR="00D7265E" w:rsidRPr="00800D22" w:rsidRDefault="00D7265E" w:rsidP="00D7265E">
      <w:pPr>
        <w:spacing w:beforeLines="100" w:before="312" w:line="440" w:lineRule="atLeast"/>
        <w:outlineLvl w:val="3"/>
        <w:rPr>
          <w:rFonts w:ascii="黑体" w:eastAsia="黑体"/>
          <w:sz w:val="24"/>
        </w:rPr>
      </w:pPr>
      <w:r w:rsidRPr="00800D22">
        <w:rPr>
          <w:rFonts w:ascii="黑体" w:eastAsia="黑体" w:hint="eastAsia"/>
          <w:sz w:val="24"/>
        </w:rPr>
        <w:t xml:space="preserve"> </w:t>
      </w:r>
      <w:r>
        <w:rPr>
          <w:rFonts w:ascii="黑体" w:eastAsia="黑体" w:hint="eastAsia"/>
          <w:sz w:val="24"/>
        </w:rPr>
        <w:t>二</w:t>
      </w:r>
      <w:r w:rsidR="00176C56">
        <w:rPr>
          <w:rFonts w:ascii="黑体" w:eastAsia="黑体" w:hint="eastAsia"/>
          <w:sz w:val="24"/>
        </w:rPr>
        <w:t>、</w:t>
      </w:r>
      <w:r w:rsidRPr="00800D22">
        <w:rPr>
          <w:rFonts w:ascii="黑体" w:eastAsia="黑体"/>
          <w:sz w:val="24"/>
        </w:rPr>
        <w:t>折扣率的确定</w:t>
      </w:r>
      <w:bookmarkEnd w:id="5"/>
      <w:bookmarkEnd w:id="6"/>
      <w:bookmarkEnd w:id="7"/>
    </w:p>
    <w:p w14:paraId="10BDE704" w14:textId="77777777" w:rsidR="00D7265E" w:rsidRPr="00800D22" w:rsidRDefault="00D7265E" w:rsidP="00D7265E">
      <w:pPr>
        <w:spacing w:line="440" w:lineRule="atLeast"/>
        <w:ind w:firstLineChars="200" w:firstLine="480"/>
        <w:rPr>
          <w:rFonts w:ascii="新宋体" w:eastAsia="新宋体" w:hAnsi="新宋体" w:hint="eastAsia"/>
          <w:sz w:val="24"/>
        </w:rPr>
      </w:pPr>
      <w:r w:rsidRPr="00800D22">
        <w:rPr>
          <w:sz w:val="24"/>
        </w:rPr>
        <w:t>确定到期日所需最低抵</w:t>
      </w:r>
      <w:r w:rsidRPr="00800D22">
        <w:rPr>
          <w:sz w:val="24"/>
        </w:rPr>
        <w:t>/</w:t>
      </w:r>
      <w:r w:rsidRPr="00800D22">
        <w:rPr>
          <w:sz w:val="24"/>
        </w:rPr>
        <w:t>质押资产价值之后，还需确定抵</w:t>
      </w:r>
      <w:r w:rsidRPr="00800D22">
        <w:rPr>
          <w:sz w:val="24"/>
        </w:rPr>
        <w:t>/</w:t>
      </w:r>
      <w:r w:rsidRPr="00800D22">
        <w:rPr>
          <w:sz w:val="24"/>
        </w:rPr>
        <w:t>质押资产在期间内的折扣率，才能确定发行债券</w:t>
      </w:r>
      <w:r w:rsidRPr="00800D22">
        <w:rPr>
          <w:rFonts w:ascii="新宋体" w:eastAsia="新宋体" w:hAnsi="新宋体"/>
          <w:sz w:val="24"/>
        </w:rPr>
        <w:t>时所需用</w:t>
      </w:r>
      <w:proofErr w:type="gramStart"/>
      <w:r w:rsidRPr="00800D22">
        <w:rPr>
          <w:rFonts w:ascii="新宋体" w:eastAsia="新宋体" w:hAnsi="新宋体"/>
          <w:sz w:val="24"/>
        </w:rPr>
        <w:t>于抵/</w:t>
      </w:r>
      <w:proofErr w:type="gramEnd"/>
      <w:r w:rsidRPr="00800D22">
        <w:rPr>
          <w:rFonts w:ascii="新宋体" w:eastAsia="新宋体" w:hAnsi="新宋体"/>
          <w:sz w:val="24"/>
        </w:rPr>
        <w:t>质押的资产价值。</w:t>
      </w:r>
      <w:r w:rsidRPr="00800D22">
        <w:rPr>
          <w:rFonts w:ascii="新宋体" w:eastAsia="新宋体" w:hAnsi="新宋体" w:hint="eastAsia"/>
          <w:sz w:val="24"/>
        </w:rPr>
        <w:t>在本书中，折扣率是指债券到期日抵/质押资产价值与债券发行日抵/质押资产价值的比率。</w:t>
      </w:r>
      <w:r w:rsidRPr="00800D22">
        <w:rPr>
          <w:rFonts w:ascii="新宋体" w:eastAsia="新宋体" w:hAnsi="新宋体" w:cs="Arial"/>
          <w:spacing w:val="8"/>
          <w:sz w:val="24"/>
        </w:rPr>
        <w:t>合理确定</w:t>
      </w:r>
      <w:r w:rsidRPr="00800D22">
        <w:rPr>
          <w:rFonts w:ascii="新宋体" w:eastAsia="新宋体" w:hAnsi="新宋体" w:cs="Arial" w:hint="eastAsia"/>
          <w:spacing w:val="8"/>
          <w:sz w:val="24"/>
        </w:rPr>
        <w:t>折扣</w:t>
      </w:r>
      <w:r w:rsidRPr="00800D22">
        <w:rPr>
          <w:rFonts w:ascii="新宋体" w:eastAsia="新宋体" w:hAnsi="新宋体" w:cs="Arial"/>
          <w:spacing w:val="8"/>
          <w:sz w:val="24"/>
        </w:rPr>
        <w:t>率，是</w:t>
      </w:r>
      <w:r w:rsidRPr="00800D22">
        <w:rPr>
          <w:rFonts w:ascii="新宋体" w:eastAsia="新宋体" w:hAnsi="新宋体" w:cs="Arial" w:hint="eastAsia"/>
          <w:spacing w:val="8"/>
          <w:sz w:val="24"/>
        </w:rPr>
        <w:t>抵/质押担保债券信用评级</w:t>
      </w:r>
      <w:r w:rsidRPr="00800D22">
        <w:rPr>
          <w:rFonts w:ascii="新宋体" w:eastAsia="新宋体" w:hAnsi="新宋体" w:cs="Arial"/>
          <w:spacing w:val="8"/>
          <w:sz w:val="24"/>
        </w:rPr>
        <w:t>中的一项重要内容。通常，</w:t>
      </w:r>
      <w:r w:rsidRPr="00800D22">
        <w:rPr>
          <w:rFonts w:ascii="新宋体" w:eastAsia="新宋体" w:hAnsi="新宋体" w:cs="Arial" w:hint="eastAsia"/>
          <w:spacing w:val="8"/>
          <w:sz w:val="24"/>
        </w:rPr>
        <w:t>信用评级机构</w:t>
      </w:r>
      <w:r w:rsidRPr="00800D22">
        <w:rPr>
          <w:rFonts w:ascii="新宋体" w:eastAsia="新宋体" w:hAnsi="新宋体" w:cs="Arial"/>
          <w:spacing w:val="8"/>
          <w:sz w:val="24"/>
        </w:rPr>
        <w:t>在确定</w:t>
      </w:r>
      <w:r w:rsidRPr="00800D22">
        <w:rPr>
          <w:rFonts w:ascii="新宋体" w:eastAsia="新宋体" w:hAnsi="新宋体" w:cs="Arial" w:hint="eastAsia"/>
          <w:spacing w:val="8"/>
          <w:sz w:val="24"/>
        </w:rPr>
        <w:t>折扣</w:t>
      </w:r>
      <w:r w:rsidRPr="00800D22">
        <w:rPr>
          <w:rFonts w:ascii="新宋体" w:eastAsia="新宋体" w:hAnsi="新宋体" w:cs="Arial"/>
          <w:spacing w:val="8"/>
          <w:sz w:val="24"/>
        </w:rPr>
        <w:t>率时，</w:t>
      </w:r>
      <w:r w:rsidRPr="00800D22">
        <w:rPr>
          <w:sz w:val="24"/>
        </w:rPr>
        <w:t>应当重点关注抵</w:t>
      </w:r>
      <w:r w:rsidRPr="00800D22">
        <w:rPr>
          <w:sz w:val="24"/>
        </w:rPr>
        <w:t>/</w:t>
      </w:r>
      <w:r w:rsidRPr="00800D22">
        <w:rPr>
          <w:sz w:val="24"/>
        </w:rPr>
        <w:t>质押资产的质量、变现能力以及稳定性。原则上资产质量越好、变现能力越强、稳定性越高，折扣率越大。</w:t>
      </w:r>
    </w:p>
    <w:p w14:paraId="6054512E" w14:textId="77777777" w:rsidR="00D7265E" w:rsidRPr="00800D22" w:rsidRDefault="00D7265E" w:rsidP="00D7265E">
      <w:pPr>
        <w:spacing w:line="440" w:lineRule="atLeast"/>
        <w:ind w:firstLineChars="200" w:firstLine="480"/>
        <w:rPr>
          <w:sz w:val="24"/>
        </w:rPr>
      </w:pPr>
      <w:r w:rsidRPr="00800D22">
        <w:rPr>
          <w:rFonts w:ascii="新宋体" w:eastAsia="新宋体" w:hAnsi="新宋体"/>
          <w:sz w:val="24"/>
        </w:rPr>
        <w:t>由于折扣率往往随着抵/质押资产的性质以及折扣年</w:t>
      </w:r>
      <w:r w:rsidRPr="00800D22">
        <w:rPr>
          <w:sz w:val="24"/>
        </w:rPr>
        <w:t>限的变化而变化，因此，目前市场</w:t>
      </w:r>
      <w:r w:rsidRPr="00800D22">
        <w:rPr>
          <w:rFonts w:hint="eastAsia"/>
          <w:sz w:val="24"/>
        </w:rPr>
        <w:t>上</w:t>
      </w:r>
      <w:r w:rsidRPr="00800D22">
        <w:rPr>
          <w:sz w:val="24"/>
        </w:rPr>
        <w:t>对于各类资产的折扣率并没有统一的看法，对于折扣率的确定存在较大的主观性。</w:t>
      </w:r>
    </w:p>
    <w:p w14:paraId="1DBB2B8D" w14:textId="77777777" w:rsidR="00D7265E" w:rsidRPr="00800D22" w:rsidRDefault="00D7265E" w:rsidP="00D7265E">
      <w:pPr>
        <w:spacing w:line="440" w:lineRule="exact"/>
        <w:ind w:firstLine="420"/>
        <w:rPr>
          <w:b/>
          <w:sz w:val="24"/>
        </w:rPr>
      </w:pPr>
      <w:r w:rsidRPr="00800D22">
        <w:rPr>
          <w:b/>
          <w:sz w:val="24"/>
        </w:rPr>
        <w:t>（</w:t>
      </w:r>
      <w:r w:rsidRPr="00800D22">
        <w:rPr>
          <w:b/>
          <w:sz w:val="24"/>
        </w:rPr>
        <w:t>1</w:t>
      </w:r>
      <w:r w:rsidRPr="00800D22">
        <w:rPr>
          <w:b/>
          <w:sz w:val="24"/>
        </w:rPr>
        <w:t>）抵押资产折扣率</w:t>
      </w:r>
    </w:p>
    <w:p w14:paraId="308291E5" w14:textId="77777777" w:rsidR="00D7265E" w:rsidRPr="00800D22" w:rsidRDefault="00D7265E" w:rsidP="00D7265E">
      <w:pPr>
        <w:spacing w:line="440" w:lineRule="exact"/>
        <w:rPr>
          <w:sz w:val="24"/>
        </w:rPr>
      </w:pPr>
      <w:r w:rsidRPr="00800D22">
        <w:rPr>
          <w:sz w:val="24"/>
        </w:rPr>
        <w:t xml:space="preserve">     </w:t>
      </w:r>
      <w:r w:rsidRPr="00800D22">
        <w:rPr>
          <w:sz w:val="24"/>
        </w:rPr>
        <w:t>对于抵押资产折扣率的确</w:t>
      </w:r>
      <w:proofErr w:type="gramStart"/>
      <w:r w:rsidRPr="00800D22">
        <w:rPr>
          <w:sz w:val="24"/>
        </w:rPr>
        <w:t>定本书</w:t>
      </w:r>
      <w:proofErr w:type="gramEnd"/>
      <w:r w:rsidRPr="00800D22">
        <w:rPr>
          <w:sz w:val="24"/>
        </w:rPr>
        <w:t>参考银行抵押贷款对抵押物抵押率的要求。银行对抵押担保的业务处理如下：</w:t>
      </w:r>
    </w:p>
    <w:p w14:paraId="1C23D795" w14:textId="77777777" w:rsidR="00D7265E" w:rsidRPr="00800D22" w:rsidRDefault="00D7265E" w:rsidP="00D7265E">
      <w:pPr>
        <w:numPr>
          <w:ilvl w:val="0"/>
          <w:numId w:val="1"/>
        </w:numPr>
        <w:adjustRightInd w:val="0"/>
        <w:snapToGrid w:val="0"/>
        <w:spacing w:line="440" w:lineRule="exact"/>
        <w:rPr>
          <w:sz w:val="24"/>
        </w:rPr>
      </w:pPr>
      <w:r w:rsidRPr="00800D22">
        <w:rPr>
          <w:sz w:val="24"/>
        </w:rPr>
        <w:t>房产</w:t>
      </w:r>
      <w:r w:rsidRPr="00800D22">
        <w:rPr>
          <w:sz w:val="24"/>
        </w:rPr>
        <w:t>(</w:t>
      </w:r>
      <w:r w:rsidRPr="00800D22">
        <w:rPr>
          <w:sz w:val="24"/>
        </w:rPr>
        <w:t>含占用范围内的土地使用权</w:t>
      </w:r>
      <w:r w:rsidRPr="00800D22">
        <w:rPr>
          <w:sz w:val="24"/>
        </w:rPr>
        <w:t>)</w:t>
      </w:r>
      <w:r w:rsidRPr="00800D22">
        <w:rPr>
          <w:sz w:val="24"/>
        </w:rPr>
        <w:t>的抵押率不得超过</w:t>
      </w:r>
      <w:r w:rsidRPr="00800D22">
        <w:rPr>
          <w:sz w:val="24"/>
        </w:rPr>
        <w:t>70%</w:t>
      </w:r>
      <w:r w:rsidRPr="00800D22">
        <w:rPr>
          <w:sz w:val="24"/>
        </w:rPr>
        <w:t>；</w:t>
      </w:r>
    </w:p>
    <w:p w14:paraId="26123D5B" w14:textId="77777777" w:rsidR="00D7265E" w:rsidRPr="00800D22" w:rsidRDefault="00D7265E" w:rsidP="00D7265E">
      <w:pPr>
        <w:numPr>
          <w:ilvl w:val="0"/>
          <w:numId w:val="2"/>
        </w:numPr>
        <w:adjustRightInd w:val="0"/>
        <w:snapToGrid w:val="0"/>
        <w:spacing w:line="440" w:lineRule="exact"/>
        <w:rPr>
          <w:sz w:val="24"/>
        </w:rPr>
      </w:pPr>
      <w:r w:rsidRPr="00800D22">
        <w:rPr>
          <w:sz w:val="24"/>
        </w:rPr>
        <w:t>以出让方式取得的土地使用权</w:t>
      </w:r>
      <w:r w:rsidRPr="00800D22">
        <w:rPr>
          <w:sz w:val="24"/>
        </w:rPr>
        <w:t>(</w:t>
      </w:r>
      <w:r w:rsidRPr="00800D22">
        <w:rPr>
          <w:sz w:val="24"/>
        </w:rPr>
        <w:t>含地面房屋及其他建筑物</w:t>
      </w:r>
      <w:r w:rsidRPr="00800D22">
        <w:rPr>
          <w:sz w:val="24"/>
        </w:rPr>
        <w:t>)</w:t>
      </w:r>
      <w:r w:rsidRPr="00800D22">
        <w:rPr>
          <w:sz w:val="24"/>
        </w:rPr>
        <w:t>抵押的，抵押率不得超过</w:t>
      </w:r>
      <w:r w:rsidRPr="00800D22">
        <w:rPr>
          <w:sz w:val="24"/>
        </w:rPr>
        <w:t>70%</w:t>
      </w:r>
      <w:r w:rsidRPr="00800D22">
        <w:rPr>
          <w:sz w:val="24"/>
        </w:rPr>
        <w:t>；</w:t>
      </w:r>
    </w:p>
    <w:p w14:paraId="24C897D0" w14:textId="77777777" w:rsidR="00D7265E" w:rsidRPr="00800D22" w:rsidRDefault="00D7265E" w:rsidP="00D7265E">
      <w:pPr>
        <w:numPr>
          <w:ilvl w:val="0"/>
          <w:numId w:val="3"/>
        </w:numPr>
        <w:adjustRightInd w:val="0"/>
        <w:snapToGrid w:val="0"/>
        <w:spacing w:line="440" w:lineRule="exact"/>
        <w:rPr>
          <w:sz w:val="24"/>
        </w:rPr>
      </w:pPr>
      <w:r w:rsidRPr="00800D22">
        <w:rPr>
          <w:sz w:val="24"/>
        </w:rPr>
        <w:t>以划拨方式取得的土地使用权</w:t>
      </w:r>
      <w:r w:rsidRPr="00800D22">
        <w:rPr>
          <w:sz w:val="24"/>
        </w:rPr>
        <w:t>(</w:t>
      </w:r>
      <w:r w:rsidRPr="00800D22">
        <w:rPr>
          <w:sz w:val="24"/>
        </w:rPr>
        <w:t>含地面房屋及其他建筑物</w:t>
      </w:r>
      <w:r w:rsidRPr="00800D22">
        <w:rPr>
          <w:sz w:val="24"/>
        </w:rPr>
        <w:t>)</w:t>
      </w:r>
      <w:r w:rsidRPr="00800D22">
        <w:rPr>
          <w:sz w:val="24"/>
        </w:rPr>
        <w:t>抵押的，抵押率按当地人民政府或土地行政管理部门的相关规定执行。原则上应确定的土地出让金价格，抵押物评估价值按照扣除应缴土地出让金后的价值</w:t>
      </w:r>
      <w:r w:rsidRPr="00800D22">
        <w:rPr>
          <w:sz w:val="24"/>
        </w:rPr>
        <w:lastRenderedPageBreak/>
        <w:t>计算，抵押率不得超过</w:t>
      </w:r>
      <w:r w:rsidRPr="00800D22">
        <w:rPr>
          <w:sz w:val="24"/>
        </w:rPr>
        <w:t>70%</w:t>
      </w:r>
      <w:r w:rsidRPr="00800D22">
        <w:rPr>
          <w:sz w:val="24"/>
        </w:rPr>
        <w:t>；</w:t>
      </w:r>
    </w:p>
    <w:p w14:paraId="3E74D28A" w14:textId="77777777" w:rsidR="00D7265E" w:rsidRPr="00800D22" w:rsidRDefault="00D7265E" w:rsidP="00D7265E">
      <w:pPr>
        <w:numPr>
          <w:ilvl w:val="0"/>
          <w:numId w:val="3"/>
        </w:numPr>
        <w:adjustRightInd w:val="0"/>
        <w:snapToGrid w:val="0"/>
        <w:spacing w:line="440" w:lineRule="exact"/>
        <w:rPr>
          <w:sz w:val="24"/>
        </w:rPr>
      </w:pPr>
      <w:r w:rsidRPr="00800D22">
        <w:rPr>
          <w:sz w:val="24"/>
        </w:rPr>
        <w:t>以在建工程作抵押，抵押率不得超过</w:t>
      </w:r>
      <w:r w:rsidRPr="00800D22">
        <w:rPr>
          <w:sz w:val="24"/>
        </w:rPr>
        <w:t>70%</w:t>
      </w:r>
      <w:r w:rsidRPr="00800D22">
        <w:rPr>
          <w:sz w:val="24"/>
        </w:rPr>
        <w:t>；</w:t>
      </w:r>
    </w:p>
    <w:p w14:paraId="22BDD904" w14:textId="77777777" w:rsidR="00D7265E" w:rsidRPr="00800D22" w:rsidRDefault="00D7265E" w:rsidP="00D7265E">
      <w:pPr>
        <w:numPr>
          <w:ilvl w:val="0"/>
          <w:numId w:val="3"/>
        </w:numPr>
        <w:adjustRightInd w:val="0"/>
        <w:snapToGrid w:val="0"/>
        <w:spacing w:line="440" w:lineRule="exact"/>
        <w:rPr>
          <w:sz w:val="24"/>
        </w:rPr>
      </w:pPr>
      <w:r w:rsidRPr="00800D22">
        <w:rPr>
          <w:sz w:val="24"/>
        </w:rPr>
        <w:t>航空器、船舶</w:t>
      </w:r>
      <w:r w:rsidRPr="00800D22">
        <w:rPr>
          <w:rFonts w:hint="eastAsia"/>
          <w:sz w:val="24"/>
        </w:rPr>
        <w:t>和</w:t>
      </w:r>
      <w:r w:rsidRPr="00800D22">
        <w:rPr>
          <w:sz w:val="24"/>
        </w:rPr>
        <w:t>车辆等交通运输工具的抵押率不得超过</w:t>
      </w:r>
      <w:r w:rsidRPr="00800D22">
        <w:rPr>
          <w:sz w:val="24"/>
        </w:rPr>
        <w:t>50%</w:t>
      </w:r>
      <w:r w:rsidRPr="00800D22">
        <w:rPr>
          <w:sz w:val="24"/>
        </w:rPr>
        <w:t>；</w:t>
      </w:r>
    </w:p>
    <w:p w14:paraId="683B42F8" w14:textId="77777777" w:rsidR="00D7265E" w:rsidRPr="00800D22" w:rsidRDefault="00D7265E" w:rsidP="00D7265E">
      <w:pPr>
        <w:numPr>
          <w:ilvl w:val="0"/>
          <w:numId w:val="3"/>
        </w:numPr>
        <w:adjustRightInd w:val="0"/>
        <w:snapToGrid w:val="0"/>
        <w:spacing w:line="440" w:lineRule="exact"/>
        <w:rPr>
          <w:sz w:val="24"/>
        </w:rPr>
      </w:pPr>
      <w:r w:rsidRPr="00800D22">
        <w:rPr>
          <w:sz w:val="24"/>
        </w:rPr>
        <w:t>机器、设备及其他动产的抵押率不得超过</w:t>
      </w:r>
      <w:r w:rsidRPr="00800D22">
        <w:rPr>
          <w:sz w:val="24"/>
        </w:rPr>
        <w:t>50%</w:t>
      </w:r>
      <w:r w:rsidRPr="00800D22">
        <w:rPr>
          <w:sz w:val="24"/>
        </w:rPr>
        <w:t>，且应从严掌握。</w:t>
      </w:r>
    </w:p>
    <w:p w14:paraId="4485201A" w14:textId="77777777" w:rsidR="00D7265E" w:rsidRPr="00800D22" w:rsidRDefault="00D7265E" w:rsidP="00D7265E">
      <w:pPr>
        <w:spacing w:line="440" w:lineRule="exact"/>
        <w:ind w:firstLineChars="200" w:firstLine="480"/>
        <w:rPr>
          <w:rFonts w:hint="eastAsia"/>
          <w:sz w:val="24"/>
        </w:rPr>
      </w:pPr>
      <w:r w:rsidRPr="00800D22">
        <w:rPr>
          <w:sz w:val="24"/>
        </w:rPr>
        <w:t>表</w:t>
      </w:r>
      <w:r w:rsidRPr="00800D22">
        <w:rPr>
          <w:rFonts w:hint="eastAsia"/>
          <w:sz w:val="24"/>
        </w:rPr>
        <w:t>6</w:t>
      </w:r>
      <w:r w:rsidRPr="00800D22">
        <w:rPr>
          <w:sz w:val="24"/>
        </w:rPr>
        <w:t>.</w:t>
      </w:r>
      <w:r w:rsidRPr="00800D22">
        <w:rPr>
          <w:rFonts w:hint="eastAsia"/>
          <w:sz w:val="24"/>
        </w:rPr>
        <w:t>11</w:t>
      </w:r>
      <w:r w:rsidRPr="00800D22">
        <w:rPr>
          <w:sz w:val="24"/>
        </w:rPr>
        <w:t>为我国各大银行对不同抵押贷款抵押物的平均抵押率</w:t>
      </w:r>
      <w:r w:rsidRPr="00800D22">
        <w:rPr>
          <w:rFonts w:hint="eastAsia"/>
          <w:sz w:val="24"/>
        </w:rPr>
        <w:t>。</w:t>
      </w:r>
      <w:r w:rsidRPr="00800D22">
        <w:rPr>
          <w:sz w:val="24"/>
        </w:rPr>
        <w:t>一般情况下，银行在处理抵押贷款业务时采取比较谨慎的原则</w:t>
      </w:r>
      <w:r w:rsidRPr="00800D22">
        <w:rPr>
          <w:rFonts w:hint="eastAsia"/>
          <w:sz w:val="24"/>
        </w:rPr>
        <w:t>，</w:t>
      </w:r>
      <w:r w:rsidRPr="00800D22">
        <w:rPr>
          <w:sz w:val="24"/>
        </w:rPr>
        <w:t>在评估抵押债券抵押资产池的价值时采用低价和保守的原则。但在具体处理过程中，应当结合抵押物的质量、变现能力以及稳定性进一步考虑，对同类抵押物的不同情况要区别对待，例如，同样是设备抵押，但一种设备技术更新很快，而另一种设备技术更新很慢，在确定折扣率时则需要区别对待。此外，由于银行对抵押物的抵押率未区分年限，因此，在具体处理过程中对于折扣率可以酌情考虑。</w:t>
      </w:r>
    </w:p>
    <w:p w14:paraId="422D5086" w14:textId="77777777" w:rsidR="00D7265E" w:rsidRPr="00800D22" w:rsidRDefault="00D7265E" w:rsidP="00D7265E">
      <w:pPr>
        <w:keepNext/>
        <w:spacing w:beforeLines="50" w:before="156" w:line="440" w:lineRule="exact"/>
        <w:jc w:val="center"/>
        <w:rPr>
          <w:rFonts w:hint="eastAsia"/>
          <w:szCs w:val="21"/>
        </w:rPr>
      </w:pPr>
      <w:bookmarkStart w:id="8" w:name="_Toc256506456"/>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11</w:t>
      </w:r>
      <w:r w:rsidRPr="00800D22">
        <w:rPr>
          <w:szCs w:val="21"/>
        </w:rPr>
        <w:fldChar w:fldCharType="end"/>
      </w:r>
      <w:r w:rsidRPr="00800D22">
        <w:rPr>
          <w:rFonts w:hint="eastAsia"/>
          <w:szCs w:val="21"/>
        </w:rPr>
        <w:t xml:space="preserve">  </w:t>
      </w:r>
      <w:r w:rsidRPr="00800D22">
        <w:rPr>
          <w:rFonts w:hint="eastAsia"/>
          <w:szCs w:val="21"/>
        </w:rPr>
        <w:t>中国银行业抵押贷款平均抵押率</w:t>
      </w:r>
      <w:bookmarkEnd w:id="8"/>
    </w:p>
    <w:p w14:paraId="5F76FEAB" w14:textId="77777777" w:rsidR="00D7265E" w:rsidRPr="00800D22" w:rsidRDefault="00D7265E" w:rsidP="00D7265E">
      <w:pPr>
        <w:jc w:val="center"/>
        <w:rPr>
          <w:rFonts w:hint="eastAsia"/>
          <w:szCs w:val="21"/>
        </w:rPr>
      </w:pPr>
      <w:r w:rsidRPr="00800D22">
        <w:rPr>
          <w:rFonts w:hint="eastAsia"/>
          <w:szCs w:val="21"/>
        </w:rPr>
        <w:t xml:space="preserve">Table </w:t>
      </w:r>
      <w:proofErr w:type="gramStart"/>
      <w:r w:rsidRPr="00800D22">
        <w:rPr>
          <w:rFonts w:hint="eastAsia"/>
          <w:szCs w:val="21"/>
        </w:rPr>
        <w:t>6.11  A</w:t>
      </w:r>
      <w:r w:rsidRPr="00800D22">
        <w:rPr>
          <w:szCs w:val="21"/>
        </w:rPr>
        <w:t>verage</w:t>
      </w:r>
      <w:proofErr w:type="gramEnd"/>
      <w:r w:rsidRPr="00800D22">
        <w:rPr>
          <w:rFonts w:hint="eastAsia"/>
          <w:szCs w:val="21"/>
        </w:rPr>
        <w:t xml:space="preserve"> </w:t>
      </w:r>
      <w:r w:rsidRPr="00800D22">
        <w:rPr>
          <w:szCs w:val="21"/>
        </w:rPr>
        <w:t>mortgage rate</w:t>
      </w:r>
      <w:r w:rsidRPr="00800D22">
        <w:rPr>
          <w:rFonts w:hint="eastAsia"/>
          <w:szCs w:val="21"/>
        </w:rPr>
        <w:t xml:space="preserve"> of </w:t>
      </w:r>
      <w:r w:rsidRPr="00800D22">
        <w:rPr>
          <w:szCs w:val="21"/>
        </w:rPr>
        <w:t>mortgage loan</w:t>
      </w:r>
      <w:r w:rsidRPr="00800D22">
        <w:rPr>
          <w:rFonts w:hint="eastAsia"/>
          <w:szCs w:val="21"/>
        </w:rPr>
        <w:t xml:space="preserve">s in </w:t>
      </w:r>
      <w:r w:rsidRPr="00800D22">
        <w:rPr>
          <w:szCs w:val="21"/>
        </w:rPr>
        <w:t>Chinese</w:t>
      </w:r>
      <w:r w:rsidRPr="00800D22">
        <w:rPr>
          <w:rFonts w:hint="eastAsia"/>
          <w:szCs w:val="21"/>
        </w:rPr>
        <w:t xml:space="preserve"> </w:t>
      </w:r>
      <w:r w:rsidRPr="00800D22">
        <w:rPr>
          <w:szCs w:val="21"/>
        </w:rPr>
        <w:t>banking</w:t>
      </w:r>
    </w:p>
    <w:tbl>
      <w:tblPr>
        <w:tblW w:w="5000" w:type="pct"/>
        <w:tblBorders>
          <w:top w:val="single" w:sz="4" w:space="0" w:color="auto"/>
          <w:bottom w:val="single" w:sz="4" w:space="0" w:color="auto"/>
        </w:tblBorders>
        <w:tblLook w:val="0000" w:firstRow="0" w:lastRow="0" w:firstColumn="0" w:lastColumn="0" w:noHBand="0" w:noVBand="0"/>
      </w:tblPr>
      <w:tblGrid>
        <w:gridCol w:w="1762"/>
        <w:gridCol w:w="2302"/>
        <w:gridCol w:w="1862"/>
        <w:gridCol w:w="2380"/>
      </w:tblGrid>
      <w:tr w:rsidR="00D7265E" w:rsidRPr="00800D22" w14:paraId="63EB11B5" w14:textId="77777777" w:rsidTr="00DB24B0">
        <w:trPr>
          <w:trHeight w:val="285"/>
        </w:trPr>
        <w:tc>
          <w:tcPr>
            <w:tcW w:w="1060" w:type="pct"/>
            <w:tcBorders>
              <w:top w:val="single" w:sz="4" w:space="0" w:color="auto"/>
              <w:bottom w:val="single" w:sz="4" w:space="0" w:color="auto"/>
            </w:tcBorders>
            <w:noWrap/>
            <w:vAlign w:val="center"/>
          </w:tcPr>
          <w:p w14:paraId="7314C5BA" w14:textId="77777777" w:rsidR="00D7265E" w:rsidRPr="00800D22" w:rsidRDefault="00D7265E" w:rsidP="00DB24B0">
            <w:pPr>
              <w:spacing w:line="320" w:lineRule="exact"/>
              <w:rPr>
                <w:szCs w:val="21"/>
              </w:rPr>
            </w:pPr>
            <w:r w:rsidRPr="00800D22">
              <w:rPr>
                <w:szCs w:val="21"/>
              </w:rPr>
              <w:t>抵押物种类</w:t>
            </w:r>
          </w:p>
        </w:tc>
        <w:tc>
          <w:tcPr>
            <w:tcW w:w="1386" w:type="pct"/>
            <w:tcBorders>
              <w:top w:val="single" w:sz="4" w:space="0" w:color="auto"/>
              <w:bottom w:val="single" w:sz="4" w:space="0" w:color="auto"/>
            </w:tcBorders>
            <w:noWrap/>
            <w:vAlign w:val="center"/>
          </w:tcPr>
          <w:p w14:paraId="7EF26814" w14:textId="77777777" w:rsidR="00D7265E" w:rsidRPr="00800D22" w:rsidRDefault="00D7265E" w:rsidP="00DB24B0">
            <w:pPr>
              <w:spacing w:line="320" w:lineRule="exact"/>
              <w:rPr>
                <w:szCs w:val="21"/>
              </w:rPr>
            </w:pPr>
            <w:r w:rsidRPr="00800D22">
              <w:rPr>
                <w:szCs w:val="21"/>
              </w:rPr>
              <w:t>银行平均抵押率</w:t>
            </w:r>
          </w:p>
        </w:tc>
        <w:tc>
          <w:tcPr>
            <w:tcW w:w="1121" w:type="pct"/>
            <w:tcBorders>
              <w:top w:val="single" w:sz="4" w:space="0" w:color="auto"/>
              <w:bottom w:val="single" w:sz="4" w:space="0" w:color="auto"/>
            </w:tcBorders>
            <w:noWrap/>
            <w:vAlign w:val="center"/>
          </w:tcPr>
          <w:p w14:paraId="348FBCAE" w14:textId="77777777" w:rsidR="00D7265E" w:rsidRPr="00800D22" w:rsidRDefault="00D7265E" w:rsidP="00DB24B0">
            <w:pPr>
              <w:spacing w:line="320" w:lineRule="exact"/>
              <w:rPr>
                <w:szCs w:val="21"/>
              </w:rPr>
            </w:pPr>
            <w:r w:rsidRPr="00800D22">
              <w:rPr>
                <w:szCs w:val="21"/>
              </w:rPr>
              <w:t>抵押物种类</w:t>
            </w:r>
          </w:p>
        </w:tc>
        <w:tc>
          <w:tcPr>
            <w:tcW w:w="1433" w:type="pct"/>
            <w:tcBorders>
              <w:top w:val="single" w:sz="4" w:space="0" w:color="auto"/>
              <w:bottom w:val="single" w:sz="4" w:space="0" w:color="auto"/>
            </w:tcBorders>
            <w:noWrap/>
            <w:vAlign w:val="center"/>
          </w:tcPr>
          <w:p w14:paraId="09462AF8" w14:textId="77777777" w:rsidR="00D7265E" w:rsidRPr="00800D22" w:rsidRDefault="00D7265E" w:rsidP="00DB24B0">
            <w:pPr>
              <w:spacing w:line="320" w:lineRule="exact"/>
              <w:rPr>
                <w:szCs w:val="21"/>
              </w:rPr>
            </w:pPr>
            <w:r w:rsidRPr="00800D22">
              <w:rPr>
                <w:szCs w:val="21"/>
              </w:rPr>
              <w:t>银行平均抵押率</w:t>
            </w:r>
          </w:p>
        </w:tc>
      </w:tr>
      <w:tr w:rsidR="00D7265E" w:rsidRPr="00800D22" w14:paraId="3E8D0DA1" w14:textId="77777777" w:rsidTr="00DB24B0">
        <w:trPr>
          <w:trHeight w:val="285"/>
        </w:trPr>
        <w:tc>
          <w:tcPr>
            <w:tcW w:w="1060" w:type="pct"/>
            <w:tcBorders>
              <w:top w:val="single" w:sz="4" w:space="0" w:color="auto"/>
            </w:tcBorders>
            <w:noWrap/>
            <w:vAlign w:val="center"/>
          </w:tcPr>
          <w:p w14:paraId="4C132DA3" w14:textId="77777777" w:rsidR="00D7265E" w:rsidRPr="00800D22" w:rsidRDefault="00D7265E" w:rsidP="00DB24B0">
            <w:pPr>
              <w:spacing w:line="320" w:lineRule="exact"/>
              <w:rPr>
                <w:sz w:val="18"/>
                <w:szCs w:val="18"/>
              </w:rPr>
            </w:pPr>
            <w:r w:rsidRPr="00800D22">
              <w:rPr>
                <w:sz w:val="18"/>
                <w:szCs w:val="18"/>
              </w:rPr>
              <w:t>居住用地</w:t>
            </w:r>
          </w:p>
        </w:tc>
        <w:tc>
          <w:tcPr>
            <w:tcW w:w="1386" w:type="pct"/>
            <w:tcBorders>
              <w:top w:val="single" w:sz="4" w:space="0" w:color="auto"/>
            </w:tcBorders>
            <w:noWrap/>
            <w:vAlign w:val="center"/>
          </w:tcPr>
          <w:p w14:paraId="16CA9ABD" w14:textId="77777777" w:rsidR="00D7265E" w:rsidRPr="00800D22" w:rsidRDefault="00D7265E" w:rsidP="00DB24B0">
            <w:pPr>
              <w:spacing w:line="320" w:lineRule="exact"/>
              <w:rPr>
                <w:sz w:val="18"/>
                <w:szCs w:val="18"/>
              </w:rPr>
            </w:pPr>
            <w:r w:rsidRPr="00800D22">
              <w:rPr>
                <w:sz w:val="18"/>
                <w:szCs w:val="18"/>
              </w:rPr>
              <w:t>71.34%</w:t>
            </w:r>
          </w:p>
        </w:tc>
        <w:tc>
          <w:tcPr>
            <w:tcW w:w="1121" w:type="pct"/>
            <w:tcBorders>
              <w:top w:val="single" w:sz="4" w:space="0" w:color="auto"/>
            </w:tcBorders>
            <w:noWrap/>
            <w:vAlign w:val="center"/>
          </w:tcPr>
          <w:p w14:paraId="759EF3F0" w14:textId="77777777" w:rsidR="00D7265E" w:rsidRPr="00800D22" w:rsidRDefault="00D7265E" w:rsidP="00DB24B0">
            <w:pPr>
              <w:spacing w:line="320" w:lineRule="exact"/>
              <w:rPr>
                <w:sz w:val="18"/>
                <w:szCs w:val="18"/>
              </w:rPr>
            </w:pPr>
            <w:r w:rsidRPr="00800D22">
              <w:rPr>
                <w:sz w:val="18"/>
                <w:szCs w:val="18"/>
              </w:rPr>
              <w:t>商业用房</w:t>
            </w:r>
          </w:p>
        </w:tc>
        <w:tc>
          <w:tcPr>
            <w:tcW w:w="1433" w:type="pct"/>
            <w:tcBorders>
              <w:top w:val="single" w:sz="4" w:space="0" w:color="auto"/>
            </w:tcBorders>
            <w:noWrap/>
            <w:vAlign w:val="center"/>
          </w:tcPr>
          <w:p w14:paraId="6E012FA0" w14:textId="77777777" w:rsidR="00D7265E" w:rsidRPr="00800D22" w:rsidRDefault="00D7265E" w:rsidP="00DB24B0">
            <w:pPr>
              <w:spacing w:line="320" w:lineRule="exact"/>
              <w:rPr>
                <w:sz w:val="18"/>
                <w:szCs w:val="18"/>
              </w:rPr>
            </w:pPr>
            <w:r w:rsidRPr="00800D22">
              <w:rPr>
                <w:sz w:val="18"/>
                <w:szCs w:val="18"/>
              </w:rPr>
              <w:t>47.26%</w:t>
            </w:r>
          </w:p>
        </w:tc>
      </w:tr>
      <w:tr w:rsidR="00D7265E" w:rsidRPr="00800D22" w14:paraId="670CDEC3" w14:textId="77777777" w:rsidTr="00DB24B0">
        <w:trPr>
          <w:trHeight w:val="285"/>
        </w:trPr>
        <w:tc>
          <w:tcPr>
            <w:tcW w:w="1060" w:type="pct"/>
            <w:noWrap/>
            <w:vAlign w:val="center"/>
          </w:tcPr>
          <w:p w14:paraId="4450A0BF" w14:textId="77777777" w:rsidR="00D7265E" w:rsidRPr="00800D22" w:rsidRDefault="00D7265E" w:rsidP="00DB24B0">
            <w:pPr>
              <w:spacing w:line="320" w:lineRule="exact"/>
              <w:rPr>
                <w:sz w:val="18"/>
                <w:szCs w:val="18"/>
              </w:rPr>
            </w:pPr>
            <w:r w:rsidRPr="00800D22">
              <w:rPr>
                <w:sz w:val="18"/>
                <w:szCs w:val="18"/>
              </w:rPr>
              <w:t>居住用房</w:t>
            </w:r>
          </w:p>
        </w:tc>
        <w:tc>
          <w:tcPr>
            <w:tcW w:w="1386" w:type="pct"/>
            <w:noWrap/>
            <w:vAlign w:val="center"/>
          </w:tcPr>
          <w:p w14:paraId="64338F42" w14:textId="77777777" w:rsidR="00D7265E" w:rsidRPr="00800D22" w:rsidRDefault="00D7265E" w:rsidP="00DB24B0">
            <w:pPr>
              <w:spacing w:line="320" w:lineRule="exact"/>
              <w:rPr>
                <w:sz w:val="18"/>
                <w:szCs w:val="18"/>
              </w:rPr>
            </w:pPr>
            <w:r w:rsidRPr="00800D22">
              <w:rPr>
                <w:sz w:val="18"/>
                <w:szCs w:val="18"/>
              </w:rPr>
              <w:t>59.11%</w:t>
            </w:r>
          </w:p>
        </w:tc>
        <w:tc>
          <w:tcPr>
            <w:tcW w:w="1121" w:type="pct"/>
            <w:noWrap/>
            <w:vAlign w:val="center"/>
          </w:tcPr>
          <w:p w14:paraId="290BC8F2" w14:textId="77777777" w:rsidR="00D7265E" w:rsidRPr="00800D22" w:rsidRDefault="00D7265E" w:rsidP="00DB24B0">
            <w:pPr>
              <w:spacing w:line="320" w:lineRule="exact"/>
              <w:rPr>
                <w:sz w:val="18"/>
                <w:szCs w:val="18"/>
              </w:rPr>
            </w:pPr>
            <w:r w:rsidRPr="00800D22">
              <w:rPr>
                <w:sz w:val="18"/>
                <w:szCs w:val="18"/>
              </w:rPr>
              <w:t>办公用房</w:t>
            </w:r>
          </w:p>
        </w:tc>
        <w:tc>
          <w:tcPr>
            <w:tcW w:w="1433" w:type="pct"/>
            <w:noWrap/>
            <w:vAlign w:val="center"/>
          </w:tcPr>
          <w:p w14:paraId="4428A9F4" w14:textId="77777777" w:rsidR="00D7265E" w:rsidRPr="00800D22" w:rsidRDefault="00D7265E" w:rsidP="00DB24B0">
            <w:pPr>
              <w:spacing w:line="320" w:lineRule="exact"/>
              <w:rPr>
                <w:sz w:val="18"/>
                <w:szCs w:val="18"/>
              </w:rPr>
            </w:pPr>
            <w:r w:rsidRPr="00800D22">
              <w:rPr>
                <w:sz w:val="18"/>
                <w:szCs w:val="18"/>
              </w:rPr>
              <w:t>47.26%</w:t>
            </w:r>
          </w:p>
        </w:tc>
      </w:tr>
      <w:tr w:rsidR="00D7265E" w:rsidRPr="00800D22" w14:paraId="0CF418AF" w14:textId="77777777" w:rsidTr="00DB24B0">
        <w:trPr>
          <w:trHeight w:val="285"/>
        </w:trPr>
        <w:tc>
          <w:tcPr>
            <w:tcW w:w="1060" w:type="pct"/>
            <w:noWrap/>
            <w:vAlign w:val="center"/>
          </w:tcPr>
          <w:p w14:paraId="73CAD8F8" w14:textId="77777777" w:rsidR="00D7265E" w:rsidRPr="00800D22" w:rsidRDefault="00D7265E" w:rsidP="00DB24B0">
            <w:pPr>
              <w:spacing w:line="320" w:lineRule="exact"/>
              <w:rPr>
                <w:sz w:val="18"/>
                <w:szCs w:val="18"/>
              </w:rPr>
            </w:pPr>
            <w:r w:rsidRPr="00800D22">
              <w:rPr>
                <w:sz w:val="18"/>
                <w:szCs w:val="18"/>
              </w:rPr>
              <w:t>商业用地</w:t>
            </w:r>
          </w:p>
        </w:tc>
        <w:tc>
          <w:tcPr>
            <w:tcW w:w="1386" w:type="pct"/>
            <w:noWrap/>
            <w:vAlign w:val="center"/>
          </w:tcPr>
          <w:p w14:paraId="47F2A525" w14:textId="77777777" w:rsidR="00D7265E" w:rsidRPr="00800D22" w:rsidRDefault="00D7265E" w:rsidP="00DB24B0">
            <w:pPr>
              <w:spacing w:line="320" w:lineRule="exact"/>
              <w:rPr>
                <w:sz w:val="18"/>
                <w:szCs w:val="18"/>
              </w:rPr>
            </w:pPr>
            <w:r w:rsidRPr="00800D22">
              <w:rPr>
                <w:sz w:val="18"/>
                <w:szCs w:val="18"/>
              </w:rPr>
              <w:t>55.33%</w:t>
            </w:r>
          </w:p>
        </w:tc>
        <w:tc>
          <w:tcPr>
            <w:tcW w:w="1121" w:type="pct"/>
            <w:noWrap/>
            <w:vAlign w:val="center"/>
          </w:tcPr>
          <w:p w14:paraId="42B64A71" w14:textId="77777777" w:rsidR="00D7265E" w:rsidRPr="00800D22" w:rsidRDefault="00D7265E" w:rsidP="00DB24B0">
            <w:pPr>
              <w:spacing w:line="320" w:lineRule="exact"/>
              <w:rPr>
                <w:sz w:val="18"/>
                <w:szCs w:val="18"/>
              </w:rPr>
            </w:pPr>
            <w:r w:rsidRPr="00800D22">
              <w:rPr>
                <w:sz w:val="18"/>
                <w:szCs w:val="18"/>
              </w:rPr>
              <w:t>工业用房</w:t>
            </w:r>
          </w:p>
        </w:tc>
        <w:tc>
          <w:tcPr>
            <w:tcW w:w="1433" w:type="pct"/>
            <w:noWrap/>
            <w:vAlign w:val="center"/>
          </w:tcPr>
          <w:p w14:paraId="6652AE42" w14:textId="77777777" w:rsidR="00D7265E" w:rsidRPr="00800D22" w:rsidRDefault="00D7265E" w:rsidP="00DB24B0">
            <w:pPr>
              <w:spacing w:line="320" w:lineRule="exact"/>
              <w:rPr>
                <w:sz w:val="18"/>
                <w:szCs w:val="18"/>
              </w:rPr>
            </w:pPr>
            <w:r w:rsidRPr="00800D22">
              <w:rPr>
                <w:sz w:val="18"/>
                <w:szCs w:val="18"/>
              </w:rPr>
              <w:t>46.21%</w:t>
            </w:r>
          </w:p>
        </w:tc>
      </w:tr>
      <w:tr w:rsidR="00D7265E" w:rsidRPr="00800D22" w14:paraId="6FD8BF76" w14:textId="77777777" w:rsidTr="00DB24B0">
        <w:trPr>
          <w:trHeight w:val="285"/>
        </w:trPr>
        <w:tc>
          <w:tcPr>
            <w:tcW w:w="1060" w:type="pct"/>
            <w:noWrap/>
            <w:vAlign w:val="center"/>
          </w:tcPr>
          <w:p w14:paraId="0B63AAF9" w14:textId="77777777" w:rsidR="00D7265E" w:rsidRPr="00800D22" w:rsidRDefault="00D7265E" w:rsidP="00DB24B0">
            <w:pPr>
              <w:spacing w:line="320" w:lineRule="exact"/>
              <w:rPr>
                <w:sz w:val="18"/>
                <w:szCs w:val="18"/>
              </w:rPr>
            </w:pPr>
            <w:r w:rsidRPr="00800D22">
              <w:rPr>
                <w:sz w:val="18"/>
                <w:szCs w:val="18"/>
              </w:rPr>
              <w:t>工业用地</w:t>
            </w:r>
          </w:p>
        </w:tc>
        <w:tc>
          <w:tcPr>
            <w:tcW w:w="1386" w:type="pct"/>
            <w:noWrap/>
            <w:vAlign w:val="center"/>
          </w:tcPr>
          <w:p w14:paraId="09A2CB2E" w14:textId="77777777" w:rsidR="00D7265E" w:rsidRPr="00800D22" w:rsidRDefault="00D7265E" w:rsidP="00DB24B0">
            <w:pPr>
              <w:spacing w:line="320" w:lineRule="exact"/>
              <w:rPr>
                <w:sz w:val="18"/>
                <w:szCs w:val="18"/>
              </w:rPr>
            </w:pPr>
            <w:r w:rsidRPr="00800D22">
              <w:rPr>
                <w:sz w:val="18"/>
                <w:szCs w:val="18"/>
              </w:rPr>
              <w:t>48.28%</w:t>
            </w:r>
          </w:p>
        </w:tc>
        <w:tc>
          <w:tcPr>
            <w:tcW w:w="1121" w:type="pct"/>
            <w:noWrap/>
            <w:vAlign w:val="center"/>
          </w:tcPr>
          <w:p w14:paraId="45596A71" w14:textId="77777777" w:rsidR="00D7265E" w:rsidRPr="00800D22" w:rsidRDefault="00D7265E" w:rsidP="00DB24B0">
            <w:pPr>
              <w:spacing w:line="320" w:lineRule="exact"/>
              <w:rPr>
                <w:sz w:val="18"/>
                <w:szCs w:val="18"/>
              </w:rPr>
            </w:pPr>
            <w:r w:rsidRPr="00800D22">
              <w:rPr>
                <w:sz w:val="18"/>
                <w:szCs w:val="18"/>
              </w:rPr>
              <w:t>设备</w:t>
            </w:r>
          </w:p>
        </w:tc>
        <w:tc>
          <w:tcPr>
            <w:tcW w:w="1433" w:type="pct"/>
            <w:noWrap/>
            <w:vAlign w:val="center"/>
          </w:tcPr>
          <w:p w14:paraId="12555CE0" w14:textId="77777777" w:rsidR="00D7265E" w:rsidRPr="00800D22" w:rsidRDefault="00D7265E" w:rsidP="00DB24B0">
            <w:pPr>
              <w:spacing w:line="320" w:lineRule="exact"/>
              <w:rPr>
                <w:sz w:val="18"/>
                <w:szCs w:val="18"/>
              </w:rPr>
            </w:pPr>
            <w:r w:rsidRPr="00800D22">
              <w:rPr>
                <w:sz w:val="18"/>
                <w:szCs w:val="18"/>
              </w:rPr>
              <w:t>29.37%</w:t>
            </w:r>
          </w:p>
        </w:tc>
      </w:tr>
    </w:tbl>
    <w:p w14:paraId="6935F3A5" w14:textId="77777777" w:rsidR="00D7265E" w:rsidRPr="00800D22" w:rsidRDefault="00D7265E" w:rsidP="00D7265E">
      <w:pPr>
        <w:widowControl/>
        <w:snapToGrid w:val="0"/>
        <w:ind w:left="180" w:hangingChars="100" w:hanging="180"/>
        <w:jc w:val="left"/>
        <w:rPr>
          <w:rFonts w:eastAsia="新宋体" w:hint="eastAsia"/>
          <w:kern w:val="0"/>
          <w:sz w:val="18"/>
          <w:szCs w:val="18"/>
        </w:rPr>
      </w:pPr>
      <w:r w:rsidRPr="00800D22">
        <w:rPr>
          <w:sz w:val="18"/>
          <w:szCs w:val="18"/>
        </w:rPr>
        <w:t>资料来源：</w:t>
      </w:r>
      <w:r w:rsidRPr="00800D22">
        <w:rPr>
          <w:rFonts w:eastAsia="新宋体"/>
          <w:kern w:val="0"/>
          <w:sz w:val="18"/>
          <w:szCs w:val="18"/>
        </w:rPr>
        <w:t>巴曙松</w:t>
      </w:r>
      <w:r w:rsidRPr="00800D22">
        <w:rPr>
          <w:rFonts w:eastAsia="新宋体"/>
          <w:kern w:val="0"/>
          <w:sz w:val="18"/>
          <w:szCs w:val="18"/>
        </w:rPr>
        <w:t xml:space="preserve">. </w:t>
      </w:r>
      <w:r w:rsidRPr="00800D22">
        <w:rPr>
          <w:rFonts w:eastAsia="新宋体" w:hint="eastAsia"/>
          <w:kern w:val="0"/>
          <w:sz w:val="18"/>
          <w:szCs w:val="18"/>
        </w:rPr>
        <w:t>信用风险缓释技术研究——押品、风险管理与新资本协议</w:t>
      </w:r>
      <w:r w:rsidRPr="00800D22">
        <w:rPr>
          <w:rFonts w:eastAsia="新宋体"/>
          <w:kern w:val="0"/>
          <w:sz w:val="18"/>
          <w:szCs w:val="18"/>
        </w:rPr>
        <w:t>[J]</w:t>
      </w:r>
      <w:r w:rsidRPr="00800D22">
        <w:rPr>
          <w:rFonts w:eastAsia="新宋体"/>
          <w:kern w:val="0"/>
          <w:sz w:val="18"/>
          <w:szCs w:val="18"/>
        </w:rPr>
        <w:t>，金融市场研究，</w:t>
      </w:r>
      <w:r w:rsidRPr="00800D22">
        <w:rPr>
          <w:rFonts w:eastAsia="新宋体"/>
          <w:kern w:val="0"/>
          <w:sz w:val="18"/>
          <w:szCs w:val="18"/>
        </w:rPr>
        <w:t>2008</w:t>
      </w:r>
      <w:r w:rsidRPr="00800D22">
        <w:rPr>
          <w:rFonts w:eastAsia="新宋体"/>
          <w:kern w:val="0"/>
          <w:sz w:val="18"/>
          <w:szCs w:val="18"/>
        </w:rPr>
        <w:t>，</w:t>
      </w:r>
    </w:p>
    <w:p w14:paraId="55D102CB" w14:textId="77777777" w:rsidR="00D7265E" w:rsidRPr="00800D22" w:rsidRDefault="00D7265E" w:rsidP="00D7265E">
      <w:pPr>
        <w:widowControl/>
        <w:snapToGrid w:val="0"/>
        <w:spacing w:afterLines="100" w:after="312"/>
        <w:ind w:left="180" w:hangingChars="100" w:hanging="180"/>
        <w:jc w:val="left"/>
        <w:rPr>
          <w:rFonts w:hint="eastAsia"/>
          <w:sz w:val="18"/>
          <w:szCs w:val="18"/>
        </w:rPr>
      </w:pPr>
      <w:r w:rsidRPr="00800D22">
        <w:rPr>
          <w:rFonts w:eastAsia="新宋体"/>
          <w:kern w:val="0"/>
          <w:sz w:val="18"/>
          <w:szCs w:val="18"/>
        </w:rPr>
        <w:t>（</w:t>
      </w:r>
      <w:r w:rsidRPr="00800D22">
        <w:rPr>
          <w:rFonts w:eastAsia="新宋体"/>
          <w:kern w:val="0"/>
          <w:sz w:val="18"/>
          <w:szCs w:val="18"/>
        </w:rPr>
        <w:t>11</w:t>
      </w:r>
      <w:r w:rsidRPr="00800D22">
        <w:rPr>
          <w:rFonts w:eastAsia="新宋体"/>
          <w:kern w:val="0"/>
          <w:sz w:val="18"/>
          <w:szCs w:val="18"/>
        </w:rPr>
        <w:t>）</w:t>
      </w:r>
      <w:r w:rsidRPr="00800D22">
        <w:rPr>
          <w:rFonts w:eastAsia="新宋体" w:hint="eastAsia"/>
          <w:kern w:val="0"/>
          <w:sz w:val="18"/>
          <w:szCs w:val="18"/>
        </w:rPr>
        <w:t>，</w:t>
      </w:r>
      <w:r w:rsidRPr="00800D22">
        <w:rPr>
          <w:rFonts w:eastAsia="新宋体"/>
          <w:kern w:val="0"/>
          <w:sz w:val="18"/>
          <w:szCs w:val="18"/>
        </w:rPr>
        <w:t>43-44.</w:t>
      </w:r>
    </w:p>
    <w:p w14:paraId="4E64F744" w14:textId="77777777" w:rsidR="00D7265E" w:rsidRPr="00800D22" w:rsidRDefault="00D7265E" w:rsidP="00D7265E">
      <w:pPr>
        <w:spacing w:line="440" w:lineRule="exact"/>
        <w:ind w:firstLine="420"/>
        <w:rPr>
          <w:b/>
          <w:sz w:val="24"/>
        </w:rPr>
      </w:pPr>
      <w:r w:rsidRPr="00800D22">
        <w:rPr>
          <w:b/>
          <w:sz w:val="24"/>
        </w:rPr>
        <w:t>（</w:t>
      </w:r>
      <w:r w:rsidRPr="00800D22">
        <w:rPr>
          <w:b/>
          <w:sz w:val="24"/>
        </w:rPr>
        <w:t>2</w:t>
      </w:r>
      <w:r w:rsidRPr="00800D22">
        <w:rPr>
          <w:b/>
          <w:sz w:val="24"/>
        </w:rPr>
        <w:t>）质押资产折扣率</w:t>
      </w:r>
    </w:p>
    <w:p w14:paraId="126EDD86" w14:textId="77777777" w:rsidR="00D7265E" w:rsidRPr="00800D22" w:rsidRDefault="00D7265E" w:rsidP="00D7265E">
      <w:pPr>
        <w:pStyle w:val="123"/>
        <w:tabs>
          <w:tab w:val="clear" w:pos="1190"/>
          <w:tab w:val="clear" w:pos="1260"/>
          <w:tab w:val="num" w:pos="720"/>
        </w:tabs>
        <w:snapToGrid w:val="0"/>
        <w:spacing w:before="0" w:line="440" w:lineRule="exact"/>
        <w:ind w:left="0" w:firstLineChars="200" w:firstLine="480"/>
        <w:rPr>
          <w:rFonts w:ascii="Times New Roman" w:hAnsi="Times New Roman" w:hint="default"/>
          <w:sz w:val="24"/>
          <w:szCs w:val="24"/>
        </w:rPr>
      </w:pPr>
      <w:r w:rsidRPr="00800D22">
        <w:rPr>
          <w:rFonts w:ascii="Times New Roman" w:hAnsi="Times New Roman" w:hint="default"/>
          <w:sz w:val="24"/>
          <w:szCs w:val="24"/>
        </w:rPr>
        <w:t>对于质押资产折扣率的确定，由于市场没有统一标准，本书也参考银行对质</w:t>
      </w:r>
      <w:proofErr w:type="gramStart"/>
      <w:r w:rsidRPr="00800D22">
        <w:rPr>
          <w:rFonts w:ascii="Times New Roman" w:hAnsi="Times New Roman" w:hint="default"/>
          <w:sz w:val="24"/>
          <w:szCs w:val="24"/>
        </w:rPr>
        <w:t>押</w:t>
      </w:r>
      <w:proofErr w:type="gramEnd"/>
      <w:r w:rsidRPr="00800D22">
        <w:rPr>
          <w:rFonts w:ascii="Times New Roman" w:hAnsi="Times New Roman" w:hint="default"/>
          <w:sz w:val="24"/>
          <w:szCs w:val="24"/>
        </w:rPr>
        <w:t>资产业务的处理，将银行质押资产的质押率作为折扣率。</w:t>
      </w:r>
    </w:p>
    <w:p w14:paraId="42350DC9" w14:textId="77777777" w:rsidR="00D7265E" w:rsidRPr="00800D22" w:rsidRDefault="00D7265E" w:rsidP="00D7265E">
      <w:pPr>
        <w:pStyle w:val="123"/>
        <w:tabs>
          <w:tab w:val="clear" w:pos="1190"/>
          <w:tab w:val="clear" w:pos="1260"/>
          <w:tab w:val="num" w:pos="720"/>
        </w:tabs>
        <w:snapToGrid w:val="0"/>
        <w:spacing w:before="0" w:line="440" w:lineRule="exact"/>
        <w:ind w:left="0" w:firstLineChars="200" w:firstLine="480"/>
        <w:rPr>
          <w:rFonts w:ascii="Times New Roman" w:hAnsi="Times New Roman" w:hint="default"/>
          <w:sz w:val="24"/>
          <w:szCs w:val="24"/>
        </w:rPr>
      </w:pPr>
      <w:r w:rsidRPr="00800D22">
        <w:rPr>
          <w:rFonts w:ascii="Times New Roman" w:hAnsi="Times New Roman" w:hint="default"/>
          <w:sz w:val="24"/>
          <w:szCs w:val="24"/>
        </w:rPr>
        <w:t>对于一般动产的质押率原则上不得超过评估价值的</w:t>
      </w:r>
      <w:r w:rsidRPr="00800D22">
        <w:rPr>
          <w:rFonts w:ascii="Times New Roman" w:hAnsi="Times New Roman" w:hint="default"/>
          <w:sz w:val="24"/>
          <w:szCs w:val="24"/>
        </w:rPr>
        <w:t>60%</w:t>
      </w:r>
      <w:r w:rsidRPr="00800D22">
        <w:rPr>
          <w:rFonts w:ascii="Times New Roman" w:hAnsi="Times New Roman" w:hint="default"/>
          <w:sz w:val="24"/>
          <w:szCs w:val="24"/>
        </w:rPr>
        <w:t>；而对于权利质押的质押率确定，原则上：</w:t>
      </w:r>
    </w:p>
    <w:p w14:paraId="085EA307" w14:textId="77777777" w:rsidR="00D7265E" w:rsidRPr="00800D22" w:rsidRDefault="00D7265E" w:rsidP="00D7265E">
      <w:pPr>
        <w:pStyle w:val="abc"/>
        <w:numPr>
          <w:ilvl w:val="0"/>
          <w:numId w:val="4"/>
        </w:numPr>
        <w:snapToGrid w:val="0"/>
        <w:spacing w:before="0" w:beforeAutospacing="0" w:after="0" w:afterAutospacing="0" w:line="440" w:lineRule="exact"/>
        <w:ind w:hanging="60"/>
        <w:rPr>
          <w:rFonts w:ascii="Times New Roman" w:hAnsi="Times New Roman"/>
          <w:kern w:val="2"/>
        </w:rPr>
      </w:pPr>
      <w:r w:rsidRPr="00800D22">
        <w:rPr>
          <w:rFonts w:ascii="Times New Roman" w:hAnsi="Times New Roman"/>
          <w:kern w:val="2"/>
        </w:rPr>
        <w:t>人民币存款单的质押率不得超过存款行确认数额的</w:t>
      </w:r>
      <w:r w:rsidRPr="00800D22">
        <w:rPr>
          <w:rFonts w:ascii="Times New Roman" w:hAnsi="Times New Roman"/>
          <w:kern w:val="2"/>
        </w:rPr>
        <w:t>90%</w:t>
      </w:r>
      <w:r w:rsidRPr="00800D22">
        <w:rPr>
          <w:rFonts w:ascii="Times New Roman" w:hAnsi="Times New Roman"/>
          <w:kern w:val="2"/>
        </w:rPr>
        <w:t>；</w:t>
      </w:r>
    </w:p>
    <w:p w14:paraId="31A0F034" w14:textId="77777777" w:rsidR="00D7265E" w:rsidRPr="00800D22" w:rsidRDefault="00D7265E" w:rsidP="00D7265E">
      <w:pPr>
        <w:pStyle w:val="abc"/>
        <w:numPr>
          <w:ilvl w:val="0"/>
          <w:numId w:val="4"/>
        </w:numPr>
        <w:tabs>
          <w:tab w:val="num" w:pos="840"/>
        </w:tabs>
        <w:snapToGrid w:val="0"/>
        <w:spacing w:before="0" w:beforeAutospacing="0" w:after="0" w:afterAutospacing="0" w:line="440" w:lineRule="exact"/>
        <w:ind w:leftChars="200" w:left="840"/>
        <w:rPr>
          <w:rFonts w:ascii="Times New Roman" w:hAnsi="Times New Roman"/>
          <w:kern w:val="2"/>
        </w:rPr>
      </w:pPr>
      <w:r w:rsidRPr="00800D22">
        <w:rPr>
          <w:rFonts w:ascii="Times New Roman" w:hAnsi="Times New Roman"/>
          <w:kern w:val="2"/>
        </w:rPr>
        <w:t>办理外汇存单</w:t>
      </w:r>
      <w:r w:rsidRPr="00800D22">
        <w:rPr>
          <w:rFonts w:ascii="Times New Roman" w:hAnsi="Times New Roman" w:hint="eastAsia"/>
          <w:kern w:val="2"/>
        </w:rPr>
        <w:t>和</w:t>
      </w:r>
      <w:r w:rsidRPr="00800D22">
        <w:rPr>
          <w:rFonts w:ascii="Times New Roman" w:hAnsi="Times New Roman"/>
          <w:kern w:val="2"/>
        </w:rPr>
        <w:t>外汇现汇质押授信业务时，若所接受外汇币种与实际使用币种不一致时，在确定质押率时应充分考虑到汇率波动因素；一年期</w:t>
      </w:r>
      <w:r w:rsidRPr="00800D22">
        <w:rPr>
          <w:rFonts w:ascii="Times New Roman" w:hAnsi="Times New Roman"/>
          <w:kern w:val="2"/>
        </w:rPr>
        <w:t>(</w:t>
      </w:r>
      <w:r w:rsidRPr="00800D22">
        <w:rPr>
          <w:rFonts w:ascii="Times New Roman" w:hAnsi="Times New Roman"/>
          <w:kern w:val="2"/>
        </w:rPr>
        <w:t>含</w:t>
      </w:r>
      <w:r w:rsidRPr="00800D22">
        <w:rPr>
          <w:rFonts w:ascii="Times New Roman" w:hAnsi="Times New Roman"/>
          <w:kern w:val="2"/>
        </w:rPr>
        <w:t>)</w:t>
      </w:r>
      <w:r w:rsidRPr="00800D22">
        <w:rPr>
          <w:rFonts w:ascii="Times New Roman" w:hAnsi="Times New Roman"/>
          <w:kern w:val="2"/>
        </w:rPr>
        <w:t>以内的外汇存单</w:t>
      </w:r>
      <w:r w:rsidRPr="00800D22">
        <w:rPr>
          <w:rFonts w:ascii="Times New Roman" w:hAnsi="Times New Roman" w:hint="eastAsia"/>
          <w:kern w:val="2"/>
        </w:rPr>
        <w:t>和</w:t>
      </w:r>
      <w:r w:rsidRPr="00800D22">
        <w:rPr>
          <w:rFonts w:ascii="Times New Roman" w:hAnsi="Times New Roman"/>
          <w:kern w:val="2"/>
        </w:rPr>
        <w:t>外汇现汇</w:t>
      </w:r>
      <w:r w:rsidRPr="00800D22">
        <w:rPr>
          <w:rFonts w:ascii="Times New Roman" w:hAnsi="Times New Roman"/>
          <w:kern w:val="2"/>
        </w:rPr>
        <w:t>(</w:t>
      </w:r>
      <w:r w:rsidRPr="00800D22">
        <w:rPr>
          <w:rFonts w:ascii="Times New Roman" w:hAnsi="Times New Roman"/>
          <w:kern w:val="2"/>
        </w:rPr>
        <w:t>国家外汇管理局规定可兑换的币种</w:t>
      </w:r>
      <w:r w:rsidRPr="00800D22">
        <w:rPr>
          <w:rFonts w:ascii="Times New Roman" w:hAnsi="Times New Roman"/>
          <w:kern w:val="2"/>
        </w:rPr>
        <w:t>)</w:t>
      </w:r>
      <w:r w:rsidRPr="00800D22">
        <w:rPr>
          <w:rFonts w:ascii="Times New Roman" w:hAnsi="Times New Roman"/>
          <w:kern w:val="2"/>
        </w:rPr>
        <w:t>的质押率不得超过折算金额的</w:t>
      </w:r>
      <w:r w:rsidRPr="00800D22">
        <w:rPr>
          <w:rFonts w:ascii="Times New Roman" w:hAnsi="Times New Roman"/>
          <w:kern w:val="2"/>
        </w:rPr>
        <w:t>90%</w:t>
      </w:r>
      <w:r w:rsidRPr="00800D22">
        <w:rPr>
          <w:rFonts w:ascii="Times New Roman" w:hAnsi="Times New Roman"/>
          <w:kern w:val="2"/>
        </w:rPr>
        <w:t>；一年期以上的外汇存单</w:t>
      </w:r>
      <w:r w:rsidRPr="00800D22">
        <w:rPr>
          <w:rFonts w:ascii="Times New Roman" w:hAnsi="Times New Roman" w:hint="eastAsia"/>
          <w:kern w:val="2"/>
        </w:rPr>
        <w:t>和</w:t>
      </w:r>
      <w:r w:rsidRPr="00800D22">
        <w:rPr>
          <w:rFonts w:ascii="Times New Roman" w:hAnsi="Times New Roman"/>
          <w:kern w:val="2"/>
        </w:rPr>
        <w:t>外汇现汇</w:t>
      </w:r>
      <w:r w:rsidRPr="00800D22">
        <w:rPr>
          <w:rFonts w:ascii="Times New Roman" w:hAnsi="Times New Roman"/>
          <w:kern w:val="2"/>
        </w:rPr>
        <w:t>(</w:t>
      </w:r>
      <w:r w:rsidRPr="00800D22">
        <w:rPr>
          <w:rFonts w:ascii="Times New Roman" w:hAnsi="Times New Roman"/>
          <w:kern w:val="2"/>
        </w:rPr>
        <w:t>国家外汇管理局规定可兑换的币种</w:t>
      </w:r>
      <w:r w:rsidRPr="00800D22">
        <w:rPr>
          <w:rFonts w:ascii="Times New Roman" w:hAnsi="Times New Roman"/>
          <w:kern w:val="2"/>
        </w:rPr>
        <w:t>)</w:t>
      </w:r>
      <w:r w:rsidRPr="00800D22">
        <w:rPr>
          <w:rFonts w:ascii="Times New Roman" w:hAnsi="Times New Roman"/>
          <w:kern w:val="2"/>
        </w:rPr>
        <w:t>质押币种与使用币种相一致的，质押率不得超过存单或现汇金额的</w:t>
      </w:r>
      <w:r w:rsidRPr="00800D22">
        <w:rPr>
          <w:rFonts w:ascii="Times New Roman" w:hAnsi="Times New Roman"/>
          <w:kern w:val="2"/>
        </w:rPr>
        <w:t>90%</w:t>
      </w:r>
      <w:r w:rsidRPr="00800D22">
        <w:rPr>
          <w:rFonts w:ascii="Times New Roman" w:hAnsi="Times New Roman"/>
          <w:kern w:val="2"/>
        </w:rPr>
        <w:t>，币种不一致的，质押率不得超过折算金额的</w:t>
      </w:r>
      <w:r w:rsidRPr="00800D22">
        <w:rPr>
          <w:rFonts w:ascii="Times New Roman" w:hAnsi="Times New Roman"/>
          <w:kern w:val="2"/>
        </w:rPr>
        <w:t>70%</w:t>
      </w:r>
      <w:r w:rsidRPr="00800D22">
        <w:rPr>
          <w:rFonts w:ascii="Times New Roman" w:hAnsi="Times New Roman"/>
          <w:kern w:val="2"/>
        </w:rPr>
        <w:t>；</w:t>
      </w:r>
    </w:p>
    <w:p w14:paraId="062BB843"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lastRenderedPageBreak/>
        <w:t>国家债券的质押率不得超过面额的</w:t>
      </w:r>
      <w:r w:rsidRPr="00800D22">
        <w:rPr>
          <w:rFonts w:ascii="Times New Roman" w:hAnsi="Times New Roman"/>
          <w:kern w:val="2"/>
        </w:rPr>
        <w:t>90%</w:t>
      </w:r>
      <w:r w:rsidRPr="00800D22">
        <w:rPr>
          <w:rFonts w:ascii="Times New Roman" w:hAnsi="Times New Roman"/>
          <w:kern w:val="2"/>
        </w:rPr>
        <w:t>；</w:t>
      </w:r>
    </w:p>
    <w:p w14:paraId="56488CC0"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金融债券的质押率不得超过面额的</w:t>
      </w:r>
      <w:r w:rsidRPr="00800D22">
        <w:rPr>
          <w:rFonts w:ascii="Times New Roman" w:hAnsi="Times New Roman"/>
          <w:kern w:val="2"/>
        </w:rPr>
        <w:t>90%</w:t>
      </w:r>
      <w:r w:rsidRPr="00800D22">
        <w:rPr>
          <w:rFonts w:ascii="Times New Roman" w:hAnsi="Times New Roman"/>
          <w:kern w:val="2"/>
        </w:rPr>
        <w:t>；</w:t>
      </w:r>
    </w:p>
    <w:p w14:paraId="384C743F"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国家政策性银行、国有商业银行</w:t>
      </w:r>
      <w:r w:rsidRPr="00800D22">
        <w:rPr>
          <w:rFonts w:ascii="Times New Roman" w:hAnsi="Times New Roman" w:hint="eastAsia"/>
          <w:kern w:val="2"/>
        </w:rPr>
        <w:t>和</w:t>
      </w:r>
      <w:r w:rsidRPr="00800D22">
        <w:rPr>
          <w:rFonts w:ascii="Times New Roman" w:hAnsi="Times New Roman"/>
          <w:kern w:val="2"/>
        </w:rPr>
        <w:t>全国性股份制商业银行出具的银行本票</w:t>
      </w:r>
      <w:r w:rsidRPr="00800D22">
        <w:rPr>
          <w:rFonts w:ascii="Times New Roman" w:hAnsi="Times New Roman" w:hint="eastAsia"/>
          <w:kern w:val="2"/>
        </w:rPr>
        <w:t>和</w:t>
      </w:r>
      <w:r w:rsidRPr="00800D22">
        <w:rPr>
          <w:rFonts w:ascii="Times New Roman" w:hAnsi="Times New Roman"/>
          <w:kern w:val="2"/>
        </w:rPr>
        <w:t>银行承兑汇票的质押率不得超过面额的</w:t>
      </w:r>
      <w:r w:rsidRPr="00800D22">
        <w:rPr>
          <w:rFonts w:ascii="Times New Roman" w:hAnsi="Times New Roman"/>
          <w:kern w:val="2"/>
        </w:rPr>
        <w:t>90%</w:t>
      </w:r>
      <w:r w:rsidRPr="00800D22">
        <w:rPr>
          <w:rFonts w:ascii="Times New Roman" w:hAnsi="Times New Roman"/>
          <w:kern w:val="2"/>
        </w:rPr>
        <w:t>；</w:t>
      </w:r>
    </w:p>
    <w:p w14:paraId="68146E33"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其他银行</w:t>
      </w:r>
      <w:r w:rsidRPr="00800D22">
        <w:rPr>
          <w:rFonts w:ascii="Times New Roman" w:hAnsi="Times New Roman"/>
          <w:kern w:val="2"/>
        </w:rPr>
        <w:t>(</w:t>
      </w:r>
      <w:r w:rsidRPr="00800D22">
        <w:rPr>
          <w:rFonts w:ascii="Times New Roman" w:hAnsi="Times New Roman"/>
          <w:kern w:val="2"/>
        </w:rPr>
        <w:t>含外资银行</w:t>
      </w:r>
      <w:r w:rsidRPr="00800D22">
        <w:rPr>
          <w:rFonts w:ascii="Times New Roman" w:hAnsi="Times New Roman"/>
          <w:kern w:val="2"/>
        </w:rPr>
        <w:t>)</w:t>
      </w:r>
      <w:r w:rsidRPr="00800D22">
        <w:rPr>
          <w:rFonts w:ascii="Times New Roman" w:hAnsi="Times New Roman"/>
          <w:kern w:val="2"/>
        </w:rPr>
        <w:t>承兑汇票的质押率不得超过面额的</w:t>
      </w:r>
      <w:r w:rsidRPr="00800D22">
        <w:rPr>
          <w:rFonts w:ascii="Times New Roman" w:hAnsi="Times New Roman"/>
          <w:kern w:val="2"/>
        </w:rPr>
        <w:t>80%</w:t>
      </w:r>
      <w:r w:rsidRPr="00800D22">
        <w:rPr>
          <w:rFonts w:ascii="Times New Roman" w:hAnsi="Times New Roman"/>
          <w:kern w:val="2"/>
        </w:rPr>
        <w:t>；</w:t>
      </w:r>
    </w:p>
    <w:p w14:paraId="72D48825"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上市公司国有股和社会法人股、非上市股份有限公司股份、有限责任公司股份及外商投资企业股权的质押率不得超过评估价值的</w:t>
      </w:r>
      <w:r w:rsidRPr="00800D22">
        <w:rPr>
          <w:rFonts w:ascii="Times New Roman" w:hAnsi="Times New Roman"/>
          <w:kern w:val="2"/>
        </w:rPr>
        <w:t>50%</w:t>
      </w:r>
      <w:r w:rsidRPr="00800D22">
        <w:rPr>
          <w:rFonts w:ascii="Times New Roman" w:hAnsi="Times New Roman"/>
          <w:kern w:val="2"/>
        </w:rPr>
        <w:t>，且应从严掌握；</w:t>
      </w:r>
    </w:p>
    <w:p w14:paraId="5E77E9AD" w14:textId="77777777" w:rsidR="00D7265E" w:rsidRPr="00800D22" w:rsidRDefault="00D7265E" w:rsidP="00D7265E">
      <w:pPr>
        <w:pStyle w:val="abc"/>
        <w:numPr>
          <w:ilvl w:val="0"/>
          <w:numId w:val="4"/>
        </w:numPr>
        <w:tabs>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上市流通的股票质押率最高不能超过</w:t>
      </w:r>
      <w:r w:rsidRPr="00800D22">
        <w:rPr>
          <w:rFonts w:ascii="Times New Roman" w:hAnsi="Times New Roman"/>
          <w:kern w:val="2"/>
        </w:rPr>
        <w:t>60%</w:t>
      </w:r>
      <w:r w:rsidRPr="00800D22">
        <w:rPr>
          <w:rFonts w:ascii="Times New Roman" w:hAnsi="Times New Roman"/>
          <w:kern w:val="2"/>
        </w:rPr>
        <w:t>；</w:t>
      </w:r>
    </w:p>
    <w:p w14:paraId="394C83F7" w14:textId="77777777" w:rsidR="00D7265E" w:rsidRPr="00800D22" w:rsidRDefault="00D7265E" w:rsidP="00D7265E">
      <w:pPr>
        <w:pStyle w:val="abc"/>
        <w:numPr>
          <w:ilvl w:val="0"/>
          <w:numId w:val="5"/>
        </w:numPr>
        <w:tabs>
          <w:tab w:val="clear" w:pos="420"/>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仓单</w:t>
      </w:r>
      <w:r w:rsidRPr="00800D22">
        <w:rPr>
          <w:rFonts w:ascii="Times New Roman" w:hAnsi="Times New Roman" w:hint="eastAsia"/>
          <w:kern w:val="2"/>
        </w:rPr>
        <w:t>和</w:t>
      </w:r>
      <w:r w:rsidRPr="00800D22">
        <w:rPr>
          <w:rFonts w:ascii="Times New Roman" w:hAnsi="Times New Roman"/>
          <w:kern w:val="2"/>
        </w:rPr>
        <w:t>提单的质押率不得超过仓单</w:t>
      </w:r>
      <w:r w:rsidRPr="00800D22">
        <w:rPr>
          <w:rFonts w:ascii="Times New Roman" w:hAnsi="Times New Roman" w:hint="eastAsia"/>
          <w:kern w:val="2"/>
        </w:rPr>
        <w:t>和</w:t>
      </w:r>
      <w:r w:rsidRPr="00800D22">
        <w:rPr>
          <w:rFonts w:ascii="Times New Roman" w:hAnsi="Times New Roman"/>
          <w:kern w:val="2"/>
        </w:rPr>
        <w:t>提单项下货物总金额的</w:t>
      </w:r>
      <w:r w:rsidRPr="00800D22">
        <w:rPr>
          <w:rFonts w:ascii="Times New Roman" w:hAnsi="Times New Roman"/>
          <w:kern w:val="2"/>
        </w:rPr>
        <w:t>60%</w:t>
      </w:r>
      <w:r w:rsidRPr="00800D22">
        <w:rPr>
          <w:rFonts w:ascii="Times New Roman" w:hAnsi="Times New Roman"/>
          <w:kern w:val="2"/>
        </w:rPr>
        <w:t>；</w:t>
      </w:r>
    </w:p>
    <w:p w14:paraId="476F66B5" w14:textId="77777777" w:rsidR="00D7265E" w:rsidRPr="00800D22" w:rsidRDefault="00D7265E" w:rsidP="00D7265E">
      <w:pPr>
        <w:pStyle w:val="abc"/>
        <w:numPr>
          <w:ilvl w:val="0"/>
          <w:numId w:val="5"/>
        </w:numPr>
        <w:tabs>
          <w:tab w:val="clear" w:pos="420"/>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电费收费权的质押率不得超过以销售电量和销售电价确定的电费收费</w:t>
      </w:r>
      <w:proofErr w:type="gramStart"/>
      <w:r w:rsidRPr="00800D22">
        <w:rPr>
          <w:rFonts w:ascii="Times New Roman" w:hAnsi="Times New Roman"/>
          <w:kern w:val="2"/>
        </w:rPr>
        <w:t>权价值</w:t>
      </w:r>
      <w:proofErr w:type="gramEnd"/>
      <w:r w:rsidRPr="00800D22">
        <w:rPr>
          <w:rFonts w:ascii="Times New Roman" w:hAnsi="Times New Roman"/>
          <w:kern w:val="2"/>
        </w:rPr>
        <w:t>的</w:t>
      </w:r>
      <w:r w:rsidRPr="00800D22">
        <w:rPr>
          <w:rFonts w:ascii="Times New Roman" w:hAnsi="Times New Roman"/>
          <w:kern w:val="2"/>
        </w:rPr>
        <w:t>65%</w:t>
      </w:r>
      <w:r w:rsidRPr="00800D22">
        <w:rPr>
          <w:rFonts w:ascii="Times New Roman" w:hAnsi="Times New Roman"/>
          <w:kern w:val="2"/>
        </w:rPr>
        <w:t>；</w:t>
      </w:r>
    </w:p>
    <w:p w14:paraId="17C40EA4" w14:textId="77777777" w:rsidR="00D7265E" w:rsidRPr="00800D22" w:rsidRDefault="00D7265E" w:rsidP="00D7265E">
      <w:pPr>
        <w:pStyle w:val="abc"/>
        <w:numPr>
          <w:ilvl w:val="0"/>
          <w:numId w:val="5"/>
        </w:numPr>
        <w:tabs>
          <w:tab w:val="clear" w:pos="420"/>
          <w:tab w:val="num" w:pos="840"/>
        </w:tabs>
        <w:snapToGrid w:val="0"/>
        <w:spacing w:before="0" w:beforeAutospacing="0" w:after="0" w:afterAutospacing="0" w:line="434" w:lineRule="exact"/>
        <w:ind w:leftChars="200" w:left="840"/>
        <w:rPr>
          <w:rFonts w:ascii="Times New Roman" w:hAnsi="Times New Roman"/>
          <w:kern w:val="2"/>
        </w:rPr>
      </w:pPr>
      <w:r w:rsidRPr="00800D22">
        <w:rPr>
          <w:rFonts w:ascii="Times New Roman" w:hAnsi="Times New Roman"/>
          <w:kern w:val="2"/>
        </w:rPr>
        <w:t>商标专用权，专利权</w:t>
      </w:r>
      <w:r w:rsidRPr="00800D22">
        <w:rPr>
          <w:rFonts w:ascii="Times New Roman" w:hAnsi="Times New Roman" w:hint="eastAsia"/>
          <w:kern w:val="2"/>
        </w:rPr>
        <w:t>和</w:t>
      </w:r>
      <w:r w:rsidRPr="00800D22">
        <w:rPr>
          <w:rFonts w:ascii="Times New Roman" w:hAnsi="Times New Roman"/>
          <w:kern w:val="2"/>
        </w:rPr>
        <w:t>著作权中的财产权的质押</w:t>
      </w:r>
      <w:proofErr w:type="gramStart"/>
      <w:r w:rsidRPr="00800D22">
        <w:rPr>
          <w:rFonts w:ascii="Times New Roman" w:hAnsi="Times New Roman"/>
          <w:kern w:val="2"/>
        </w:rPr>
        <w:t>率应当</w:t>
      </w:r>
      <w:proofErr w:type="gramEnd"/>
      <w:r w:rsidRPr="00800D22">
        <w:rPr>
          <w:rFonts w:ascii="Times New Roman" w:hAnsi="Times New Roman"/>
          <w:kern w:val="2"/>
        </w:rPr>
        <w:t>从严掌握。</w:t>
      </w:r>
    </w:p>
    <w:p w14:paraId="577257BC" w14:textId="77777777" w:rsidR="00D7265E" w:rsidRPr="00800D22" w:rsidRDefault="00D7265E" w:rsidP="00D7265E">
      <w:pPr>
        <w:spacing w:line="434" w:lineRule="exact"/>
        <w:ind w:firstLine="420"/>
        <w:rPr>
          <w:sz w:val="24"/>
        </w:rPr>
      </w:pPr>
      <w:r w:rsidRPr="00800D22">
        <w:rPr>
          <w:sz w:val="24"/>
        </w:rPr>
        <w:t>此外，应收账款的质押率主要看应收对象资信状况。</w:t>
      </w:r>
    </w:p>
    <w:p w14:paraId="589C9CF0" w14:textId="77777777" w:rsidR="00D7265E" w:rsidRPr="00800D22" w:rsidRDefault="00D7265E" w:rsidP="00D7265E">
      <w:pPr>
        <w:spacing w:line="434" w:lineRule="exact"/>
        <w:ind w:firstLine="420"/>
        <w:rPr>
          <w:sz w:val="24"/>
        </w:rPr>
      </w:pPr>
      <w:r w:rsidRPr="00800D22">
        <w:rPr>
          <w:sz w:val="24"/>
        </w:rPr>
        <w:t>银行对质</w:t>
      </w:r>
      <w:proofErr w:type="gramStart"/>
      <w:r w:rsidRPr="00800D22">
        <w:rPr>
          <w:sz w:val="24"/>
        </w:rPr>
        <w:t>押物质押率的</w:t>
      </w:r>
      <w:proofErr w:type="gramEnd"/>
      <w:r w:rsidRPr="00800D22">
        <w:rPr>
          <w:sz w:val="24"/>
        </w:rPr>
        <w:t>规定仅为本书提供了一定的参考，该折扣率为最大折扣率，在具体处理过程中，应当结合质押物的质量、变现能力以及稳定性进一步考虑，对于同类质押物的不同情况要区别对待，例如，应收账款质押，质量好的和质量差的需要区别对待，分别设定不同的折扣率。</w:t>
      </w:r>
      <w:r w:rsidRPr="00800D22">
        <w:rPr>
          <w:sz w:val="24"/>
        </w:rPr>
        <w:t xml:space="preserve"> </w:t>
      </w:r>
    </w:p>
    <w:p w14:paraId="0B3D94A2" w14:textId="49D53DB1" w:rsidR="00D7265E" w:rsidRPr="00800D22" w:rsidRDefault="00D7265E" w:rsidP="00D7265E">
      <w:pPr>
        <w:spacing w:line="434" w:lineRule="exact"/>
        <w:outlineLvl w:val="3"/>
        <w:rPr>
          <w:rFonts w:ascii="黑体" w:eastAsia="黑体"/>
          <w:sz w:val="24"/>
        </w:rPr>
      </w:pPr>
      <w:bookmarkStart w:id="9" w:name="_Toc216154411"/>
      <w:bookmarkStart w:id="10" w:name="_Toc238701502"/>
      <w:bookmarkStart w:id="11" w:name="_Toc239689268"/>
      <w:r>
        <w:rPr>
          <w:rFonts w:ascii="黑体" w:eastAsia="黑体" w:hint="eastAsia"/>
          <w:sz w:val="24"/>
        </w:rPr>
        <w:t>三、</w:t>
      </w:r>
      <w:r w:rsidRPr="00800D22">
        <w:rPr>
          <w:rFonts w:ascii="黑体" w:eastAsia="黑体"/>
          <w:sz w:val="24"/>
        </w:rPr>
        <w:t>债务人</w:t>
      </w:r>
      <w:proofErr w:type="gramStart"/>
      <w:r w:rsidRPr="00800D22">
        <w:rPr>
          <w:rFonts w:ascii="黑体" w:eastAsia="黑体"/>
          <w:sz w:val="24"/>
        </w:rPr>
        <w:t>与抵/</w:t>
      </w:r>
      <w:proofErr w:type="gramEnd"/>
      <w:r w:rsidRPr="00800D22">
        <w:rPr>
          <w:rFonts w:ascii="黑体" w:eastAsia="黑体"/>
          <w:sz w:val="24"/>
        </w:rPr>
        <w:t>质押资产存在相关性时处理</w:t>
      </w:r>
      <w:bookmarkEnd w:id="9"/>
      <w:bookmarkEnd w:id="10"/>
      <w:bookmarkEnd w:id="11"/>
    </w:p>
    <w:p w14:paraId="547BBE7A" w14:textId="77777777" w:rsidR="00D7265E" w:rsidRPr="00800D22" w:rsidRDefault="00D7265E" w:rsidP="00D7265E">
      <w:pPr>
        <w:spacing w:line="434" w:lineRule="exact"/>
        <w:ind w:firstLine="420"/>
        <w:rPr>
          <w:b/>
          <w:sz w:val="24"/>
        </w:rPr>
      </w:pPr>
      <w:r w:rsidRPr="00800D22">
        <w:rPr>
          <w:sz w:val="24"/>
        </w:rPr>
        <w:t>由于前文在确定抵</w:t>
      </w:r>
      <w:r w:rsidRPr="00800D22">
        <w:rPr>
          <w:sz w:val="24"/>
        </w:rPr>
        <w:t>/</w:t>
      </w:r>
      <w:r w:rsidRPr="00800D22">
        <w:rPr>
          <w:sz w:val="24"/>
        </w:rPr>
        <w:t>质押资产价值覆盖率和抵</w:t>
      </w:r>
      <w:r w:rsidRPr="00800D22">
        <w:rPr>
          <w:sz w:val="24"/>
        </w:rPr>
        <w:t>/</w:t>
      </w:r>
      <w:r w:rsidRPr="00800D22">
        <w:rPr>
          <w:sz w:val="24"/>
        </w:rPr>
        <w:t>质押资产价值时假设债务人</w:t>
      </w:r>
      <w:proofErr w:type="gramStart"/>
      <w:r w:rsidRPr="00800D22">
        <w:rPr>
          <w:sz w:val="24"/>
        </w:rPr>
        <w:t>与抵</w:t>
      </w:r>
      <w:r w:rsidRPr="00800D22">
        <w:rPr>
          <w:sz w:val="24"/>
        </w:rPr>
        <w:t>/</w:t>
      </w:r>
      <w:proofErr w:type="gramEnd"/>
      <w:r w:rsidRPr="00800D22">
        <w:rPr>
          <w:sz w:val="24"/>
        </w:rPr>
        <w:t>质押资产之间</w:t>
      </w:r>
      <w:r w:rsidRPr="00800D22">
        <w:rPr>
          <w:rFonts w:hint="eastAsia"/>
          <w:sz w:val="24"/>
        </w:rPr>
        <w:t>是</w:t>
      </w:r>
      <w:r w:rsidRPr="00800D22">
        <w:rPr>
          <w:sz w:val="24"/>
        </w:rPr>
        <w:t>相互独立的</w:t>
      </w:r>
      <w:r w:rsidRPr="00800D22">
        <w:rPr>
          <w:rFonts w:hint="eastAsia"/>
          <w:sz w:val="24"/>
        </w:rPr>
        <w:t>，</w:t>
      </w:r>
      <w:r w:rsidRPr="00800D22">
        <w:rPr>
          <w:sz w:val="24"/>
        </w:rPr>
        <w:t>但在现实情况下，债务人</w:t>
      </w:r>
      <w:proofErr w:type="gramStart"/>
      <w:r w:rsidRPr="00800D22">
        <w:rPr>
          <w:sz w:val="24"/>
        </w:rPr>
        <w:t>与抵</w:t>
      </w:r>
      <w:r w:rsidRPr="00800D22">
        <w:rPr>
          <w:sz w:val="24"/>
        </w:rPr>
        <w:t>/</w:t>
      </w:r>
      <w:proofErr w:type="gramEnd"/>
      <w:r w:rsidRPr="00800D22">
        <w:rPr>
          <w:sz w:val="24"/>
        </w:rPr>
        <w:t>质押资产之间往往并非完全独立，甚至还可能具有很强相关性，如债务人用子公司股权作质押。对于这种情况，笔者认为可以将相关性体现在折扣率上，例如，以第三</w:t>
      </w:r>
      <w:proofErr w:type="gramStart"/>
      <w:r w:rsidRPr="00800D22">
        <w:rPr>
          <w:sz w:val="24"/>
        </w:rPr>
        <w:t>方股票</w:t>
      </w:r>
      <w:proofErr w:type="gramEnd"/>
      <w:r w:rsidRPr="00800D22">
        <w:rPr>
          <w:sz w:val="24"/>
        </w:rPr>
        <w:t>作质押的折扣率为</w:t>
      </w:r>
      <w:r w:rsidRPr="00800D22">
        <w:rPr>
          <w:sz w:val="24"/>
        </w:rPr>
        <w:t>30%</w:t>
      </w:r>
      <w:r w:rsidRPr="00800D22">
        <w:rPr>
          <w:sz w:val="24"/>
        </w:rPr>
        <w:t>，</w:t>
      </w:r>
      <w:r w:rsidRPr="00800D22">
        <w:rPr>
          <w:rFonts w:hint="eastAsia"/>
          <w:sz w:val="24"/>
        </w:rPr>
        <w:t>那么</w:t>
      </w:r>
      <w:r w:rsidRPr="00800D22">
        <w:rPr>
          <w:sz w:val="24"/>
        </w:rPr>
        <w:t>用子公司股权作质押时折扣率可取</w:t>
      </w:r>
      <w:r w:rsidRPr="00800D22">
        <w:rPr>
          <w:sz w:val="24"/>
        </w:rPr>
        <w:t>20%</w:t>
      </w:r>
      <w:r w:rsidRPr="00800D22">
        <w:rPr>
          <w:sz w:val="24"/>
        </w:rPr>
        <w:t>，如果公司资产和利润主要来自于该子公司，则可进一步降低折扣率，如</w:t>
      </w:r>
      <w:r w:rsidRPr="00800D22">
        <w:rPr>
          <w:sz w:val="24"/>
        </w:rPr>
        <w:t>10%</w:t>
      </w:r>
      <w:r w:rsidRPr="00800D22">
        <w:rPr>
          <w:sz w:val="24"/>
        </w:rPr>
        <w:t>。总之，采取在具体问题中具体处理的原则。</w:t>
      </w:r>
      <w:r w:rsidRPr="00800D22">
        <w:rPr>
          <w:b/>
          <w:sz w:val="24"/>
        </w:rPr>
        <w:t xml:space="preserve"> </w:t>
      </w:r>
    </w:p>
    <w:p w14:paraId="177A80FA" w14:textId="77777777" w:rsidR="00D7265E" w:rsidRDefault="00D7265E">
      <w:pPr>
        <w:rPr>
          <w:rFonts w:hint="eastAsia"/>
        </w:rPr>
      </w:pPr>
    </w:p>
    <w:sectPr w:rsidR="00D72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A647" w14:textId="77777777" w:rsidR="005C3826" w:rsidRDefault="005C3826" w:rsidP="00D7265E">
      <w:pPr>
        <w:rPr>
          <w:rFonts w:hint="eastAsia"/>
        </w:rPr>
      </w:pPr>
      <w:r>
        <w:separator/>
      </w:r>
    </w:p>
  </w:endnote>
  <w:endnote w:type="continuationSeparator" w:id="0">
    <w:p w14:paraId="2D535F2C" w14:textId="77777777" w:rsidR="005C3826" w:rsidRDefault="005C3826" w:rsidP="00D726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25DA" w14:textId="77777777" w:rsidR="005C3826" w:rsidRDefault="005C3826" w:rsidP="00D7265E">
      <w:pPr>
        <w:rPr>
          <w:rFonts w:hint="eastAsia"/>
        </w:rPr>
      </w:pPr>
      <w:r>
        <w:separator/>
      </w:r>
    </w:p>
  </w:footnote>
  <w:footnote w:type="continuationSeparator" w:id="0">
    <w:p w14:paraId="43CF7A67" w14:textId="77777777" w:rsidR="005C3826" w:rsidRDefault="005C3826" w:rsidP="00D7265E">
      <w:pPr>
        <w:rPr>
          <w:rFonts w:hint="eastAsia"/>
        </w:rPr>
      </w:pPr>
      <w:r>
        <w:continuationSeparator/>
      </w:r>
    </w:p>
  </w:footnote>
  <w:footnote w:id="1">
    <w:p w14:paraId="2A472DEE" w14:textId="77777777" w:rsidR="00D7265E" w:rsidRDefault="00D7265E" w:rsidP="00D7265E">
      <w:pPr>
        <w:pStyle w:val="af2"/>
        <w:rPr>
          <w:rFonts w:hint="eastAsia"/>
        </w:rPr>
      </w:pPr>
      <w:r>
        <w:rPr>
          <w:rStyle w:val="af4"/>
        </w:rPr>
        <w:footnoteRef/>
      </w:r>
      <w:r>
        <w:t xml:space="preserve"> </w:t>
      </w:r>
      <w:r>
        <w:rPr>
          <w:rFonts w:hint="eastAsia"/>
        </w:rPr>
        <w:t>本书中抵</w:t>
      </w:r>
      <w:r>
        <w:rPr>
          <w:rFonts w:hint="eastAsia"/>
        </w:rPr>
        <w:t>/</w:t>
      </w:r>
      <w:r>
        <w:t>质押</w:t>
      </w:r>
      <w:r>
        <w:rPr>
          <w:rFonts w:hint="eastAsia"/>
        </w:rPr>
        <w:t>资产覆盖率是根据理论上的覆盖率，本书将抵</w:t>
      </w:r>
      <w:r>
        <w:rPr>
          <w:rFonts w:hint="eastAsia"/>
        </w:rPr>
        <w:t>/</w:t>
      </w:r>
      <w:r>
        <w:rPr>
          <w:rFonts w:hint="eastAsia"/>
        </w:rPr>
        <w:t>质押资产的流动性及追偿程序的复杂性作为内生变量，反应到折扣率上。</w:t>
      </w:r>
    </w:p>
  </w:footnote>
  <w:footnote w:id="2">
    <w:p w14:paraId="07B9D49D" w14:textId="77777777" w:rsidR="00D7265E" w:rsidRPr="007522E8" w:rsidRDefault="00D7265E" w:rsidP="00D7265E">
      <w:pPr>
        <w:pStyle w:val="af2"/>
        <w:rPr>
          <w:rFonts w:hint="eastAsia"/>
        </w:rPr>
      </w:pPr>
      <w:r>
        <w:rPr>
          <w:rStyle w:val="af4"/>
        </w:rPr>
        <w:footnoteRef/>
      </w:r>
      <w:r>
        <w:t xml:space="preserve"> </w:t>
      </w:r>
      <w:proofErr w:type="gramStart"/>
      <w:r>
        <w:rPr>
          <w:rFonts w:hint="eastAsia"/>
        </w:rPr>
        <w:t>阎衍</w:t>
      </w:r>
      <w:proofErr w:type="gramEnd"/>
      <w:r>
        <w:rPr>
          <w:rFonts w:hint="eastAsia"/>
        </w:rPr>
        <w:t xml:space="preserve">. </w:t>
      </w:r>
      <w:r>
        <w:rPr>
          <w:rFonts w:hint="eastAsia"/>
        </w:rPr>
        <w:t>违约损失率估计模型研究</w:t>
      </w:r>
      <w:r>
        <w:rPr>
          <w:rFonts w:hint="eastAsia"/>
        </w:rPr>
        <w:t>[R]</w:t>
      </w:r>
      <w:r>
        <w:rPr>
          <w:rFonts w:hint="eastAsia"/>
        </w:rPr>
        <w:t>，中诚信证券评估有限公司，</w:t>
      </w:r>
      <w:smartTag w:uri="urn:schemas-microsoft-com:office:smarttags" w:element="chsdate">
        <w:smartTagPr>
          <w:attr w:name="IsROCDate" w:val="False"/>
          <w:attr w:name="IsLunarDate" w:val="False"/>
          <w:attr w:name="Day" w:val="10"/>
          <w:attr w:name="Month" w:val="11"/>
          <w:attr w:name="Year" w:val="2007"/>
        </w:smartTagPr>
        <w:r>
          <w:rPr>
            <w:rFonts w:hint="eastAsia"/>
          </w:rPr>
          <w:t>2007-11-10</w:t>
        </w:r>
      </w:smartTag>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1"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num w:numId="1" w16cid:durableId="1780375267">
    <w:abstractNumId w:val="3"/>
  </w:num>
  <w:num w:numId="2" w16cid:durableId="2085494528">
    <w:abstractNumId w:val="4"/>
  </w:num>
  <w:num w:numId="3" w16cid:durableId="125852743">
    <w:abstractNumId w:val="1"/>
  </w:num>
  <w:num w:numId="4" w16cid:durableId="1187866212">
    <w:abstractNumId w:val="0"/>
  </w:num>
  <w:num w:numId="5" w16cid:durableId="1756896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24"/>
    <w:rsid w:val="001229D8"/>
    <w:rsid w:val="00176C56"/>
    <w:rsid w:val="001B4656"/>
    <w:rsid w:val="0025005C"/>
    <w:rsid w:val="0026744F"/>
    <w:rsid w:val="00341F2B"/>
    <w:rsid w:val="005C3826"/>
    <w:rsid w:val="006C4124"/>
    <w:rsid w:val="0072271E"/>
    <w:rsid w:val="008D0AC4"/>
    <w:rsid w:val="00D7265E"/>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4C588D38"/>
  <w15:chartTrackingRefBased/>
  <w15:docId w15:val="{E9BB4090-A70C-45A8-8E10-A07A7938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65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C4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6C4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6C4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12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1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1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41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124"/>
    <w:rPr>
      <w:rFonts w:cstheme="majorBidi"/>
      <w:color w:val="2F5496" w:themeColor="accent1" w:themeShade="BF"/>
      <w:sz w:val="28"/>
      <w:szCs w:val="28"/>
    </w:rPr>
  </w:style>
  <w:style w:type="character" w:customStyle="1" w:styleId="50">
    <w:name w:val="标题 5 字符"/>
    <w:basedOn w:val="a0"/>
    <w:link w:val="5"/>
    <w:uiPriority w:val="9"/>
    <w:semiHidden/>
    <w:rsid w:val="006C4124"/>
    <w:rPr>
      <w:rFonts w:cstheme="majorBidi"/>
      <w:color w:val="2F5496" w:themeColor="accent1" w:themeShade="BF"/>
      <w:sz w:val="24"/>
    </w:rPr>
  </w:style>
  <w:style w:type="character" w:customStyle="1" w:styleId="60">
    <w:name w:val="标题 6 字符"/>
    <w:basedOn w:val="a0"/>
    <w:link w:val="6"/>
    <w:uiPriority w:val="9"/>
    <w:semiHidden/>
    <w:rsid w:val="006C4124"/>
    <w:rPr>
      <w:rFonts w:cstheme="majorBidi"/>
      <w:b/>
      <w:bCs/>
      <w:color w:val="2F5496" w:themeColor="accent1" w:themeShade="BF"/>
    </w:rPr>
  </w:style>
  <w:style w:type="character" w:customStyle="1" w:styleId="70">
    <w:name w:val="标题 7 字符"/>
    <w:basedOn w:val="a0"/>
    <w:link w:val="7"/>
    <w:uiPriority w:val="9"/>
    <w:semiHidden/>
    <w:rsid w:val="006C4124"/>
    <w:rPr>
      <w:rFonts w:cstheme="majorBidi"/>
      <w:b/>
      <w:bCs/>
      <w:color w:val="595959" w:themeColor="text1" w:themeTint="A6"/>
    </w:rPr>
  </w:style>
  <w:style w:type="character" w:customStyle="1" w:styleId="80">
    <w:name w:val="标题 8 字符"/>
    <w:basedOn w:val="a0"/>
    <w:link w:val="8"/>
    <w:uiPriority w:val="9"/>
    <w:semiHidden/>
    <w:rsid w:val="006C4124"/>
    <w:rPr>
      <w:rFonts w:cstheme="majorBidi"/>
      <w:color w:val="595959" w:themeColor="text1" w:themeTint="A6"/>
    </w:rPr>
  </w:style>
  <w:style w:type="character" w:customStyle="1" w:styleId="90">
    <w:name w:val="标题 9 字符"/>
    <w:basedOn w:val="a0"/>
    <w:link w:val="9"/>
    <w:uiPriority w:val="9"/>
    <w:semiHidden/>
    <w:rsid w:val="006C4124"/>
    <w:rPr>
      <w:rFonts w:eastAsiaTheme="majorEastAsia" w:cstheme="majorBidi"/>
      <w:color w:val="595959" w:themeColor="text1" w:themeTint="A6"/>
    </w:rPr>
  </w:style>
  <w:style w:type="paragraph" w:styleId="a3">
    <w:name w:val="Title"/>
    <w:basedOn w:val="a"/>
    <w:next w:val="a"/>
    <w:link w:val="a4"/>
    <w:uiPriority w:val="10"/>
    <w:qFormat/>
    <w:rsid w:val="006C41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124"/>
    <w:pPr>
      <w:spacing w:before="160"/>
      <w:jc w:val="center"/>
    </w:pPr>
    <w:rPr>
      <w:i/>
      <w:iCs/>
      <w:color w:val="404040" w:themeColor="text1" w:themeTint="BF"/>
    </w:rPr>
  </w:style>
  <w:style w:type="character" w:customStyle="1" w:styleId="a8">
    <w:name w:val="引用 字符"/>
    <w:basedOn w:val="a0"/>
    <w:link w:val="a7"/>
    <w:uiPriority w:val="29"/>
    <w:rsid w:val="006C4124"/>
    <w:rPr>
      <w:i/>
      <w:iCs/>
      <w:color w:val="404040" w:themeColor="text1" w:themeTint="BF"/>
    </w:rPr>
  </w:style>
  <w:style w:type="paragraph" w:styleId="a9">
    <w:name w:val="List Paragraph"/>
    <w:basedOn w:val="a"/>
    <w:uiPriority w:val="34"/>
    <w:qFormat/>
    <w:rsid w:val="006C4124"/>
    <w:pPr>
      <w:ind w:left="720"/>
      <w:contextualSpacing/>
    </w:pPr>
  </w:style>
  <w:style w:type="character" w:styleId="aa">
    <w:name w:val="Intense Emphasis"/>
    <w:basedOn w:val="a0"/>
    <w:uiPriority w:val="21"/>
    <w:qFormat/>
    <w:rsid w:val="006C4124"/>
    <w:rPr>
      <w:i/>
      <w:iCs/>
      <w:color w:val="2F5496" w:themeColor="accent1" w:themeShade="BF"/>
    </w:rPr>
  </w:style>
  <w:style w:type="paragraph" w:styleId="ab">
    <w:name w:val="Intense Quote"/>
    <w:basedOn w:val="a"/>
    <w:next w:val="a"/>
    <w:link w:val="ac"/>
    <w:uiPriority w:val="30"/>
    <w:qFormat/>
    <w:rsid w:val="006C4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124"/>
    <w:rPr>
      <w:i/>
      <w:iCs/>
      <w:color w:val="2F5496" w:themeColor="accent1" w:themeShade="BF"/>
    </w:rPr>
  </w:style>
  <w:style w:type="character" w:styleId="ad">
    <w:name w:val="Intense Reference"/>
    <w:basedOn w:val="a0"/>
    <w:uiPriority w:val="32"/>
    <w:qFormat/>
    <w:rsid w:val="006C4124"/>
    <w:rPr>
      <w:b/>
      <w:bCs/>
      <w:smallCaps/>
      <w:color w:val="2F5496" w:themeColor="accent1" w:themeShade="BF"/>
      <w:spacing w:val="5"/>
    </w:rPr>
  </w:style>
  <w:style w:type="paragraph" w:styleId="ae">
    <w:name w:val="header"/>
    <w:basedOn w:val="a"/>
    <w:link w:val="af"/>
    <w:uiPriority w:val="99"/>
    <w:unhideWhenUsed/>
    <w:rsid w:val="00D7265E"/>
    <w:pPr>
      <w:tabs>
        <w:tab w:val="center" w:pos="4153"/>
        <w:tab w:val="right" w:pos="8306"/>
      </w:tabs>
      <w:snapToGrid w:val="0"/>
      <w:jc w:val="center"/>
    </w:pPr>
    <w:rPr>
      <w:sz w:val="18"/>
      <w:szCs w:val="18"/>
    </w:rPr>
  </w:style>
  <w:style w:type="character" w:customStyle="1" w:styleId="af">
    <w:name w:val="页眉 字符"/>
    <w:basedOn w:val="a0"/>
    <w:link w:val="ae"/>
    <w:uiPriority w:val="99"/>
    <w:rsid w:val="00D7265E"/>
    <w:rPr>
      <w:sz w:val="18"/>
      <w:szCs w:val="18"/>
    </w:rPr>
  </w:style>
  <w:style w:type="paragraph" w:styleId="af0">
    <w:name w:val="footer"/>
    <w:basedOn w:val="a"/>
    <w:link w:val="af1"/>
    <w:uiPriority w:val="99"/>
    <w:unhideWhenUsed/>
    <w:rsid w:val="00D7265E"/>
    <w:pPr>
      <w:tabs>
        <w:tab w:val="center" w:pos="4153"/>
        <w:tab w:val="right" w:pos="8306"/>
      </w:tabs>
      <w:snapToGrid w:val="0"/>
    </w:pPr>
    <w:rPr>
      <w:sz w:val="18"/>
      <w:szCs w:val="18"/>
    </w:rPr>
  </w:style>
  <w:style w:type="character" w:customStyle="1" w:styleId="af1">
    <w:name w:val="页脚 字符"/>
    <w:basedOn w:val="a0"/>
    <w:link w:val="af0"/>
    <w:uiPriority w:val="99"/>
    <w:rsid w:val="00D7265E"/>
    <w:rPr>
      <w:sz w:val="18"/>
      <w:szCs w:val="18"/>
    </w:rPr>
  </w:style>
  <w:style w:type="character" w:customStyle="1" w:styleId="3Char">
    <w:name w:val="标题 3 Char"/>
    <w:rsid w:val="00D7265E"/>
    <w:rPr>
      <w:rFonts w:eastAsia="宋体"/>
      <w:b/>
      <w:bCs/>
      <w:kern w:val="2"/>
      <w:sz w:val="32"/>
      <w:szCs w:val="32"/>
      <w:lang w:val="en-US" w:eastAsia="zh-CN" w:bidi="ar-SA"/>
    </w:rPr>
  </w:style>
  <w:style w:type="paragraph" w:styleId="af2">
    <w:name w:val="footnote text"/>
    <w:basedOn w:val="a"/>
    <w:link w:val="Char"/>
    <w:semiHidden/>
    <w:rsid w:val="00D7265E"/>
    <w:pPr>
      <w:snapToGrid w:val="0"/>
      <w:jc w:val="left"/>
    </w:pPr>
    <w:rPr>
      <w:sz w:val="18"/>
      <w:szCs w:val="18"/>
    </w:rPr>
  </w:style>
  <w:style w:type="character" w:customStyle="1" w:styleId="af3">
    <w:name w:val="脚注文本 字符"/>
    <w:basedOn w:val="a0"/>
    <w:uiPriority w:val="99"/>
    <w:semiHidden/>
    <w:rsid w:val="00D7265E"/>
    <w:rPr>
      <w:rFonts w:ascii="Times New Roman" w:eastAsia="宋体" w:hAnsi="Times New Roman" w:cs="Times New Roman"/>
      <w:sz w:val="18"/>
      <w:szCs w:val="18"/>
      <w14:ligatures w14:val="none"/>
    </w:rPr>
  </w:style>
  <w:style w:type="character" w:customStyle="1" w:styleId="Char">
    <w:name w:val="脚注文本 Char"/>
    <w:link w:val="af2"/>
    <w:semiHidden/>
    <w:rsid w:val="00D7265E"/>
    <w:rPr>
      <w:rFonts w:ascii="Times New Roman" w:eastAsia="宋体" w:hAnsi="Times New Roman" w:cs="Times New Roman"/>
      <w:sz w:val="18"/>
      <w:szCs w:val="18"/>
      <w14:ligatures w14:val="none"/>
    </w:rPr>
  </w:style>
  <w:style w:type="character" w:styleId="af4">
    <w:name w:val="footnote reference"/>
    <w:semiHidden/>
    <w:rsid w:val="00D7265E"/>
    <w:rPr>
      <w:vertAlign w:val="superscript"/>
    </w:rPr>
  </w:style>
  <w:style w:type="paragraph" w:customStyle="1" w:styleId="abc">
    <w:name w:val="abc"/>
    <w:basedOn w:val="a"/>
    <w:rsid w:val="00D7265E"/>
    <w:pPr>
      <w:widowControl/>
      <w:spacing w:before="100" w:beforeAutospacing="1" w:after="100" w:afterAutospacing="1"/>
      <w:jc w:val="left"/>
    </w:pPr>
    <w:rPr>
      <w:rFonts w:ascii="宋体" w:hAnsi="宋体"/>
      <w:kern w:val="0"/>
      <w:sz w:val="24"/>
    </w:rPr>
  </w:style>
  <w:style w:type="paragraph" w:customStyle="1" w:styleId="123">
    <w:name w:val="123"/>
    <w:basedOn w:val="a"/>
    <w:rsid w:val="00D7265E"/>
    <w:pPr>
      <w:tabs>
        <w:tab w:val="num" w:pos="1190"/>
        <w:tab w:val="num" w:pos="1260"/>
      </w:tabs>
      <w:overflowPunct w:val="0"/>
      <w:spacing w:before="50" w:line="300" w:lineRule="auto"/>
      <w:ind w:left="1260" w:hanging="720"/>
    </w:pPr>
    <w:rPr>
      <w:rFonts w:ascii="宋体" w:hAnsi="宋体"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image" Target="media/image24.wmf"/><Relationship Id="rId68" Type="http://schemas.openxmlformats.org/officeDocument/2006/relationships/oleObject" Target="embeddings/oleObject35.bin"/><Relationship Id="rId84" Type="http://schemas.openxmlformats.org/officeDocument/2006/relationships/oleObject" Target="embeddings/oleObject45.bin"/><Relationship Id="rId89" Type="http://schemas.openxmlformats.org/officeDocument/2006/relationships/image" Target="media/image34.wmf"/><Relationship Id="rId16" Type="http://schemas.openxmlformats.org/officeDocument/2006/relationships/oleObject" Target="embeddings/oleObject4.bin"/><Relationship Id="rId107" Type="http://schemas.openxmlformats.org/officeDocument/2006/relationships/fontTable" Target="fontTable.xml"/><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image" Target="media/image30.wmf"/><Relationship Id="rId102" Type="http://schemas.openxmlformats.org/officeDocument/2006/relationships/oleObject" Target="embeddings/oleObject55.bin"/><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image" Target="media/image36.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8.wmf"/><Relationship Id="rId64" Type="http://schemas.openxmlformats.org/officeDocument/2006/relationships/oleObject" Target="embeddings/oleObject32.bin"/><Relationship Id="rId69" Type="http://schemas.openxmlformats.org/officeDocument/2006/relationships/image" Target="media/image26.wmf"/><Relationship Id="rId80" Type="http://schemas.openxmlformats.org/officeDocument/2006/relationships/oleObject" Target="embeddings/oleObject42.bin"/><Relationship Id="rId85" Type="http://schemas.openxmlformats.org/officeDocument/2006/relationships/image" Target="media/image32.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2.wmf"/><Relationship Id="rId103" Type="http://schemas.openxmlformats.org/officeDocument/2006/relationships/image" Target="media/image40.wmf"/><Relationship Id="rId108"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29.wmf"/><Relationship Id="rId83" Type="http://schemas.openxmlformats.org/officeDocument/2006/relationships/image" Target="media/image31.wmf"/><Relationship Id="rId88" Type="http://schemas.openxmlformats.org/officeDocument/2006/relationships/oleObject" Target="embeddings/oleObject47.bin"/><Relationship Id="rId91" Type="http://schemas.openxmlformats.org/officeDocument/2006/relationships/oleObject" Target="embeddings/oleObject49.bin"/><Relationship Id="rId96"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1.wmf"/><Relationship Id="rId106" Type="http://schemas.openxmlformats.org/officeDocument/2006/relationships/hyperlink" Target="dict://key.0895DFE8DB67F9409DB285590D870EDD/pledged%20assets" TargetMode="Externa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image" Target="media/image28.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oleObject" Target="embeddings/oleObject46.bin"/><Relationship Id="rId94" Type="http://schemas.openxmlformats.org/officeDocument/2006/relationships/oleObject" Target="embeddings/oleObject51.bin"/><Relationship Id="rId99" Type="http://schemas.openxmlformats.org/officeDocument/2006/relationships/image" Target="media/image38.wmf"/><Relationship Id="rId101"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9.bin"/><Relationship Id="rId97" Type="http://schemas.openxmlformats.org/officeDocument/2006/relationships/image" Target="media/image37.wmf"/><Relationship Id="rId104" Type="http://schemas.openxmlformats.org/officeDocument/2006/relationships/oleObject" Target="embeddings/oleObject56.bin"/><Relationship Id="rId7" Type="http://schemas.openxmlformats.org/officeDocument/2006/relationships/hyperlink" Target="dict://key.0895DFE8DB67F9409DB285590D870EDD/technological%20process" TargetMode="External"/><Relationship Id="rId71" Type="http://schemas.openxmlformats.org/officeDocument/2006/relationships/image" Target="media/image27.wmf"/><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oleObject" Target="embeddings/oleObject34.bin"/><Relationship Id="rId87" Type="http://schemas.openxmlformats.org/officeDocument/2006/relationships/image" Target="media/image33.wmf"/><Relationship Id="rId61" Type="http://schemas.openxmlformats.org/officeDocument/2006/relationships/image" Target="media/image23.wmf"/><Relationship Id="rId82" Type="http://schemas.openxmlformats.org/officeDocument/2006/relationships/oleObject" Target="embeddings/oleObject44.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oleObject" Target="embeddings/oleObject54.bin"/><Relationship Id="rId105" Type="http://schemas.openxmlformats.org/officeDocument/2006/relationships/oleObject" Target="embeddings/oleObject57.bin"/><Relationship Id="rId8" Type="http://schemas.openxmlformats.org/officeDocument/2006/relationships/hyperlink" Target="dict://key.0895DFE8DB67F9409DB285590D870EDD/collateral%20mortgage" TargetMode="External"/><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image" Target="media/image35.wmf"/><Relationship Id="rId98" Type="http://schemas.openxmlformats.org/officeDocument/2006/relationships/oleObject" Target="embeddings/oleObject53.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image" Target="media/image2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3</cp:revision>
  <dcterms:created xsi:type="dcterms:W3CDTF">2025-10-21T09:09:00Z</dcterms:created>
  <dcterms:modified xsi:type="dcterms:W3CDTF">2025-10-21T09:10:00Z</dcterms:modified>
</cp:coreProperties>
</file>