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9E70" w14:textId="4174CF86" w:rsidR="008D0AC4" w:rsidRPr="00172550" w:rsidRDefault="00172550" w:rsidP="00172550">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172550">
        <w:rPr>
          <w:rFonts w:ascii="黑体" w:eastAsia="黑体" w:hAnsi="Times New Roman" w:cs="Times New Roman"/>
          <w:bCs/>
          <w:color w:val="auto"/>
          <w:sz w:val="44"/>
          <w:szCs w:val="44"/>
        </w:rPr>
        <w:t>德国债券市场增信体系研究</w:t>
      </w:r>
    </w:p>
    <w:p w14:paraId="07A45786" w14:textId="77777777" w:rsidR="00172550" w:rsidRDefault="00172550"/>
    <w:p w14:paraId="3DD43D5E" w14:textId="54859EF2" w:rsidR="00172550" w:rsidRPr="00800D22" w:rsidRDefault="00172550" w:rsidP="00172550">
      <w:pPr>
        <w:pStyle w:val="3"/>
        <w:adjustRightInd w:val="0"/>
        <w:spacing w:beforeLines="50" w:before="156" w:afterLines="50" w:after="156" w:line="440" w:lineRule="exact"/>
        <w:jc w:val="left"/>
        <w:rPr>
          <w:rFonts w:ascii="黑体" w:eastAsia="黑体"/>
          <w:b/>
          <w:sz w:val="28"/>
          <w:szCs w:val="28"/>
        </w:rPr>
      </w:pPr>
      <w:bookmarkStart w:id="0" w:name="_Toc238701444"/>
      <w:bookmarkStart w:id="1" w:name="_Toc239689219"/>
      <w:bookmarkStart w:id="2" w:name="_Toc247869838"/>
      <w:bookmarkStart w:id="3" w:name="_Toc256506273"/>
      <w:r>
        <w:rPr>
          <w:rFonts w:ascii="黑体" w:eastAsia="黑体" w:hint="eastAsia"/>
          <w:b/>
          <w:sz w:val="28"/>
          <w:szCs w:val="28"/>
        </w:rPr>
        <w:t>一、</w:t>
      </w:r>
      <w:r w:rsidRPr="00800D22">
        <w:rPr>
          <w:rFonts w:ascii="黑体" w:eastAsia="黑体"/>
          <w:b/>
          <w:sz w:val="28"/>
          <w:szCs w:val="28"/>
        </w:rPr>
        <w:t>德国债券市场发展及现状</w:t>
      </w:r>
      <w:bookmarkEnd w:id="0"/>
      <w:bookmarkEnd w:id="1"/>
      <w:bookmarkEnd w:id="2"/>
      <w:bookmarkEnd w:id="3"/>
    </w:p>
    <w:p w14:paraId="124305E2" w14:textId="77777777" w:rsidR="00172550" w:rsidRPr="00800D22" w:rsidRDefault="00172550" w:rsidP="00172550">
      <w:pPr>
        <w:spacing w:line="360" w:lineRule="auto"/>
        <w:ind w:firstLineChars="200" w:firstLine="480"/>
        <w:rPr>
          <w:rFonts w:eastAsia="新宋体"/>
          <w:sz w:val="24"/>
        </w:rPr>
      </w:pPr>
      <w:r w:rsidRPr="00800D22">
        <w:rPr>
          <w:rFonts w:eastAsia="新宋体"/>
          <w:sz w:val="24"/>
        </w:rPr>
        <w:t>德国债券市场最早形成于拿破仑战争时期，政府为了应付战争而大量发行内债与外债，但最初的债券市场仅仅是一个国债的投机市场。第二次世界大战之后，联邦德国政府对债券市场采取了严厉的控制措施，实行低利率政策。</w:t>
      </w:r>
      <w:r w:rsidRPr="00800D22">
        <w:rPr>
          <w:rFonts w:eastAsia="新宋体"/>
          <w:sz w:val="24"/>
        </w:rPr>
        <w:t>1958</w:t>
      </w:r>
      <w:r w:rsidRPr="00800D22">
        <w:rPr>
          <w:rFonts w:eastAsia="新宋体"/>
          <w:sz w:val="24"/>
        </w:rPr>
        <w:t>年以后，随着德国经济的恢复与发展，德国债券市场逐步得到发展。在美国采取平衡税征收制度后，国际债券的中心逐步向欧洲转移，联邦德国政府为增强债券市场的竞争力，逐步放松对债券市场的管制。另外，德国经济在</w:t>
      </w:r>
      <w:r w:rsidRPr="00800D22">
        <w:rPr>
          <w:rFonts w:eastAsia="新宋体" w:hint="eastAsia"/>
          <w:sz w:val="24"/>
        </w:rPr>
        <w:t>20</w:t>
      </w:r>
      <w:r w:rsidRPr="00800D22">
        <w:rPr>
          <w:rFonts w:eastAsia="新宋体" w:hint="eastAsia"/>
          <w:sz w:val="24"/>
        </w:rPr>
        <w:t>世纪</w:t>
      </w:r>
      <w:r w:rsidRPr="00800D22">
        <w:rPr>
          <w:rFonts w:eastAsia="新宋体"/>
          <w:sz w:val="24"/>
        </w:rPr>
        <w:t>70</w:t>
      </w:r>
      <w:r w:rsidRPr="00800D22">
        <w:rPr>
          <w:rFonts w:eastAsia="新宋体"/>
          <w:sz w:val="24"/>
        </w:rPr>
        <w:t>年代迅速增长，极大地促进了德国债券市场的发展。此后，德国还陆续推出简化债券发行手续</w:t>
      </w:r>
      <w:r w:rsidRPr="00800D22">
        <w:rPr>
          <w:rFonts w:eastAsia="新宋体" w:hint="eastAsia"/>
          <w:sz w:val="24"/>
        </w:rPr>
        <w:t>及其它</w:t>
      </w:r>
      <w:r w:rsidRPr="00800D22">
        <w:rPr>
          <w:rFonts w:eastAsia="新宋体"/>
          <w:sz w:val="24"/>
        </w:rPr>
        <w:t>一系列措施，使得德国债券市场得到了持续发展。</w:t>
      </w:r>
    </w:p>
    <w:p w14:paraId="30457490" w14:textId="77777777" w:rsidR="00172550" w:rsidRPr="00800D22" w:rsidRDefault="00172550" w:rsidP="00172550">
      <w:pPr>
        <w:spacing w:line="440" w:lineRule="exact"/>
        <w:ind w:firstLineChars="200" w:firstLine="480"/>
        <w:rPr>
          <w:rFonts w:eastAsia="新宋体"/>
          <w:sz w:val="24"/>
        </w:rPr>
      </w:pPr>
      <w:r w:rsidRPr="00800D22">
        <w:rPr>
          <w:rFonts w:eastAsia="新宋体"/>
          <w:sz w:val="24"/>
        </w:rPr>
        <w:t>目前德国债券市场已成为全球第四大债券市场，也是欧洲最大的债券市场之一</w:t>
      </w:r>
      <w:r w:rsidRPr="00800D22">
        <w:rPr>
          <w:rFonts w:eastAsia="新宋体" w:hint="eastAsia"/>
          <w:sz w:val="24"/>
        </w:rPr>
        <w:t>。</w:t>
      </w:r>
      <w:r w:rsidRPr="00800D22">
        <w:rPr>
          <w:rFonts w:eastAsia="新宋体"/>
          <w:sz w:val="24"/>
        </w:rPr>
        <w:t>截至</w:t>
      </w:r>
      <w:r w:rsidRPr="00800D22">
        <w:rPr>
          <w:rFonts w:eastAsia="新宋体"/>
          <w:sz w:val="24"/>
        </w:rPr>
        <w:t>2008</w:t>
      </w:r>
      <w:r w:rsidRPr="00800D22">
        <w:rPr>
          <w:rFonts w:eastAsia="新宋体"/>
          <w:sz w:val="24"/>
        </w:rPr>
        <w:t>年末，德国债券市场</w:t>
      </w:r>
      <w:r w:rsidRPr="00800D22">
        <w:rPr>
          <w:rFonts w:eastAsia="新宋体" w:hint="eastAsia"/>
          <w:sz w:val="24"/>
        </w:rPr>
        <w:t>余</w:t>
      </w:r>
      <w:r w:rsidRPr="00800D22">
        <w:rPr>
          <w:rFonts w:eastAsia="新宋体"/>
          <w:sz w:val="24"/>
        </w:rPr>
        <w:t>额（不含</w:t>
      </w:r>
      <w:r w:rsidRPr="00800D22">
        <w:rPr>
          <w:rFonts w:eastAsia="新宋体" w:hint="eastAsia"/>
          <w:sz w:val="24"/>
        </w:rPr>
        <w:t>资产</w:t>
      </w:r>
      <w:r w:rsidRPr="00800D22">
        <w:rPr>
          <w:rFonts w:eastAsia="新宋体"/>
          <w:sz w:val="24"/>
        </w:rPr>
        <w:t>证券化产品）达到</w:t>
      </w:r>
      <w:r w:rsidRPr="00800D22">
        <w:rPr>
          <w:rFonts w:eastAsia="新宋体"/>
          <w:sz w:val="24"/>
        </w:rPr>
        <w:t>2.21</w:t>
      </w:r>
      <w:proofErr w:type="gramStart"/>
      <w:r w:rsidRPr="00800D22">
        <w:rPr>
          <w:rFonts w:eastAsia="新宋体"/>
          <w:sz w:val="24"/>
        </w:rPr>
        <w:t>万亿</w:t>
      </w:r>
      <w:proofErr w:type="gramEnd"/>
      <w:r w:rsidRPr="00800D22">
        <w:rPr>
          <w:rFonts w:eastAsia="新宋体"/>
          <w:sz w:val="24"/>
        </w:rPr>
        <w:t>美元。德国债券总体上可分为公共债券、以潘德布雷夫债券</w:t>
      </w:r>
      <w:r w:rsidRPr="00800D22">
        <w:rPr>
          <w:rFonts w:eastAsia="新宋体" w:hint="eastAsia"/>
          <w:sz w:val="24"/>
        </w:rPr>
        <w:t>（</w:t>
      </w:r>
      <w:r w:rsidRPr="00800D22">
        <w:rPr>
          <w:rFonts w:eastAsia="新宋体"/>
          <w:sz w:val="24"/>
        </w:rPr>
        <w:t>(</w:t>
      </w:r>
      <w:proofErr w:type="spellStart"/>
      <w:r w:rsidRPr="00800D22">
        <w:rPr>
          <w:rFonts w:eastAsia="新宋体"/>
          <w:sz w:val="24"/>
        </w:rPr>
        <w:t>Pfandbrief</w:t>
      </w:r>
      <w:proofErr w:type="spellEnd"/>
      <w:r w:rsidRPr="00800D22">
        <w:rPr>
          <w:rFonts w:eastAsia="新宋体" w:hint="eastAsia"/>
          <w:sz w:val="24"/>
        </w:rPr>
        <w:t>或称“全覆盖债券”）</w:t>
      </w:r>
      <w:r w:rsidRPr="00800D22">
        <w:rPr>
          <w:rFonts w:eastAsia="新宋体"/>
          <w:sz w:val="24"/>
        </w:rPr>
        <w:t>为主的金融债券及公司债券</w:t>
      </w:r>
      <w:r w:rsidRPr="00800D22">
        <w:rPr>
          <w:rFonts w:eastAsia="新宋体" w:hint="eastAsia"/>
          <w:sz w:val="24"/>
        </w:rPr>
        <w:t>三大类</w:t>
      </w:r>
      <w:r w:rsidRPr="00800D22">
        <w:rPr>
          <w:rFonts w:eastAsia="新宋体"/>
          <w:sz w:val="24"/>
        </w:rPr>
        <w:t>。潘德布雷夫债券是德国抵押债券银行的一种传统筹资工具。在德国债券市场中，政府债券和金融债券占主要部分，公司债券的发行规模很小，虽然近几年公司债券得到了一定的发展，但规模相对于政府债券和金融债券来说依然较小。截至</w:t>
      </w:r>
      <w:r w:rsidRPr="00800D22">
        <w:rPr>
          <w:rFonts w:eastAsia="新宋体"/>
          <w:sz w:val="24"/>
        </w:rPr>
        <w:t>2008</w:t>
      </w:r>
      <w:r w:rsidRPr="00800D22">
        <w:rPr>
          <w:rFonts w:eastAsia="新宋体"/>
          <w:sz w:val="24"/>
        </w:rPr>
        <w:t>年末，政府债券、金融债券和公司债券各自比重分别为</w:t>
      </w:r>
      <w:r w:rsidRPr="00800D22">
        <w:rPr>
          <w:rFonts w:eastAsia="新宋体"/>
          <w:sz w:val="24"/>
        </w:rPr>
        <w:t>52.62%</w:t>
      </w:r>
      <w:r w:rsidRPr="00800D22">
        <w:rPr>
          <w:rFonts w:eastAsia="新宋体"/>
          <w:sz w:val="24"/>
        </w:rPr>
        <w:t>、</w:t>
      </w:r>
      <w:r w:rsidRPr="00800D22">
        <w:rPr>
          <w:rFonts w:eastAsia="新宋体"/>
          <w:sz w:val="24"/>
        </w:rPr>
        <w:t>35.81%</w:t>
      </w:r>
      <w:r w:rsidRPr="00800D22">
        <w:rPr>
          <w:rFonts w:eastAsia="新宋体"/>
          <w:sz w:val="24"/>
        </w:rPr>
        <w:t>和</w:t>
      </w:r>
      <w:r w:rsidRPr="00800D22">
        <w:rPr>
          <w:rFonts w:eastAsia="新宋体"/>
          <w:sz w:val="24"/>
        </w:rPr>
        <w:t>11.57%</w:t>
      </w:r>
      <w:r w:rsidRPr="00800D22">
        <w:rPr>
          <w:rFonts w:eastAsia="新宋体"/>
          <w:sz w:val="24"/>
        </w:rPr>
        <w:t>（如图</w:t>
      </w:r>
      <w:r w:rsidRPr="00800D22">
        <w:rPr>
          <w:rFonts w:eastAsia="新宋体" w:hint="eastAsia"/>
          <w:sz w:val="24"/>
        </w:rPr>
        <w:t>5</w:t>
      </w:r>
      <w:r w:rsidRPr="00800D22">
        <w:rPr>
          <w:rFonts w:eastAsia="新宋体"/>
          <w:sz w:val="24"/>
        </w:rPr>
        <w:t>.</w:t>
      </w:r>
      <w:r w:rsidRPr="00800D22">
        <w:rPr>
          <w:rFonts w:eastAsia="新宋体" w:hint="eastAsia"/>
          <w:sz w:val="24"/>
        </w:rPr>
        <w:t>29</w:t>
      </w:r>
      <w:r w:rsidRPr="00800D22">
        <w:rPr>
          <w:rFonts w:eastAsia="新宋体"/>
          <w:sz w:val="24"/>
        </w:rPr>
        <w:t>）。</w:t>
      </w:r>
    </w:p>
    <w:p w14:paraId="73957A65" w14:textId="77777777" w:rsidR="00172550" w:rsidRPr="00800D22" w:rsidRDefault="00172550" w:rsidP="00172550">
      <w:pPr>
        <w:spacing w:line="440" w:lineRule="exact"/>
        <w:ind w:firstLineChars="200" w:firstLine="480"/>
        <w:rPr>
          <w:rFonts w:hint="eastAsia"/>
          <w:sz w:val="24"/>
        </w:rPr>
      </w:pPr>
      <w:r w:rsidRPr="00800D22">
        <w:rPr>
          <w:rFonts w:hint="eastAsia"/>
          <w:sz w:val="24"/>
        </w:rPr>
        <w:t>德国资产证券化发展相对比较滞后，规模也较小，</w:t>
      </w:r>
      <w:r w:rsidRPr="00800D22">
        <w:rPr>
          <w:sz w:val="24"/>
        </w:rPr>
        <w:t>截至</w:t>
      </w:r>
      <w:r w:rsidRPr="00800D22">
        <w:rPr>
          <w:sz w:val="24"/>
        </w:rPr>
        <w:t>2008</w:t>
      </w:r>
      <w:r w:rsidRPr="00800D22">
        <w:rPr>
          <w:sz w:val="24"/>
        </w:rPr>
        <w:t>年末，德国抵押支持证券和资产支持证券</w:t>
      </w:r>
      <w:r w:rsidRPr="00800D22">
        <w:rPr>
          <w:rFonts w:hint="eastAsia"/>
          <w:sz w:val="24"/>
        </w:rPr>
        <w:t>余额</w:t>
      </w:r>
      <w:r w:rsidRPr="00800D22">
        <w:rPr>
          <w:sz w:val="24"/>
        </w:rPr>
        <w:t>分别</w:t>
      </w:r>
      <w:r w:rsidRPr="00800D22">
        <w:rPr>
          <w:rFonts w:hint="eastAsia"/>
          <w:sz w:val="24"/>
        </w:rPr>
        <w:t>为</w:t>
      </w:r>
      <w:r w:rsidRPr="00800D22">
        <w:rPr>
          <w:rFonts w:hint="eastAsia"/>
          <w:sz w:val="24"/>
        </w:rPr>
        <w:t>721</w:t>
      </w:r>
      <w:r w:rsidRPr="00800D22">
        <w:rPr>
          <w:sz w:val="24"/>
        </w:rPr>
        <w:t>亿美元和</w:t>
      </w:r>
      <w:r w:rsidRPr="00800D22">
        <w:rPr>
          <w:rFonts w:hint="eastAsia"/>
          <w:sz w:val="24"/>
        </w:rPr>
        <w:t>498</w:t>
      </w:r>
      <w:r w:rsidRPr="00800D22">
        <w:rPr>
          <w:sz w:val="24"/>
        </w:rPr>
        <w:t>亿美元</w:t>
      </w:r>
      <w:r w:rsidRPr="00800D22">
        <w:rPr>
          <w:rStyle w:val="af4"/>
          <w:sz w:val="24"/>
        </w:rPr>
        <w:footnoteReference w:id="1"/>
      </w:r>
      <w:r w:rsidRPr="00800D22">
        <w:rPr>
          <w:rFonts w:hint="eastAsia"/>
          <w:sz w:val="24"/>
        </w:rPr>
        <w:t>，主要是由于德国监管部门担心资产证券化交易中的资产是否真正做到真实出售，即使实现了真正意义上的风险隔离，一旦资产支持证券或抵押支持证券出现偿付和流动性困难，发起银行可能出于维护自身声誉的考虑被迫回购基础资产，从而给发起银行带来额外的风险。但是在德国，</w:t>
      </w:r>
      <w:r w:rsidRPr="00800D22">
        <w:rPr>
          <w:rFonts w:eastAsia="新宋体"/>
          <w:sz w:val="24"/>
        </w:rPr>
        <w:t>潘德布雷夫债券</w:t>
      </w:r>
      <w:r w:rsidRPr="00800D22">
        <w:rPr>
          <w:rFonts w:hint="eastAsia"/>
          <w:sz w:val="24"/>
        </w:rPr>
        <w:t>作为一类特殊的资产证券化产品发展较好，规模也较大，若将</w:t>
      </w:r>
      <w:r w:rsidRPr="00800D22">
        <w:rPr>
          <w:rFonts w:eastAsia="新宋体"/>
          <w:sz w:val="24"/>
        </w:rPr>
        <w:t>潘德布雷夫债券</w:t>
      </w:r>
      <w:r w:rsidRPr="00800D22">
        <w:rPr>
          <w:rFonts w:hint="eastAsia"/>
          <w:sz w:val="24"/>
        </w:rPr>
        <w:t>也归入资产证券化产品的话，则德国资产证券化产品规模要大于英国，成为欧洲资产证券化产品规模最大的国家。</w:t>
      </w:r>
    </w:p>
    <w:p w14:paraId="48857CD6" w14:textId="77777777" w:rsidR="00172550" w:rsidRPr="00800D22" w:rsidRDefault="00172550" w:rsidP="00172550">
      <w:pPr>
        <w:spacing w:afterLines="50" w:after="156" w:line="440" w:lineRule="exact"/>
        <w:ind w:firstLineChars="200" w:firstLine="480"/>
        <w:rPr>
          <w:rFonts w:eastAsia="新宋体"/>
          <w:sz w:val="24"/>
        </w:rPr>
      </w:pPr>
      <w:r w:rsidRPr="00800D22">
        <w:rPr>
          <w:rFonts w:eastAsia="新宋体"/>
          <w:sz w:val="24"/>
        </w:rPr>
        <w:t>从德国债券市场余额与</w:t>
      </w:r>
      <w:r w:rsidRPr="00800D22">
        <w:rPr>
          <w:rFonts w:eastAsia="新宋体"/>
          <w:sz w:val="24"/>
        </w:rPr>
        <w:t>GDP</w:t>
      </w:r>
      <w:r w:rsidRPr="00800D22">
        <w:rPr>
          <w:rFonts w:eastAsia="新宋体"/>
          <w:sz w:val="24"/>
        </w:rPr>
        <w:t>的比值来看，该比值近几年呈下降趋势，从</w:t>
      </w:r>
      <w:r w:rsidRPr="00800D22">
        <w:rPr>
          <w:rFonts w:eastAsia="新宋体"/>
          <w:sz w:val="24"/>
        </w:rPr>
        <w:t>1996</w:t>
      </w:r>
      <w:r w:rsidRPr="00800D22">
        <w:rPr>
          <w:rFonts w:eastAsia="新宋体"/>
          <w:sz w:val="24"/>
        </w:rPr>
        <w:lastRenderedPageBreak/>
        <w:t>年的</w:t>
      </w:r>
      <w:r w:rsidRPr="00800D22">
        <w:rPr>
          <w:rFonts w:eastAsia="新宋体" w:hint="eastAsia"/>
          <w:sz w:val="24"/>
        </w:rPr>
        <w:t>92.87</w:t>
      </w:r>
      <w:r w:rsidRPr="00800D22">
        <w:rPr>
          <w:rFonts w:eastAsia="新宋体"/>
          <w:sz w:val="24"/>
        </w:rPr>
        <w:t>%</w:t>
      </w:r>
      <w:r w:rsidRPr="00800D22">
        <w:rPr>
          <w:rFonts w:eastAsia="新宋体"/>
          <w:sz w:val="24"/>
        </w:rPr>
        <w:t>下降至</w:t>
      </w:r>
      <w:r w:rsidRPr="00800D22">
        <w:rPr>
          <w:rFonts w:eastAsia="新宋体"/>
          <w:sz w:val="24"/>
        </w:rPr>
        <w:t>2008</w:t>
      </w:r>
      <w:r w:rsidRPr="00800D22">
        <w:rPr>
          <w:rFonts w:eastAsia="新宋体"/>
          <w:sz w:val="24"/>
        </w:rPr>
        <w:t>年的</w:t>
      </w:r>
      <w:r w:rsidRPr="00800D22">
        <w:rPr>
          <w:rFonts w:eastAsia="新宋体" w:hint="eastAsia"/>
          <w:sz w:val="24"/>
        </w:rPr>
        <w:t>71.10</w:t>
      </w:r>
      <w:r w:rsidRPr="00800D22">
        <w:rPr>
          <w:rFonts w:eastAsia="新宋体"/>
          <w:sz w:val="24"/>
        </w:rPr>
        <w:t>%</w:t>
      </w:r>
      <w:r w:rsidRPr="00800D22">
        <w:rPr>
          <w:rFonts w:eastAsia="新宋体"/>
          <w:sz w:val="24"/>
        </w:rPr>
        <w:t>（如图</w:t>
      </w:r>
      <w:r w:rsidRPr="00800D22">
        <w:rPr>
          <w:rFonts w:eastAsia="新宋体" w:hint="eastAsia"/>
          <w:sz w:val="24"/>
        </w:rPr>
        <w:t>5</w:t>
      </w:r>
      <w:r w:rsidRPr="00800D22">
        <w:rPr>
          <w:rFonts w:eastAsia="新宋体"/>
          <w:sz w:val="24"/>
        </w:rPr>
        <w:t>.</w:t>
      </w:r>
      <w:r w:rsidRPr="00800D22">
        <w:rPr>
          <w:rFonts w:eastAsia="新宋体" w:hint="eastAsia"/>
          <w:sz w:val="24"/>
        </w:rPr>
        <w:t>31</w:t>
      </w:r>
      <w:r w:rsidRPr="00800D22">
        <w:rPr>
          <w:rFonts w:eastAsia="新宋体"/>
          <w:sz w:val="24"/>
        </w:rPr>
        <w:t>）。</w:t>
      </w:r>
    </w:p>
    <w:p w14:paraId="4412F93B" w14:textId="44FFB7B6" w:rsidR="00172550" w:rsidRPr="00800D22" w:rsidRDefault="00172550" w:rsidP="00172550">
      <w:pPr>
        <w:keepNext/>
      </w:pPr>
      <w:r w:rsidRPr="00800D22">
        <w:t xml:space="preserve"> </w:t>
      </w:r>
      <w:r w:rsidRPr="00800D22">
        <w:rPr>
          <w:noProof/>
        </w:rPr>
        <w:drawing>
          <wp:inline distT="0" distB="0" distL="0" distR="0" wp14:anchorId="6BDE55A0" wp14:editId="6E3A1335">
            <wp:extent cx="5168900" cy="2578100"/>
            <wp:effectExtent l="0" t="0" r="0" b="0"/>
            <wp:docPr id="175920928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0" cy="2578100"/>
                    </a:xfrm>
                    <a:prstGeom prst="rect">
                      <a:avLst/>
                    </a:prstGeom>
                    <a:noFill/>
                    <a:ln>
                      <a:noFill/>
                    </a:ln>
                  </pic:spPr>
                </pic:pic>
              </a:graphicData>
            </a:graphic>
          </wp:inline>
        </w:drawing>
      </w:r>
    </w:p>
    <w:p w14:paraId="26F01DF5" w14:textId="77777777" w:rsidR="00172550" w:rsidRPr="00800D22" w:rsidRDefault="00172550" w:rsidP="00172550">
      <w:pPr>
        <w:keepNext/>
        <w:ind w:leftChars="207" w:left="435"/>
        <w:jc w:val="center"/>
        <w:rPr>
          <w:rFonts w:eastAsia="新宋体" w:hint="eastAsia"/>
          <w:szCs w:val="21"/>
        </w:rPr>
      </w:pPr>
      <w:bookmarkStart w:id="4" w:name="_Toc246337937"/>
      <w:bookmarkStart w:id="5" w:name="_Toc246425453"/>
      <w:bookmarkStart w:id="6" w:name="_Toc256507093"/>
      <w:r w:rsidRPr="00800D22">
        <w:rPr>
          <w:rFonts w:eastAsia="新宋体" w:hint="eastAsia"/>
          <w:szCs w:val="21"/>
        </w:rPr>
        <w:t>图</w:t>
      </w:r>
      <w:r w:rsidRPr="00800D22">
        <w:rPr>
          <w:rFonts w:eastAsia="新宋体" w:hint="eastAsia"/>
          <w:szCs w:val="21"/>
        </w:rPr>
        <w:t>5.</w:t>
      </w:r>
      <w:r w:rsidRPr="00800D22">
        <w:rPr>
          <w:rFonts w:eastAsia="新宋体"/>
          <w:szCs w:val="21"/>
        </w:rPr>
        <w:fldChar w:fldCharType="begin"/>
      </w:r>
      <w:r w:rsidRPr="00800D22">
        <w:rPr>
          <w:rFonts w:eastAsia="新宋体"/>
          <w:szCs w:val="21"/>
        </w:rPr>
        <w:instrText xml:space="preserve"> </w:instrText>
      </w:r>
      <w:r w:rsidRPr="00800D22">
        <w:rPr>
          <w:rFonts w:eastAsia="新宋体" w:hint="eastAsia"/>
          <w:szCs w:val="21"/>
        </w:rPr>
        <w:instrText xml:space="preserve">SEQ </w:instrText>
      </w:r>
      <w:r w:rsidRPr="00800D22">
        <w:rPr>
          <w:rFonts w:eastAsia="新宋体" w:hint="eastAsia"/>
          <w:szCs w:val="21"/>
        </w:rPr>
        <w:instrText>图</w:instrText>
      </w:r>
      <w:r w:rsidRPr="00800D22">
        <w:rPr>
          <w:rFonts w:eastAsia="新宋体" w:hint="eastAsia"/>
          <w:szCs w:val="21"/>
        </w:rPr>
        <w:instrText>5. \* ARABIC</w:instrText>
      </w:r>
      <w:r w:rsidRPr="00800D22">
        <w:rPr>
          <w:rFonts w:eastAsia="新宋体"/>
          <w:szCs w:val="21"/>
        </w:rPr>
        <w:instrText xml:space="preserve"> </w:instrText>
      </w:r>
      <w:r w:rsidRPr="00800D22">
        <w:rPr>
          <w:rFonts w:eastAsia="新宋体"/>
          <w:szCs w:val="21"/>
        </w:rPr>
        <w:fldChar w:fldCharType="separate"/>
      </w:r>
      <w:r w:rsidRPr="00800D22">
        <w:rPr>
          <w:rFonts w:eastAsia="新宋体"/>
          <w:noProof/>
          <w:szCs w:val="21"/>
        </w:rPr>
        <w:t>29</w:t>
      </w:r>
      <w:r w:rsidRPr="00800D22">
        <w:rPr>
          <w:rFonts w:eastAsia="新宋体"/>
          <w:szCs w:val="21"/>
        </w:rPr>
        <w:fldChar w:fldCharType="end"/>
      </w:r>
      <w:r w:rsidRPr="00800D22">
        <w:rPr>
          <w:rFonts w:eastAsia="新宋体" w:hint="eastAsia"/>
          <w:szCs w:val="21"/>
        </w:rPr>
        <w:t xml:space="preserve">  1996-2008</w:t>
      </w:r>
      <w:r w:rsidRPr="00800D22">
        <w:rPr>
          <w:rFonts w:eastAsia="新宋体" w:hint="eastAsia"/>
          <w:szCs w:val="21"/>
        </w:rPr>
        <w:t>年德国债券市场结构（单位：</w:t>
      </w:r>
      <w:r w:rsidRPr="00800D22">
        <w:rPr>
          <w:rFonts w:eastAsia="新宋体" w:hint="eastAsia"/>
          <w:szCs w:val="21"/>
        </w:rPr>
        <w:t>10</w:t>
      </w:r>
      <w:r w:rsidRPr="00800D22">
        <w:rPr>
          <w:rFonts w:eastAsia="新宋体" w:hint="eastAsia"/>
          <w:szCs w:val="21"/>
        </w:rPr>
        <w:t>亿美元）</w:t>
      </w:r>
      <w:bookmarkEnd w:id="4"/>
      <w:bookmarkEnd w:id="5"/>
      <w:bookmarkEnd w:id="6"/>
    </w:p>
    <w:p w14:paraId="64BA0B74" w14:textId="77777777" w:rsidR="00172550" w:rsidRPr="00800D22" w:rsidRDefault="00172550" w:rsidP="00172550">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 xml:space="preserve">5.29  </w:t>
      </w:r>
      <w:r w:rsidRPr="00800D22">
        <w:rPr>
          <w:rFonts w:eastAsia="新宋体"/>
          <w:szCs w:val="21"/>
        </w:rPr>
        <w:t>Structure</w:t>
      </w:r>
      <w:proofErr w:type="gramEnd"/>
      <w:r w:rsidRPr="00800D22">
        <w:rPr>
          <w:rFonts w:eastAsia="新宋体" w:hint="eastAsia"/>
          <w:szCs w:val="21"/>
        </w:rPr>
        <w:t xml:space="preserve"> of </w:t>
      </w:r>
      <w:smartTag w:uri="urn:schemas-microsoft-com:office:smarttags" w:element="place">
        <w:smartTag w:uri="urn:schemas-microsoft-com:office:smarttags" w:element="country-region">
          <w:r w:rsidRPr="00800D22">
            <w:rPr>
              <w:rFonts w:eastAsia="新宋体"/>
              <w:szCs w:val="21"/>
            </w:rPr>
            <w:t>Germany</w:t>
          </w:r>
        </w:smartTag>
      </w:smartTag>
      <w:r w:rsidRPr="00800D22">
        <w:rPr>
          <w:rFonts w:eastAsia="新宋体" w:hint="eastAsia"/>
          <w:szCs w:val="21"/>
        </w:rPr>
        <w:t xml:space="preserve"> bond market from 1996 to </w:t>
      </w:r>
      <w:proofErr w:type="gramStart"/>
      <w:r w:rsidRPr="00800D22">
        <w:rPr>
          <w:rFonts w:eastAsia="新宋体" w:hint="eastAsia"/>
          <w:szCs w:val="21"/>
        </w:rPr>
        <w:t>2008  (</w:t>
      </w:r>
      <w:proofErr w:type="gramEnd"/>
      <w:r w:rsidRPr="00800D22">
        <w:rPr>
          <w:rFonts w:eastAsia="新宋体" w:hint="eastAsia"/>
          <w:szCs w:val="21"/>
        </w:rPr>
        <w:t>Unit: billion dollar)</w:t>
      </w:r>
    </w:p>
    <w:p w14:paraId="50565DF8" w14:textId="77777777" w:rsidR="00172550" w:rsidRPr="00800D22" w:rsidRDefault="00172550" w:rsidP="00172550">
      <w:pPr>
        <w:rPr>
          <w:rStyle w:val="af5"/>
          <w:b w:val="0"/>
          <w:bCs w:val="0"/>
          <w:sz w:val="18"/>
          <w:szCs w:val="18"/>
        </w:rPr>
      </w:pPr>
      <w:r w:rsidRPr="00800D22">
        <w:rPr>
          <w:rStyle w:val="af5"/>
          <w:b w:val="0"/>
          <w:bCs w:val="0"/>
          <w:sz w:val="18"/>
          <w:szCs w:val="18"/>
        </w:rPr>
        <w:t>注：不含</w:t>
      </w:r>
      <w:r w:rsidRPr="00800D22">
        <w:rPr>
          <w:rStyle w:val="af5"/>
          <w:rFonts w:hint="eastAsia"/>
          <w:b w:val="0"/>
          <w:bCs w:val="0"/>
          <w:sz w:val="18"/>
          <w:szCs w:val="18"/>
        </w:rPr>
        <w:t>资产</w:t>
      </w:r>
      <w:r w:rsidRPr="00800D22">
        <w:rPr>
          <w:sz w:val="18"/>
          <w:szCs w:val="18"/>
        </w:rPr>
        <w:t>证券化产品</w:t>
      </w:r>
    </w:p>
    <w:p w14:paraId="1C5FE476" w14:textId="77777777" w:rsidR="00172550" w:rsidRPr="00800D22" w:rsidRDefault="00172550" w:rsidP="00172550">
      <w:pPr>
        <w:spacing w:afterLines="100" w:after="312"/>
        <w:rPr>
          <w:rStyle w:val="af5"/>
          <w:b w:val="0"/>
          <w:bCs w:val="0"/>
          <w:sz w:val="18"/>
          <w:szCs w:val="18"/>
        </w:rPr>
      </w:pPr>
      <w:r w:rsidRPr="00800D22">
        <w:rPr>
          <w:rStyle w:val="af5"/>
          <w:b w:val="0"/>
          <w:bCs w:val="0"/>
          <w:sz w:val="18"/>
          <w:szCs w:val="18"/>
        </w:rPr>
        <w:t>数据来源：</w:t>
      </w:r>
      <w:r w:rsidRPr="00800D22">
        <w:rPr>
          <w:rStyle w:val="af5"/>
          <w:b w:val="0"/>
          <w:bCs w:val="0"/>
          <w:sz w:val="18"/>
          <w:szCs w:val="18"/>
        </w:rPr>
        <w:t>The Bank for International Settlements</w:t>
      </w:r>
    </w:p>
    <w:p w14:paraId="25CC55E4" w14:textId="1E316E1D" w:rsidR="00172550" w:rsidRPr="00800D22" w:rsidRDefault="00172550" w:rsidP="00172550">
      <w:pPr>
        <w:keepNext/>
        <w:jc w:val="center"/>
      </w:pPr>
      <w:r w:rsidRPr="00800D22">
        <w:rPr>
          <w:rStyle w:val="af5"/>
        </w:rPr>
        <w:t xml:space="preserve"> </w:t>
      </w:r>
      <w:r w:rsidRPr="00800D22">
        <w:rPr>
          <w:rStyle w:val="af5"/>
          <w:noProof/>
        </w:rPr>
        <w:drawing>
          <wp:inline distT="0" distB="0" distL="0" distR="0" wp14:anchorId="4B87DEB3" wp14:editId="5BB3DCFB">
            <wp:extent cx="5124450" cy="2628900"/>
            <wp:effectExtent l="0" t="0" r="0" b="0"/>
            <wp:docPr id="5169043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2628900"/>
                    </a:xfrm>
                    <a:prstGeom prst="rect">
                      <a:avLst/>
                    </a:prstGeom>
                    <a:noFill/>
                    <a:ln>
                      <a:noFill/>
                    </a:ln>
                  </pic:spPr>
                </pic:pic>
              </a:graphicData>
            </a:graphic>
          </wp:inline>
        </w:drawing>
      </w:r>
    </w:p>
    <w:p w14:paraId="2B07C932" w14:textId="77777777" w:rsidR="00172550" w:rsidRPr="00800D22" w:rsidRDefault="00172550" w:rsidP="00172550">
      <w:pPr>
        <w:keepNext/>
        <w:jc w:val="center"/>
        <w:rPr>
          <w:rStyle w:val="af5"/>
          <w:rFonts w:hint="eastAsia"/>
          <w:b w:val="0"/>
        </w:rPr>
      </w:pPr>
      <w:bookmarkStart w:id="7" w:name="_Toc246337938"/>
      <w:bookmarkStart w:id="8" w:name="_Toc246425454"/>
      <w:bookmarkStart w:id="9" w:name="_Toc256507094"/>
      <w:r w:rsidRPr="00800D22">
        <w:rPr>
          <w:rStyle w:val="af5"/>
          <w:rFonts w:hint="eastAsia"/>
          <w:b w:val="0"/>
        </w:rPr>
        <w:t>图</w:t>
      </w:r>
      <w:r w:rsidRPr="00800D22">
        <w:rPr>
          <w:rStyle w:val="af5"/>
          <w:rFonts w:hint="eastAsia"/>
          <w:b w:val="0"/>
        </w:rPr>
        <w:t>5.</w:t>
      </w:r>
      <w:r w:rsidRPr="00800D22">
        <w:rPr>
          <w:rStyle w:val="af5"/>
          <w:b w:val="0"/>
        </w:rPr>
        <w:fldChar w:fldCharType="begin"/>
      </w:r>
      <w:r w:rsidRPr="00800D22">
        <w:rPr>
          <w:rStyle w:val="af5"/>
          <w:b w:val="0"/>
        </w:rPr>
        <w:instrText xml:space="preserve"> </w:instrText>
      </w:r>
      <w:r w:rsidRPr="00800D22">
        <w:rPr>
          <w:rStyle w:val="af5"/>
          <w:rFonts w:hint="eastAsia"/>
          <w:b w:val="0"/>
        </w:rPr>
        <w:instrText xml:space="preserve">SEQ </w:instrText>
      </w:r>
      <w:r w:rsidRPr="00800D22">
        <w:rPr>
          <w:rStyle w:val="af5"/>
          <w:rFonts w:hint="eastAsia"/>
          <w:b w:val="0"/>
        </w:rPr>
        <w:instrText>图</w:instrText>
      </w:r>
      <w:r w:rsidRPr="00800D22">
        <w:rPr>
          <w:rStyle w:val="af5"/>
          <w:rFonts w:hint="eastAsia"/>
          <w:b w:val="0"/>
        </w:rPr>
        <w:instrText>5. \* ARABIC</w:instrText>
      </w:r>
      <w:r w:rsidRPr="00800D22">
        <w:rPr>
          <w:rStyle w:val="af5"/>
          <w:b w:val="0"/>
        </w:rPr>
        <w:instrText xml:space="preserve"> </w:instrText>
      </w:r>
      <w:r w:rsidRPr="00800D22">
        <w:rPr>
          <w:rStyle w:val="af5"/>
          <w:b w:val="0"/>
        </w:rPr>
        <w:fldChar w:fldCharType="separate"/>
      </w:r>
      <w:r w:rsidRPr="00800D22">
        <w:rPr>
          <w:rStyle w:val="af5"/>
          <w:b w:val="0"/>
          <w:noProof/>
        </w:rPr>
        <w:t>30</w:t>
      </w:r>
      <w:r w:rsidRPr="00800D22">
        <w:rPr>
          <w:rStyle w:val="af5"/>
          <w:b w:val="0"/>
        </w:rPr>
        <w:fldChar w:fldCharType="end"/>
      </w:r>
      <w:r w:rsidRPr="00800D22">
        <w:rPr>
          <w:rStyle w:val="af5"/>
          <w:rFonts w:hint="eastAsia"/>
          <w:b w:val="0"/>
        </w:rPr>
        <w:t xml:space="preserve">  2000-2008</w:t>
      </w:r>
      <w:r w:rsidRPr="00800D22">
        <w:rPr>
          <w:rStyle w:val="af5"/>
          <w:rFonts w:hint="eastAsia"/>
          <w:b w:val="0"/>
        </w:rPr>
        <w:t>年德国抵押支持证券和资产支持证券余额（单位：</w:t>
      </w:r>
      <w:r w:rsidRPr="00800D22">
        <w:rPr>
          <w:rStyle w:val="af5"/>
          <w:rFonts w:hint="eastAsia"/>
          <w:b w:val="0"/>
        </w:rPr>
        <w:t>10</w:t>
      </w:r>
      <w:r w:rsidRPr="00800D22">
        <w:rPr>
          <w:rStyle w:val="af5"/>
          <w:rFonts w:hint="eastAsia"/>
          <w:b w:val="0"/>
        </w:rPr>
        <w:t>亿美元）</w:t>
      </w:r>
      <w:bookmarkEnd w:id="7"/>
      <w:bookmarkEnd w:id="8"/>
      <w:bookmarkEnd w:id="9"/>
    </w:p>
    <w:p w14:paraId="64BE53EF" w14:textId="77777777" w:rsidR="00172550" w:rsidRPr="00800D22" w:rsidRDefault="00172550" w:rsidP="00172550">
      <w:pPr>
        <w:jc w:val="center"/>
        <w:rPr>
          <w:rFonts w:eastAsia="新宋体" w:hint="eastAsia"/>
          <w:szCs w:val="21"/>
        </w:rPr>
      </w:pPr>
      <w:r w:rsidRPr="00800D22">
        <w:rPr>
          <w:rFonts w:eastAsia="新宋体" w:hint="eastAsia"/>
          <w:szCs w:val="21"/>
        </w:rPr>
        <w:t xml:space="preserve">Figure </w:t>
      </w:r>
      <w:proofErr w:type="gramStart"/>
      <w:r w:rsidRPr="00800D22">
        <w:rPr>
          <w:rFonts w:eastAsia="新宋体" w:hint="eastAsia"/>
          <w:szCs w:val="21"/>
        </w:rPr>
        <w:t>5.30  B</w:t>
      </w:r>
      <w:r w:rsidRPr="00800D22">
        <w:rPr>
          <w:rFonts w:eastAsia="新宋体"/>
          <w:szCs w:val="21"/>
        </w:rPr>
        <w:t>alance</w:t>
      </w:r>
      <w:proofErr w:type="gramEnd"/>
      <w:r w:rsidRPr="00800D22">
        <w:rPr>
          <w:rFonts w:eastAsia="新宋体" w:hint="eastAsia"/>
          <w:szCs w:val="21"/>
        </w:rPr>
        <w:t xml:space="preserve"> of </w:t>
      </w:r>
      <w:r w:rsidRPr="00800D22">
        <w:rPr>
          <w:rFonts w:eastAsia="新宋体"/>
          <w:szCs w:val="21"/>
        </w:rPr>
        <w:t>Germany</w:t>
      </w:r>
      <w:r w:rsidRPr="00800D22">
        <w:rPr>
          <w:rFonts w:eastAsia="新宋体" w:hint="eastAsia"/>
          <w:szCs w:val="21"/>
        </w:rPr>
        <w:t xml:space="preserve"> </w:t>
      </w:r>
      <w:r w:rsidRPr="00800D22">
        <w:rPr>
          <w:rFonts w:eastAsia="新宋体"/>
          <w:szCs w:val="21"/>
        </w:rPr>
        <w:t>Mortgage-Backed Securities</w:t>
      </w:r>
      <w:r w:rsidRPr="00800D22">
        <w:rPr>
          <w:rFonts w:eastAsia="新宋体" w:hint="eastAsia"/>
          <w:szCs w:val="21"/>
        </w:rPr>
        <w:t xml:space="preserve"> and </w:t>
      </w:r>
      <w:r w:rsidRPr="00800D22">
        <w:rPr>
          <w:rFonts w:eastAsia="新宋体"/>
          <w:szCs w:val="21"/>
        </w:rPr>
        <w:t>Asset Backed Securities</w:t>
      </w:r>
      <w:r w:rsidRPr="00800D22">
        <w:rPr>
          <w:rFonts w:eastAsia="新宋体" w:hint="eastAsia"/>
          <w:szCs w:val="21"/>
        </w:rPr>
        <w:t xml:space="preserve"> from 2000 to </w:t>
      </w:r>
      <w:proofErr w:type="gramStart"/>
      <w:r w:rsidRPr="00800D22">
        <w:rPr>
          <w:rFonts w:eastAsia="新宋体" w:hint="eastAsia"/>
          <w:szCs w:val="21"/>
        </w:rPr>
        <w:t>2008  (</w:t>
      </w:r>
      <w:proofErr w:type="gramEnd"/>
      <w:r w:rsidRPr="00800D22">
        <w:rPr>
          <w:rFonts w:eastAsia="新宋体" w:hint="eastAsia"/>
          <w:szCs w:val="21"/>
        </w:rPr>
        <w:t>Unit: billion dollar)</w:t>
      </w:r>
    </w:p>
    <w:p w14:paraId="74A6F0AE" w14:textId="77777777" w:rsidR="00172550" w:rsidRPr="00800D22" w:rsidRDefault="00172550" w:rsidP="00172550">
      <w:pPr>
        <w:ind w:firstLineChars="200" w:firstLine="360"/>
        <w:rPr>
          <w:rFonts w:eastAsia="新宋体" w:hint="eastAsia"/>
          <w:kern w:val="0"/>
          <w:sz w:val="18"/>
          <w:szCs w:val="18"/>
        </w:rPr>
      </w:pPr>
      <w:r w:rsidRPr="00800D22">
        <w:rPr>
          <w:rStyle w:val="af5"/>
          <w:b w:val="0"/>
          <w:bCs w:val="0"/>
          <w:sz w:val="18"/>
          <w:szCs w:val="18"/>
        </w:rPr>
        <w:t>数据来源：</w:t>
      </w:r>
      <w:r w:rsidRPr="00800D22">
        <w:rPr>
          <w:rFonts w:eastAsia="新宋体" w:hint="eastAsia"/>
          <w:kern w:val="0"/>
          <w:sz w:val="18"/>
          <w:szCs w:val="18"/>
        </w:rPr>
        <w:t>Securities Industry and Financial Markets Association</w:t>
      </w:r>
    </w:p>
    <w:p w14:paraId="436C42E4" w14:textId="77777777" w:rsidR="00172550" w:rsidRPr="00800D22" w:rsidRDefault="00172550" w:rsidP="00172550">
      <w:pPr>
        <w:ind w:firstLineChars="200" w:firstLine="360"/>
        <w:rPr>
          <w:rFonts w:eastAsia="新宋体" w:hint="eastAsia"/>
          <w:kern w:val="0"/>
          <w:sz w:val="18"/>
          <w:szCs w:val="18"/>
        </w:rPr>
      </w:pPr>
    </w:p>
    <w:p w14:paraId="2B4EEC16" w14:textId="2F4FAC17" w:rsidR="00172550" w:rsidRPr="00800D22" w:rsidRDefault="00172550" w:rsidP="00172550">
      <w:pPr>
        <w:keepNext/>
      </w:pPr>
      <w:r w:rsidRPr="00800D22">
        <w:rPr>
          <w:rStyle w:val="af5"/>
          <w:b w:val="0"/>
          <w:bCs w:val="0"/>
          <w:noProof/>
        </w:rPr>
        <w:lastRenderedPageBreak/>
        <w:drawing>
          <wp:inline distT="0" distB="0" distL="0" distR="0" wp14:anchorId="3677515E" wp14:editId="797597DB">
            <wp:extent cx="5270500" cy="2552700"/>
            <wp:effectExtent l="0" t="0" r="0" b="0"/>
            <wp:docPr id="3489670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552700"/>
                    </a:xfrm>
                    <a:prstGeom prst="rect">
                      <a:avLst/>
                    </a:prstGeom>
                    <a:noFill/>
                    <a:ln>
                      <a:noFill/>
                    </a:ln>
                  </pic:spPr>
                </pic:pic>
              </a:graphicData>
            </a:graphic>
          </wp:inline>
        </w:drawing>
      </w:r>
    </w:p>
    <w:p w14:paraId="0DC3D7DE" w14:textId="77777777" w:rsidR="00172550" w:rsidRPr="00800D22" w:rsidRDefault="00172550" w:rsidP="00172550">
      <w:pPr>
        <w:keepNext/>
        <w:ind w:firstLineChars="200" w:firstLine="420"/>
        <w:jc w:val="center"/>
        <w:rPr>
          <w:rStyle w:val="af5"/>
          <w:rFonts w:hint="eastAsia"/>
          <w:b w:val="0"/>
        </w:rPr>
      </w:pPr>
      <w:bookmarkStart w:id="10" w:name="_Toc256507095"/>
      <w:r w:rsidRPr="00800D22">
        <w:rPr>
          <w:rStyle w:val="af5"/>
          <w:rFonts w:hint="eastAsia"/>
          <w:b w:val="0"/>
        </w:rPr>
        <w:t>图</w:t>
      </w:r>
      <w:r w:rsidRPr="00800D22">
        <w:rPr>
          <w:rStyle w:val="af5"/>
          <w:rFonts w:hint="eastAsia"/>
          <w:b w:val="0"/>
        </w:rPr>
        <w:t>5.</w:t>
      </w:r>
      <w:r w:rsidRPr="00800D22">
        <w:rPr>
          <w:rStyle w:val="af5"/>
          <w:b w:val="0"/>
        </w:rPr>
        <w:fldChar w:fldCharType="begin"/>
      </w:r>
      <w:r w:rsidRPr="00800D22">
        <w:rPr>
          <w:rStyle w:val="af5"/>
          <w:b w:val="0"/>
        </w:rPr>
        <w:instrText xml:space="preserve"> </w:instrText>
      </w:r>
      <w:r w:rsidRPr="00800D22">
        <w:rPr>
          <w:rStyle w:val="af5"/>
          <w:rFonts w:hint="eastAsia"/>
          <w:b w:val="0"/>
        </w:rPr>
        <w:instrText xml:space="preserve">SEQ </w:instrText>
      </w:r>
      <w:r w:rsidRPr="00800D22">
        <w:rPr>
          <w:rStyle w:val="af5"/>
          <w:rFonts w:hint="eastAsia"/>
          <w:b w:val="0"/>
        </w:rPr>
        <w:instrText>图</w:instrText>
      </w:r>
      <w:r w:rsidRPr="00800D22">
        <w:rPr>
          <w:rStyle w:val="af5"/>
          <w:rFonts w:hint="eastAsia"/>
          <w:b w:val="0"/>
        </w:rPr>
        <w:instrText>5. \* ARABIC</w:instrText>
      </w:r>
      <w:r w:rsidRPr="00800D22">
        <w:rPr>
          <w:rStyle w:val="af5"/>
          <w:b w:val="0"/>
        </w:rPr>
        <w:instrText xml:space="preserve"> </w:instrText>
      </w:r>
      <w:r w:rsidRPr="00800D22">
        <w:rPr>
          <w:rStyle w:val="af5"/>
          <w:b w:val="0"/>
        </w:rPr>
        <w:fldChar w:fldCharType="separate"/>
      </w:r>
      <w:r w:rsidRPr="00800D22">
        <w:rPr>
          <w:rStyle w:val="af5"/>
          <w:b w:val="0"/>
          <w:noProof/>
        </w:rPr>
        <w:t>31</w:t>
      </w:r>
      <w:r w:rsidRPr="00800D22">
        <w:rPr>
          <w:rStyle w:val="af5"/>
          <w:b w:val="0"/>
        </w:rPr>
        <w:fldChar w:fldCharType="end"/>
      </w:r>
      <w:r w:rsidRPr="00800D22">
        <w:rPr>
          <w:rStyle w:val="af5"/>
          <w:rFonts w:hint="eastAsia"/>
          <w:b w:val="0"/>
        </w:rPr>
        <w:t xml:space="preserve">  2000-2008</w:t>
      </w:r>
      <w:r w:rsidRPr="00800D22">
        <w:rPr>
          <w:rStyle w:val="af5"/>
          <w:rFonts w:hint="eastAsia"/>
          <w:b w:val="0"/>
        </w:rPr>
        <w:t>年德国债券余额占</w:t>
      </w:r>
      <w:r w:rsidRPr="00800D22">
        <w:rPr>
          <w:rStyle w:val="af5"/>
          <w:rFonts w:hint="eastAsia"/>
          <w:b w:val="0"/>
        </w:rPr>
        <w:t>GDP</w:t>
      </w:r>
      <w:r w:rsidRPr="00800D22">
        <w:rPr>
          <w:rStyle w:val="af5"/>
          <w:rFonts w:hint="eastAsia"/>
          <w:b w:val="0"/>
        </w:rPr>
        <w:t>比重情况</w:t>
      </w:r>
      <w:bookmarkEnd w:id="10"/>
    </w:p>
    <w:p w14:paraId="2D3D2B41" w14:textId="77777777" w:rsidR="00172550" w:rsidRPr="00800D22" w:rsidRDefault="00172550" w:rsidP="00172550">
      <w:pPr>
        <w:jc w:val="center"/>
        <w:rPr>
          <w:rStyle w:val="af5"/>
          <w:rFonts w:hint="eastAsia"/>
          <w:b w:val="0"/>
          <w:bCs w:val="0"/>
        </w:rPr>
      </w:pPr>
      <w:r w:rsidRPr="00800D22">
        <w:rPr>
          <w:rFonts w:eastAsia="新宋体" w:hint="eastAsia"/>
          <w:szCs w:val="21"/>
        </w:rPr>
        <w:t xml:space="preserve">Figure </w:t>
      </w:r>
      <w:proofErr w:type="gramStart"/>
      <w:r w:rsidRPr="00800D22">
        <w:rPr>
          <w:rFonts w:eastAsia="新宋体" w:hint="eastAsia"/>
          <w:szCs w:val="21"/>
        </w:rPr>
        <w:t>5.31  Proportions</w:t>
      </w:r>
      <w:proofErr w:type="gramEnd"/>
      <w:r w:rsidRPr="00800D22">
        <w:rPr>
          <w:rFonts w:eastAsia="新宋体" w:hint="eastAsia"/>
          <w:szCs w:val="21"/>
        </w:rPr>
        <w:t xml:space="preserve"> of the balance of </w:t>
      </w:r>
      <w:smartTag w:uri="urn:schemas-microsoft-com:office:smarttags" w:element="place">
        <w:smartTag w:uri="urn:schemas-microsoft-com:office:smarttags" w:element="country-region">
          <w:r w:rsidRPr="00800D22">
            <w:rPr>
              <w:rFonts w:eastAsia="新宋体"/>
              <w:szCs w:val="21"/>
            </w:rPr>
            <w:t>Germany</w:t>
          </w:r>
        </w:smartTag>
      </w:smartTag>
      <w:r w:rsidRPr="00800D22">
        <w:rPr>
          <w:rFonts w:eastAsia="新宋体" w:hint="eastAsia"/>
          <w:szCs w:val="21"/>
        </w:rPr>
        <w:t xml:space="preserve"> bonds to GDP from 2000 to 2008</w:t>
      </w:r>
    </w:p>
    <w:p w14:paraId="1EB11AA8" w14:textId="77777777" w:rsidR="00172550" w:rsidRPr="00800D22" w:rsidRDefault="00172550" w:rsidP="00172550">
      <w:pPr>
        <w:spacing w:afterLines="100" w:after="312"/>
        <w:ind w:firstLineChars="200" w:firstLine="360"/>
        <w:rPr>
          <w:rFonts w:hint="eastAsia"/>
        </w:rPr>
      </w:pPr>
      <w:r w:rsidRPr="00800D22">
        <w:rPr>
          <w:rStyle w:val="af5"/>
          <w:b w:val="0"/>
          <w:bCs w:val="0"/>
          <w:sz w:val="18"/>
          <w:szCs w:val="18"/>
        </w:rPr>
        <w:t>数据来源：</w:t>
      </w:r>
      <w:r w:rsidRPr="00800D22">
        <w:rPr>
          <w:rStyle w:val="af5"/>
          <w:b w:val="0"/>
          <w:bCs w:val="0"/>
          <w:sz w:val="18"/>
          <w:szCs w:val="18"/>
        </w:rPr>
        <w:t>The Bank for International Settlements</w:t>
      </w:r>
      <w:r w:rsidRPr="00800D22">
        <w:rPr>
          <w:rStyle w:val="af5"/>
          <w:b w:val="0"/>
          <w:bCs w:val="0"/>
          <w:sz w:val="18"/>
          <w:szCs w:val="18"/>
        </w:rPr>
        <w:t>，</w:t>
      </w:r>
      <w:r w:rsidRPr="00800D22">
        <w:rPr>
          <w:rFonts w:eastAsia="新宋体" w:hint="eastAsia"/>
          <w:kern w:val="0"/>
          <w:sz w:val="18"/>
          <w:szCs w:val="18"/>
        </w:rPr>
        <w:t>Securities Industry and Financial Markets Association</w:t>
      </w:r>
      <w:r w:rsidRPr="00800D22">
        <w:rPr>
          <w:sz w:val="18"/>
          <w:szCs w:val="18"/>
        </w:rPr>
        <w:t xml:space="preserve"> </w:t>
      </w:r>
      <w:r w:rsidRPr="00800D22">
        <w:rPr>
          <w:rFonts w:hint="eastAsia"/>
          <w:sz w:val="18"/>
          <w:szCs w:val="18"/>
        </w:rPr>
        <w:t>，</w:t>
      </w:r>
      <w:r w:rsidRPr="00800D22">
        <w:rPr>
          <w:sz w:val="18"/>
          <w:szCs w:val="18"/>
        </w:rPr>
        <w:t>The World Ban</w:t>
      </w:r>
      <w:r w:rsidRPr="00800D22">
        <w:t xml:space="preserve">k </w:t>
      </w:r>
    </w:p>
    <w:p w14:paraId="0B5861CC" w14:textId="7753D604" w:rsidR="00172550" w:rsidRPr="00800D22" w:rsidRDefault="00172550" w:rsidP="00172550">
      <w:pPr>
        <w:pStyle w:val="3"/>
        <w:adjustRightInd w:val="0"/>
        <w:spacing w:beforeLines="50" w:before="156" w:afterLines="50" w:after="156" w:line="440" w:lineRule="exact"/>
        <w:jc w:val="left"/>
        <w:rPr>
          <w:rFonts w:ascii="黑体" w:eastAsia="黑体" w:hint="eastAsia"/>
          <w:b/>
          <w:sz w:val="28"/>
          <w:szCs w:val="28"/>
        </w:rPr>
      </w:pPr>
      <w:bookmarkStart w:id="11" w:name="_Toc238701445"/>
      <w:bookmarkStart w:id="12" w:name="_Toc239689220"/>
      <w:bookmarkStart w:id="13" w:name="_Toc247869839"/>
      <w:bookmarkStart w:id="14" w:name="_Toc256506274"/>
      <w:r>
        <w:rPr>
          <w:rFonts w:ascii="黑体" w:eastAsia="黑体" w:hint="eastAsia"/>
          <w:b/>
          <w:sz w:val="28"/>
          <w:szCs w:val="28"/>
        </w:rPr>
        <w:t>二、</w:t>
      </w:r>
      <w:r w:rsidRPr="00800D22">
        <w:rPr>
          <w:rFonts w:ascii="黑体" w:eastAsia="黑体"/>
          <w:b/>
          <w:sz w:val="28"/>
          <w:szCs w:val="28"/>
        </w:rPr>
        <w:t>法律制度环境</w:t>
      </w:r>
      <w:bookmarkEnd w:id="11"/>
      <w:bookmarkEnd w:id="12"/>
      <w:bookmarkEnd w:id="13"/>
      <w:bookmarkEnd w:id="14"/>
    </w:p>
    <w:p w14:paraId="58AC7C84" w14:textId="251B8446" w:rsidR="00172550" w:rsidRPr="00800D22" w:rsidRDefault="00172550" w:rsidP="00172550">
      <w:pPr>
        <w:spacing w:line="440" w:lineRule="exact"/>
        <w:ind w:firstLineChars="200" w:firstLine="480"/>
        <w:outlineLvl w:val="3"/>
        <w:rPr>
          <w:rFonts w:ascii="黑体" w:eastAsia="黑体" w:hint="eastAsia"/>
          <w:sz w:val="24"/>
        </w:rPr>
      </w:pPr>
      <w:r>
        <w:rPr>
          <w:rFonts w:ascii="黑体" w:eastAsia="黑体" w:hint="eastAsia"/>
          <w:sz w:val="24"/>
        </w:rPr>
        <w:t>1.</w:t>
      </w:r>
      <w:r w:rsidRPr="00800D22">
        <w:rPr>
          <w:rFonts w:ascii="黑体" w:eastAsia="黑体" w:hint="eastAsia"/>
          <w:sz w:val="24"/>
        </w:rPr>
        <w:t>证券市场法律制度环境</w:t>
      </w:r>
    </w:p>
    <w:p w14:paraId="6C31B0A3" w14:textId="77777777" w:rsidR="00172550" w:rsidRPr="00800D22" w:rsidRDefault="00172550" w:rsidP="00172550">
      <w:pPr>
        <w:spacing w:line="440" w:lineRule="exact"/>
        <w:ind w:firstLineChars="200" w:firstLine="480"/>
        <w:rPr>
          <w:rFonts w:eastAsia="新宋体"/>
          <w:sz w:val="24"/>
        </w:rPr>
      </w:pPr>
      <w:r w:rsidRPr="00800D22">
        <w:rPr>
          <w:rFonts w:eastAsia="新宋体"/>
          <w:sz w:val="24"/>
        </w:rPr>
        <w:t>德国债券市场监管架构与德国金融混业经营密切相关。</w:t>
      </w:r>
      <w:smartTag w:uri="urn:schemas-microsoft-com:office:smarttags" w:element="chsdate">
        <w:smartTagPr>
          <w:attr w:name="IsROCDate" w:val="False"/>
          <w:attr w:name="IsLunarDate" w:val="False"/>
          <w:attr w:name="Day" w:val="1"/>
          <w:attr w:name="Month" w:val="5"/>
          <w:attr w:name="Year" w:val="2002"/>
        </w:smartTagPr>
        <w:r w:rsidRPr="00800D22">
          <w:rPr>
            <w:rFonts w:eastAsia="新宋体"/>
            <w:sz w:val="24"/>
          </w:rPr>
          <w:t>2002</w:t>
        </w:r>
        <w:r w:rsidRPr="00800D22">
          <w:rPr>
            <w:rFonts w:eastAsia="新宋体"/>
            <w:sz w:val="24"/>
          </w:rPr>
          <w:t>年</w:t>
        </w:r>
        <w:r w:rsidRPr="00800D22">
          <w:rPr>
            <w:rFonts w:eastAsia="新宋体"/>
            <w:sz w:val="24"/>
          </w:rPr>
          <w:t>5</w:t>
        </w:r>
        <w:r w:rsidRPr="00800D22">
          <w:rPr>
            <w:rFonts w:eastAsia="新宋体"/>
            <w:sz w:val="24"/>
          </w:rPr>
          <w:t>月</w:t>
        </w:r>
        <w:r w:rsidRPr="00800D22">
          <w:rPr>
            <w:rFonts w:eastAsia="新宋体"/>
            <w:sz w:val="24"/>
          </w:rPr>
          <w:t>1</w:t>
        </w:r>
        <w:r w:rsidRPr="00800D22">
          <w:rPr>
            <w:rFonts w:eastAsia="新宋体"/>
            <w:sz w:val="24"/>
          </w:rPr>
          <w:t>日</w:t>
        </w:r>
      </w:smartTag>
      <w:r w:rsidRPr="00800D22">
        <w:rPr>
          <w:rFonts w:eastAsia="新宋体"/>
          <w:sz w:val="24"/>
        </w:rPr>
        <w:t>德国</w:t>
      </w:r>
      <w:r w:rsidRPr="00800D22">
        <w:rPr>
          <w:rFonts w:eastAsia="新宋体" w:hint="eastAsia"/>
          <w:sz w:val="24"/>
        </w:rPr>
        <w:t>将</w:t>
      </w:r>
      <w:r w:rsidRPr="00800D22">
        <w:rPr>
          <w:rFonts w:eastAsia="新宋体"/>
          <w:sz w:val="24"/>
        </w:rPr>
        <w:t>原本分别负责监督银行业务、保险业务以及证券期货业务的三个主管机关合并为一个新的金融监管机构</w:t>
      </w:r>
      <w:r w:rsidRPr="00800D22">
        <w:rPr>
          <w:rFonts w:eastAsia="新宋体"/>
          <w:sz w:val="24"/>
        </w:rPr>
        <w:t>——</w:t>
      </w:r>
      <w:r w:rsidRPr="00800D22">
        <w:rPr>
          <w:rFonts w:eastAsia="新宋体"/>
          <w:sz w:val="24"/>
        </w:rPr>
        <w:t>联邦金融监督管理局（</w:t>
      </w:r>
      <w:r w:rsidRPr="00800D22">
        <w:rPr>
          <w:rFonts w:eastAsia="新宋体"/>
          <w:sz w:val="24"/>
        </w:rPr>
        <w:t xml:space="preserve">The Federal Financial Supervisory Authority </w:t>
      </w:r>
      <w:r w:rsidRPr="00800D22">
        <w:rPr>
          <w:rFonts w:eastAsia="新宋体" w:hint="eastAsia"/>
          <w:sz w:val="24"/>
        </w:rPr>
        <w:t>，</w:t>
      </w:r>
      <w:r w:rsidRPr="00800D22">
        <w:rPr>
          <w:rFonts w:eastAsia="新宋体"/>
          <w:sz w:val="24"/>
        </w:rPr>
        <w:t>BaFin</w:t>
      </w:r>
      <w:r w:rsidRPr="00800D22">
        <w:rPr>
          <w:rFonts w:eastAsia="新宋体"/>
          <w:sz w:val="24"/>
        </w:rPr>
        <w:t>）。联邦金融监督管理局成立后，包括银行、保险、证券在内的整个金融体系都在其监管之下。联邦金融监督管理局职责是促使证券市场更有效地运作，保护投资人利益，促进市场的公开、公正及公平。</w:t>
      </w:r>
      <w:r w:rsidRPr="00800D22">
        <w:rPr>
          <w:rFonts w:eastAsia="新宋体" w:hint="eastAsia"/>
          <w:sz w:val="24"/>
        </w:rPr>
        <w:t>《</w:t>
      </w:r>
      <w:r w:rsidRPr="00800D22">
        <w:rPr>
          <w:rFonts w:eastAsia="新宋体"/>
          <w:sz w:val="24"/>
        </w:rPr>
        <w:t>证券交易法</w:t>
      </w:r>
      <w:r w:rsidRPr="00800D22">
        <w:rPr>
          <w:rFonts w:eastAsia="新宋体" w:hint="eastAsia"/>
          <w:sz w:val="24"/>
        </w:rPr>
        <w:t>》（</w:t>
      </w:r>
      <w:r w:rsidRPr="00800D22">
        <w:rPr>
          <w:rFonts w:eastAsia="新宋体" w:hint="eastAsia"/>
          <w:sz w:val="24"/>
        </w:rPr>
        <w:t>Securities Trading Act</w:t>
      </w:r>
      <w:r w:rsidRPr="00800D22">
        <w:rPr>
          <w:rFonts w:eastAsia="新宋体" w:hint="eastAsia"/>
          <w:sz w:val="24"/>
        </w:rPr>
        <w:t>）</w:t>
      </w:r>
      <w:r w:rsidRPr="00800D22">
        <w:rPr>
          <w:rFonts w:eastAsia="新宋体"/>
          <w:sz w:val="24"/>
        </w:rPr>
        <w:t>第四条规范了该部门的职权。依据</w:t>
      </w:r>
      <w:r w:rsidRPr="00800D22">
        <w:rPr>
          <w:rFonts w:eastAsia="新宋体" w:hint="eastAsia"/>
          <w:sz w:val="24"/>
        </w:rPr>
        <w:t>《</w:t>
      </w:r>
      <w:r w:rsidRPr="00800D22">
        <w:rPr>
          <w:rFonts w:eastAsia="新宋体"/>
          <w:sz w:val="24"/>
        </w:rPr>
        <w:t>证券交易法</w:t>
      </w:r>
      <w:r w:rsidRPr="00800D22">
        <w:rPr>
          <w:rFonts w:eastAsia="新宋体" w:hint="eastAsia"/>
          <w:sz w:val="24"/>
        </w:rPr>
        <w:t>》</w:t>
      </w:r>
      <w:r w:rsidRPr="00800D22">
        <w:rPr>
          <w:rFonts w:eastAsia="新宋体"/>
          <w:sz w:val="24"/>
        </w:rPr>
        <w:t>及证券买卖公开说明书的相关规定，其一般权责主要包括：打击及防范内部人交易行为</w:t>
      </w:r>
      <w:r w:rsidRPr="00800D22">
        <w:rPr>
          <w:rFonts w:eastAsia="新宋体" w:hint="eastAsia"/>
          <w:sz w:val="24"/>
        </w:rPr>
        <w:t>、</w:t>
      </w:r>
      <w:r w:rsidRPr="00800D22">
        <w:rPr>
          <w:rFonts w:eastAsia="新宋体"/>
          <w:sz w:val="24"/>
        </w:rPr>
        <w:t>监督所有证券及衍生品的交易是否符合证券交易法第九条相关报告的要求</w:t>
      </w:r>
      <w:r w:rsidRPr="00800D22">
        <w:rPr>
          <w:rFonts w:eastAsia="新宋体" w:hint="eastAsia"/>
          <w:sz w:val="24"/>
        </w:rPr>
        <w:t>、</w:t>
      </w:r>
      <w:r w:rsidRPr="00800D22">
        <w:rPr>
          <w:rFonts w:eastAsia="新宋体"/>
          <w:sz w:val="24"/>
        </w:rPr>
        <w:t>监督上市公司的公开揭露信息是否符合要求</w:t>
      </w:r>
      <w:r w:rsidRPr="00800D22">
        <w:rPr>
          <w:rFonts w:eastAsia="新宋体" w:hint="eastAsia"/>
          <w:sz w:val="24"/>
        </w:rPr>
        <w:t>、</w:t>
      </w:r>
      <w:r w:rsidRPr="00800D22">
        <w:rPr>
          <w:rFonts w:eastAsia="新宋体"/>
          <w:sz w:val="24"/>
        </w:rPr>
        <w:t>监督行为准则及投资服务公司的组成</w:t>
      </w:r>
      <w:r w:rsidRPr="00800D22">
        <w:rPr>
          <w:rFonts w:eastAsia="新宋体" w:hint="eastAsia"/>
          <w:sz w:val="24"/>
        </w:rPr>
        <w:t>、</w:t>
      </w:r>
      <w:r w:rsidRPr="00800D22">
        <w:rPr>
          <w:rFonts w:eastAsia="新宋体"/>
          <w:sz w:val="24"/>
        </w:rPr>
        <w:t>公开说明书的保管</w:t>
      </w:r>
      <w:r w:rsidRPr="00800D22">
        <w:rPr>
          <w:rFonts w:eastAsia="新宋体" w:hint="eastAsia"/>
          <w:sz w:val="24"/>
        </w:rPr>
        <w:t>及</w:t>
      </w:r>
      <w:r w:rsidRPr="00800D22">
        <w:rPr>
          <w:rFonts w:eastAsia="新宋体"/>
          <w:sz w:val="24"/>
        </w:rPr>
        <w:t>与国外机关合作所有有关证券交易的监督事宜等。</w:t>
      </w:r>
      <w:r w:rsidRPr="00800D22">
        <w:rPr>
          <w:rFonts w:eastAsia="新宋体"/>
          <w:sz w:val="24"/>
        </w:rPr>
        <w:t xml:space="preserve">   </w:t>
      </w:r>
    </w:p>
    <w:p w14:paraId="49525181" w14:textId="77777777" w:rsidR="00172550" w:rsidRPr="00800D22" w:rsidRDefault="00172550" w:rsidP="00172550">
      <w:pPr>
        <w:spacing w:line="440" w:lineRule="exact"/>
        <w:ind w:firstLineChars="200" w:firstLine="480"/>
        <w:rPr>
          <w:rFonts w:eastAsia="新宋体"/>
          <w:sz w:val="24"/>
        </w:rPr>
      </w:pPr>
      <w:r w:rsidRPr="00800D22">
        <w:rPr>
          <w:rFonts w:eastAsia="新宋体"/>
          <w:sz w:val="24"/>
        </w:rPr>
        <w:t>德国</w:t>
      </w:r>
      <w:r w:rsidRPr="00800D22">
        <w:rPr>
          <w:rFonts w:eastAsia="新宋体" w:hint="eastAsia"/>
          <w:sz w:val="24"/>
        </w:rPr>
        <w:t>联邦</w:t>
      </w:r>
      <w:r w:rsidRPr="00800D22">
        <w:rPr>
          <w:rFonts w:eastAsia="新宋体"/>
          <w:sz w:val="24"/>
        </w:rPr>
        <w:t>金融</w:t>
      </w:r>
      <w:r w:rsidRPr="00800D22">
        <w:rPr>
          <w:rFonts w:eastAsia="新宋体" w:hint="eastAsia"/>
          <w:sz w:val="24"/>
        </w:rPr>
        <w:t>监督管理</w:t>
      </w:r>
      <w:r w:rsidRPr="00800D22">
        <w:rPr>
          <w:rFonts w:eastAsia="新宋体"/>
          <w:sz w:val="24"/>
        </w:rPr>
        <w:t>局设置了三个专业部门，分别监管银行、保险、证券业务，另外还设置了三个交叉业务部门，专门负责处理交叉领域的问题</w:t>
      </w:r>
      <w:r w:rsidRPr="00800D22">
        <w:rPr>
          <w:rFonts w:eastAsia="新宋体" w:hint="eastAsia"/>
          <w:sz w:val="24"/>
        </w:rPr>
        <w:t>，</w:t>
      </w:r>
      <w:r w:rsidRPr="00800D22">
        <w:rPr>
          <w:rFonts w:eastAsia="新宋体"/>
          <w:sz w:val="24"/>
        </w:rPr>
        <w:t>主要目标是确保整个金融业的正常运作，保证银行、金融服务机构和保险企业的清偿能力，保护客户和投资者利益。德国证券监管部门依据《联邦证券交易法》对证券市场进行监管。《证券交易法》明确规定了禁止利用内部信息进行交易等行为，</w:t>
      </w:r>
      <w:r w:rsidRPr="00800D22">
        <w:rPr>
          <w:rFonts w:eastAsia="新宋体"/>
          <w:sz w:val="24"/>
        </w:rPr>
        <w:lastRenderedPageBreak/>
        <w:t>以保护投资者利益，增强投资者对证券市场的信心。</w:t>
      </w:r>
      <w:r w:rsidRPr="00800D22">
        <w:rPr>
          <w:rStyle w:val="af4"/>
          <w:rFonts w:eastAsia="新宋体"/>
          <w:sz w:val="24"/>
        </w:rPr>
        <w:footnoteReference w:id="2"/>
      </w:r>
    </w:p>
    <w:p w14:paraId="760D981A" w14:textId="77777777" w:rsidR="00172550" w:rsidRPr="00800D22" w:rsidRDefault="00172550" w:rsidP="00172550">
      <w:pPr>
        <w:spacing w:line="440" w:lineRule="exact"/>
        <w:ind w:firstLineChars="200" w:firstLine="480"/>
        <w:rPr>
          <w:rFonts w:eastAsia="新宋体"/>
          <w:sz w:val="24"/>
        </w:rPr>
      </w:pPr>
      <w:r w:rsidRPr="00800D22">
        <w:rPr>
          <w:rFonts w:eastAsia="新宋体"/>
          <w:sz w:val="24"/>
        </w:rPr>
        <w:t>德国联邦债券由财政部负责发行，其它债券的发行由</w:t>
      </w:r>
      <w:r w:rsidRPr="00800D22">
        <w:rPr>
          <w:rFonts w:eastAsia="新宋体" w:hint="eastAsia"/>
          <w:sz w:val="24"/>
        </w:rPr>
        <w:t>联邦</w:t>
      </w:r>
      <w:r w:rsidRPr="00800D22">
        <w:rPr>
          <w:rFonts w:eastAsia="新宋体"/>
          <w:sz w:val="24"/>
        </w:rPr>
        <w:t>金融</w:t>
      </w:r>
      <w:r w:rsidRPr="00800D22">
        <w:rPr>
          <w:rFonts w:eastAsia="新宋体" w:hint="eastAsia"/>
          <w:sz w:val="24"/>
        </w:rPr>
        <w:t>监督管理</w:t>
      </w:r>
      <w:r w:rsidRPr="00800D22">
        <w:rPr>
          <w:rFonts w:eastAsia="新宋体"/>
          <w:sz w:val="24"/>
        </w:rPr>
        <w:t>局负责。德国债券可以在证券交易所或场外市场进行交易，由</w:t>
      </w:r>
      <w:r w:rsidRPr="00800D22">
        <w:rPr>
          <w:rFonts w:eastAsia="新宋体" w:hint="eastAsia"/>
          <w:sz w:val="24"/>
        </w:rPr>
        <w:t>联邦</w:t>
      </w:r>
      <w:r w:rsidRPr="00800D22">
        <w:rPr>
          <w:rFonts w:eastAsia="新宋体"/>
          <w:sz w:val="24"/>
        </w:rPr>
        <w:t>金融</w:t>
      </w:r>
      <w:r w:rsidRPr="00800D22">
        <w:rPr>
          <w:rFonts w:eastAsia="新宋体" w:hint="eastAsia"/>
          <w:sz w:val="24"/>
        </w:rPr>
        <w:t>监督管理</w:t>
      </w:r>
      <w:r w:rsidRPr="00800D22">
        <w:rPr>
          <w:rFonts w:eastAsia="新宋体"/>
          <w:sz w:val="24"/>
        </w:rPr>
        <w:t>局负责监管。由于联邦结构与德国证券交易传统的影响，德国有八个证券交易所，债券在所有交易所都有交易，法兰克福证券交易所是成交量及挂牌数量最大的证券交易所。尽管如此，场外交易依然是德国债券的主要交易方式，场外市场的成交额占了全部成交额的</w:t>
      </w:r>
      <w:r w:rsidRPr="00800D22">
        <w:rPr>
          <w:rFonts w:eastAsia="新宋体"/>
          <w:sz w:val="24"/>
        </w:rPr>
        <w:t>90%</w:t>
      </w:r>
      <w:r w:rsidRPr="00800D22">
        <w:rPr>
          <w:rFonts w:eastAsia="新宋体"/>
          <w:sz w:val="24"/>
        </w:rPr>
        <w:t>左右。德国债券的结算交割由</w:t>
      </w:r>
      <w:proofErr w:type="spellStart"/>
      <w:r w:rsidRPr="00800D22">
        <w:rPr>
          <w:rFonts w:eastAsia="新宋体"/>
          <w:sz w:val="24"/>
        </w:rPr>
        <w:t>Clearstrem</w:t>
      </w:r>
      <w:proofErr w:type="spellEnd"/>
      <w:r w:rsidRPr="00800D22">
        <w:rPr>
          <w:rFonts w:eastAsia="新宋体"/>
          <w:sz w:val="24"/>
        </w:rPr>
        <w:t xml:space="preserve"> Banking Frankfurt</w:t>
      </w:r>
      <w:r w:rsidRPr="00800D22">
        <w:rPr>
          <w:rFonts w:eastAsia="新宋体"/>
          <w:sz w:val="24"/>
        </w:rPr>
        <w:t>负责。</w:t>
      </w:r>
    </w:p>
    <w:p w14:paraId="02912046" w14:textId="029605AE" w:rsidR="00172550" w:rsidRPr="00800D22" w:rsidRDefault="00172550" w:rsidP="00172550">
      <w:pPr>
        <w:spacing w:line="440" w:lineRule="exact"/>
        <w:ind w:firstLineChars="200" w:firstLine="480"/>
        <w:outlineLvl w:val="3"/>
        <w:rPr>
          <w:rFonts w:ascii="黑体" w:eastAsia="黑体" w:hint="eastAsia"/>
          <w:sz w:val="24"/>
        </w:rPr>
      </w:pPr>
      <w:r>
        <w:rPr>
          <w:rFonts w:ascii="黑体" w:eastAsia="黑体" w:hint="eastAsia"/>
          <w:sz w:val="24"/>
        </w:rPr>
        <w:t>2.</w:t>
      </w:r>
      <w:r w:rsidRPr="00800D22">
        <w:rPr>
          <w:rFonts w:ascii="黑体" w:eastAsia="黑体" w:hint="eastAsia"/>
          <w:sz w:val="24"/>
        </w:rPr>
        <w:t>增信体系法律制度环境</w:t>
      </w:r>
    </w:p>
    <w:p w14:paraId="148FD69A" w14:textId="77777777" w:rsidR="00172550" w:rsidRPr="00800D22" w:rsidRDefault="00172550" w:rsidP="00172550">
      <w:pPr>
        <w:spacing w:line="440" w:lineRule="exact"/>
        <w:ind w:firstLineChars="200" w:firstLine="480"/>
        <w:rPr>
          <w:rFonts w:eastAsia="新宋体" w:hint="eastAsia"/>
          <w:sz w:val="24"/>
        </w:rPr>
      </w:pPr>
      <w:r w:rsidRPr="00800D22">
        <w:rPr>
          <w:rFonts w:eastAsia="新宋体"/>
          <w:sz w:val="24"/>
        </w:rPr>
        <w:t>德国</w:t>
      </w:r>
      <w:r w:rsidRPr="00800D22">
        <w:rPr>
          <w:rFonts w:eastAsia="新宋体" w:hint="eastAsia"/>
          <w:sz w:val="24"/>
        </w:rPr>
        <w:t>关于债券增信的法律制度主要体现在《德国担保法》（</w:t>
      </w:r>
      <w:r w:rsidRPr="00800D22">
        <w:rPr>
          <w:rFonts w:eastAsia="新宋体"/>
          <w:sz w:val="24"/>
        </w:rPr>
        <w:t>German Securities Trading Law</w:t>
      </w:r>
      <w:r w:rsidRPr="00800D22">
        <w:rPr>
          <w:rFonts w:eastAsia="新宋体" w:hint="eastAsia"/>
          <w:sz w:val="24"/>
        </w:rPr>
        <w:t>）中。《德国担保法》对有关担保（包括第三方担保和抵</w:t>
      </w:r>
      <w:r w:rsidRPr="00800D22">
        <w:rPr>
          <w:rFonts w:eastAsia="新宋体" w:hint="eastAsia"/>
          <w:sz w:val="24"/>
        </w:rPr>
        <w:t>/</w:t>
      </w:r>
      <w:r w:rsidRPr="00800D22">
        <w:rPr>
          <w:rFonts w:eastAsia="新宋体" w:hint="eastAsia"/>
          <w:sz w:val="24"/>
        </w:rPr>
        <w:t>质押担保）所涉及的事项进行了具体规定。对于抵</w:t>
      </w:r>
      <w:r w:rsidRPr="00800D22">
        <w:rPr>
          <w:rFonts w:eastAsia="新宋体" w:hint="eastAsia"/>
          <w:sz w:val="24"/>
        </w:rPr>
        <w:t>/</w:t>
      </w:r>
      <w:r w:rsidRPr="00800D22">
        <w:rPr>
          <w:rFonts w:eastAsia="新宋体" w:hint="eastAsia"/>
          <w:sz w:val="24"/>
        </w:rPr>
        <w:t>质押担保，该法案对担保物进行界定，规定可以作为物的担保的标的物有动产（质权和为担保转移的财产）、不动产（抵押和土地债务）和权利（权利质权和为担保让与的权利）。法案对担保物的详细规定为债券市场增信方式的选择提供了基础。随后，《德国担保法》对各种质权设定的要件、质权的实现、质权的让与以及质权的消灭等方面进行了详细规定。此外，《德国担保法》还对信托业务进行了具体规定，为德国债券信托业务的开展奠定了法律基础。</w:t>
      </w:r>
    </w:p>
    <w:p w14:paraId="6D289C20" w14:textId="77777777" w:rsidR="00172550" w:rsidRPr="00800D22" w:rsidRDefault="00172550" w:rsidP="00172550">
      <w:pPr>
        <w:spacing w:line="440" w:lineRule="exact"/>
        <w:ind w:firstLineChars="200" w:firstLine="480"/>
        <w:rPr>
          <w:rStyle w:val="maintdbg760"/>
          <w:rFonts w:ascii="ˎ̥" w:hAnsi="ˎ̥" w:hint="eastAsia"/>
          <w:sz w:val="24"/>
        </w:rPr>
      </w:pPr>
      <w:r w:rsidRPr="00800D22">
        <w:rPr>
          <w:rStyle w:val="maintdbg760"/>
          <w:rFonts w:hint="eastAsia"/>
          <w:sz w:val="24"/>
        </w:rPr>
        <w:t>此外，</w:t>
      </w:r>
      <w:r w:rsidRPr="00800D22">
        <w:rPr>
          <w:rStyle w:val="maintdbg760"/>
          <w:sz w:val="24"/>
        </w:rPr>
        <w:t>《德国民法典》</w:t>
      </w:r>
      <w:r w:rsidRPr="00800D22">
        <w:rPr>
          <w:rStyle w:val="maintdbg760"/>
          <w:rFonts w:hint="eastAsia"/>
          <w:sz w:val="24"/>
        </w:rPr>
        <w:t>（</w:t>
      </w:r>
      <w:r w:rsidRPr="00800D22">
        <w:rPr>
          <w:rStyle w:val="maintdbg760"/>
          <w:sz w:val="24"/>
        </w:rPr>
        <w:t>German Civil Code</w:t>
      </w:r>
      <w:r w:rsidRPr="00800D22">
        <w:rPr>
          <w:rStyle w:val="maintdbg760"/>
          <w:rFonts w:hint="eastAsia"/>
          <w:sz w:val="24"/>
        </w:rPr>
        <w:t>）（</w:t>
      </w:r>
      <w:r w:rsidRPr="00800D22">
        <w:rPr>
          <w:rStyle w:val="maintdbg760"/>
          <w:rFonts w:hint="eastAsia"/>
          <w:sz w:val="24"/>
        </w:rPr>
        <w:t>1896</w:t>
      </w:r>
      <w:r w:rsidRPr="00800D22">
        <w:rPr>
          <w:rStyle w:val="maintdbg760"/>
          <w:rFonts w:hint="eastAsia"/>
          <w:sz w:val="24"/>
        </w:rPr>
        <w:t>年生效）对</w:t>
      </w:r>
      <w:r w:rsidRPr="00800D22">
        <w:rPr>
          <w:rStyle w:val="maintdbg760"/>
          <w:sz w:val="24"/>
        </w:rPr>
        <w:t>担保用益的规定为德国抵押担保增信方式的</w:t>
      </w:r>
      <w:r w:rsidRPr="00800D22">
        <w:rPr>
          <w:rStyle w:val="maintdbg760"/>
          <w:rFonts w:hint="eastAsia"/>
          <w:sz w:val="24"/>
        </w:rPr>
        <w:t>改进</w:t>
      </w:r>
      <w:r w:rsidRPr="00800D22">
        <w:rPr>
          <w:rStyle w:val="maintdbg760"/>
          <w:sz w:val="24"/>
        </w:rPr>
        <w:t>提供了制度环境，促进了抵押担保的发展。</w:t>
      </w:r>
      <w:r w:rsidRPr="00800D22">
        <w:rPr>
          <w:rStyle w:val="maintdbg760"/>
          <w:rFonts w:ascii="ˎ̥" w:hAnsi="ˎ̥"/>
          <w:sz w:val="24"/>
        </w:rPr>
        <w:t>在德国，担保用益是用益权的表现形式之一，是指特定权利人（包括物权人和债权人，但通常是抵押权人）为了保证自己能及时地从抵押关系中获得利益，而与所有人（通常为抵押人）协议在某一物上（通常为抵押物上）设定用益，从而使其同时成为用益权人。德国法学界不少人都认为担保用</w:t>
      </w:r>
      <w:proofErr w:type="gramStart"/>
      <w:r w:rsidRPr="00800D22">
        <w:rPr>
          <w:rStyle w:val="maintdbg760"/>
          <w:rFonts w:ascii="ˎ̥" w:hAnsi="ˎ̥"/>
          <w:sz w:val="24"/>
        </w:rPr>
        <w:t>益具有</w:t>
      </w:r>
      <w:proofErr w:type="gramEnd"/>
      <w:r w:rsidRPr="00800D22">
        <w:rPr>
          <w:rStyle w:val="maintdbg760"/>
          <w:rFonts w:ascii="ˎ̥" w:hAnsi="ˎ̥"/>
          <w:sz w:val="24"/>
        </w:rPr>
        <w:t>担保作用</w:t>
      </w:r>
      <w:r w:rsidRPr="00800D22">
        <w:rPr>
          <w:rStyle w:val="maintdbg760"/>
          <w:rFonts w:ascii="ˎ̥" w:hAnsi="ˎ̥" w:hint="eastAsia"/>
          <w:sz w:val="24"/>
        </w:rPr>
        <w:t>，并认为</w:t>
      </w:r>
      <w:r w:rsidRPr="00800D22">
        <w:rPr>
          <w:rStyle w:val="maintdbg760"/>
          <w:rFonts w:ascii="ˎ̥" w:hAnsi="ˎ̥"/>
          <w:sz w:val="24"/>
        </w:rPr>
        <w:t>担保用</w:t>
      </w:r>
      <w:proofErr w:type="gramStart"/>
      <w:r w:rsidRPr="00800D22">
        <w:rPr>
          <w:rStyle w:val="maintdbg760"/>
          <w:rFonts w:ascii="ˎ̥" w:hAnsi="ˎ̥"/>
          <w:sz w:val="24"/>
        </w:rPr>
        <w:t>益作用</w:t>
      </w:r>
      <w:proofErr w:type="gramEnd"/>
      <w:r w:rsidRPr="00800D22">
        <w:rPr>
          <w:rStyle w:val="maintdbg760"/>
          <w:rFonts w:ascii="ˎ̥" w:hAnsi="ˎ̥"/>
          <w:sz w:val="24"/>
        </w:rPr>
        <w:t>主要表现为两个方面：</w:t>
      </w:r>
      <w:r w:rsidRPr="00800D22">
        <w:rPr>
          <w:rStyle w:val="maintdbg760"/>
          <w:rFonts w:ascii="ˎ̥" w:hAnsi="ˎ̥" w:hint="eastAsia"/>
          <w:sz w:val="24"/>
        </w:rPr>
        <w:t>①</w:t>
      </w:r>
      <w:r w:rsidRPr="00800D22">
        <w:rPr>
          <w:rStyle w:val="maintdbg760"/>
          <w:rFonts w:ascii="ˎ̥" w:hAnsi="ˎ̥"/>
          <w:sz w:val="24"/>
        </w:rPr>
        <w:t>土地质押权的补充，即对债权人取得地产上的收益作担保</w:t>
      </w:r>
      <w:r w:rsidRPr="00800D22">
        <w:rPr>
          <w:rStyle w:val="maintdbg760"/>
          <w:rFonts w:ascii="ˎ̥" w:hAnsi="ˎ̥" w:hint="eastAsia"/>
          <w:sz w:val="24"/>
        </w:rPr>
        <w:t>，</w:t>
      </w:r>
      <w:r w:rsidRPr="00800D22">
        <w:rPr>
          <w:rStyle w:val="maintdbg760"/>
          <w:rFonts w:ascii="ˎ̥" w:hAnsi="ˎ̥"/>
          <w:sz w:val="24"/>
        </w:rPr>
        <w:t>如根据《德国民法典》第</w:t>
      </w:r>
      <w:r w:rsidRPr="00800D22">
        <w:rPr>
          <w:rStyle w:val="maintdbg760"/>
          <w:rFonts w:ascii="ˎ̥" w:hAnsi="ˎ̥"/>
          <w:sz w:val="24"/>
        </w:rPr>
        <w:t>1123</w:t>
      </w:r>
      <w:r w:rsidRPr="00800D22">
        <w:rPr>
          <w:rStyle w:val="maintdbg760"/>
          <w:rFonts w:ascii="ˎ̥" w:hAnsi="ˎ̥"/>
          <w:sz w:val="24"/>
        </w:rPr>
        <w:t>条，债权人不</w:t>
      </w:r>
      <w:r w:rsidRPr="00800D22">
        <w:rPr>
          <w:rStyle w:val="maintdbg760"/>
          <w:rFonts w:ascii="ˎ̥" w:hAnsi="ˎ̥" w:hint="eastAsia"/>
          <w:sz w:val="24"/>
        </w:rPr>
        <w:t>必</w:t>
      </w:r>
      <w:r w:rsidRPr="00800D22">
        <w:rPr>
          <w:rStyle w:val="maintdbg760"/>
          <w:rFonts w:ascii="ˎ̥" w:hAnsi="ˎ̥"/>
          <w:sz w:val="24"/>
        </w:rPr>
        <w:t>通过扣押取得的利用租金和收益租息，就可以通过担保用益来获得</w:t>
      </w:r>
      <w:r w:rsidRPr="00800D22">
        <w:rPr>
          <w:rStyle w:val="maintdbg760"/>
          <w:rFonts w:ascii="ˎ̥" w:hAnsi="ˎ̥" w:hint="eastAsia"/>
          <w:sz w:val="24"/>
        </w:rPr>
        <w:t>；②</w:t>
      </w:r>
      <w:r w:rsidRPr="00800D22">
        <w:rPr>
          <w:rStyle w:val="maintdbg760"/>
          <w:rFonts w:ascii="ˎ̥" w:hAnsi="ˎ̥"/>
          <w:sz w:val="24"/>
        </w:rPr>
        <w:t>债权使用转让合同的物上担保。</w:t>
      </w:r>
      <w:r w:rsidRPr="00800D22">
        <w:rPr>
          <w:rStyle w:val="af4"/>
          <w:rFonts w:ascii="ˎ̥" w:hAnsi="ˎ̥" w:hint="eastAsia"/>
          <w:sz w:val="24"/>
        </w:rPr>
        <w:footnoteReference w:id="3"/>
      </w:r>
    </w:p>
    <w:p w14:paraId="49FA61B9" w14:textId="77777777" w:rsidR="00172550" w:rsidRPr="00800D22" w:rsidRDefault="00172550" w:rsidP="00172550">
      <w:pPr>
        <w:spacing w:line="440" w:lineRule="exact"/>
        <w:ind w:firstLineChars="200" w:firstLine="480"/>
        <w:rPr>
          <w:rFonts w:eastAsia="新宋体" w:hint="eastAsia"/>
          <w:sz w:val="24"/>
        </w:rPr>
      </w:pPr>
      <w:r w:rsidRPr="00800D22">
        <w:rPr>
          <w:rFonts w:eastAsia="新宋体" w:hint="eastAsia"/>
          <w:sz w:val="24"/>
        </w:rPr>
        <w:t>总体来看，《德国担保法》作为德国</w:t>
      </w:r>
      <w:proofErr w:type="gramStart"/>
      <w:r w:rsidRPr="00800D22">
        <w:rPr>
          <w:rFonts w:eastAsia="新宋体" w:hint="eastAsia"/>
          <w:sz w:val="24"/>
        </w:rPr>
        <w:t>担保业</w:t>
      </w:r>
      <w:proofErr w:type="gramEnd"/>
      <w:r w:rsidRPr="00800D22">
        <w:rPr>
          <w:rFonts w:eastAsia="新宋体" w:hint="eastAsia"/>
          <w:sz w:val="24"/>
        </w:rPr>
        <w:t>的一部较为系统性的法律，为德</w:t>
      </w:r>
      <w:r w:rsidRPr="00800D22">
        <w:rPr>
          <w:rFonts w:eastAsia="新宋体" w:hint="eastAsia"/>
          <w:sz w:val="24"/>
        </w:rPr>
        <w:lastRenderedPageBreak/>
        <w:t>国债券市场增信体系的构建提供了法律基础；另外，</w:t>
      </w:r>
      <w:r w:rsidRPr="00800D22">
        <w:rPr>
          <w:rStyle w:val="maintdbg760"/>
          <w:sz w:val="24"/>
        </w:rPr>
        <w:t>《德国民法典》</w:t>
      </w:r>
      <w:r w:rsidRPr="00800D22">
        <w:rPr>
          <w:rStyle w:val="maintdbg760"/>
          <w:rFonts w:hint="eastAsia"/>
          <w:sz w:val="24"/>
        </w:rPr>
        <w:t>也为增信体系建设提供了补充。</w:t>
      </w:r>
    </w:p>
    <w:p w14:paraId="2583D7D7" w14:textId="3D12D93B" w:rsidR="00172550" w:rsidRPr="00800D22" w:rsidRDefault="00172550" w:rsidP="00172550">
      <w:pPr>
        <w:pStyle w:val="3"/>
        <w:adjustRightInd w:val="0"/>
        <w:spacing w:beforeLines="50" w:before="156" w:afterLines="50" w:after="156" w:line="440" w:lineRule="exact"/>
        <w:jc w:val="left"/>
        <w:rPr>
          <w:rFonts w:ascii="黑体" w:eastAsia="黑体"/>
          <w:b/>
          <w:sz w:val="28"/>
          <w:szCs w:val="28"/>
        </w:rPr>
      </w:pPr>
      <w:bookmarkStart w:id="15" w:name="_Toc238701446"/>
      <w:bookmarkStart w:id="16" w:name="_Toc239689221"/>
      <w:bookmarkStart w:id="17" w:name="_Toc247869840"/>
      <w:bookmarkStart w:id="18" w:name="_Toc256506275"/>
      <w:r>
        <w:rPr>
          <w:rFonts w:ascii="黑体" w:eastAsia="黑体" w:hint="eastAsia"/>
          <w:b/>
          <w:sz w:val="28"/>
          <w:szCs w:val="28"/>
        </w:rPr>
        <w:t>三、</w:t>
      </w:r>
      <w:r w:rsidRPr="00800D22">
        <w:rPr>
          <w:rFonts w:ascii="黑体" w:eastAsia="黑体"/>
          <w:b/>
          <w:sz w:val="28"/>
          <w:szCs w:val="28"/>
        </w:rPr>
        <w:t>增信手段</w:t>
      </w:r>
      <w:bookmarkEnd w:id="15"/>
      <w:bookmarkEnd w:id="16"/>
      <w:bookmarkEnd w:id="17"/>
      <w:bookmarkEnd w:id="18"/>
    </w:p>
    <w:p w14:paraId="4DFC2095" w14:textId="4AF6792C" w:rsidR="00172550" w:rsidRPr="00800D22" w:rsidRDefault="00172550" w:rsidP="00172550">
      <w:pPr>
        <w:spacing w:line="440" w:lineRule="exact"/>
        <w:ind w:firstLineChars="200" w:firstLine="480"/>
        <w:outlineLvl w:val="3"/>
        <w:rPr>
          <w:rFonts w:ascii="黑体" w:eastAsia="黑体" w:hAnsi="宋体"/>
          <w:sz w:val="24"/>
        </w:rPr>
      </w:pPr>
      <w:r>
        <w:rPr>
          <w:rFonts w:ascii="黑体" w:eastAsia="黑体" w:hAnsi="宋体" w:hint="eastAsia"/>
          <w:sz w:val="24"/>
        </w:rPr>
        <w:t>1.</w:t>
      </w:r>
      <w:r w:rsidRPr="00800D22">
        <w:rPr>
          <w:rFonts w:ascii="黑体" w:eastAsia="黑体" w:hAnsi="宋体"/>
          <w:sz w:val="24"/>
        </w:rPr>
        <w:t>全覆盖债券</w:t>
      </w:r>
      <w:r w:rsidRPr="00800D22">
        <w:rPr>
          <w:rStyle w:val="af4"/>
          <w:rFonts w:ascii="黑体" w:eastAsia="黑体" w:hAnsi="宋体"/>
          <w:sz w:val="24"/>
        </w:rPr>
        <w:footnoteReference w:id="4"/>
      </w:r>
      <w:r w:rsidRPr="00800D22">
        <w:rPr>
          <w:rFonts w:ascii="黑体" w:eastAsia="黑体" w:hAnsi="宋体"/>
          <w:sz w:val="24"/>
        </w:rPr>
        <w:t>（Covered Bonds，简称</w:t>
      </w:r>
      <w:r w:rsidRPr="00800D22">
        <w:rPr>
          <w:rFonts w:ascii="黑体" w:eastAsia="黑体" w:hAnsi="宋体"/>
          <w:sz w:val="24"/>
        </w:rPr>
        <w:t>“</w:t>
      </w:r>
      <w:r w:rsidRPr="00800D22">
        <w:rPr>
          <w:rFonts w:ascii="黑体" w:eastAsia="黑体" w:hAnsi="宋体"/>
          <w:sz w:val="24"/>
        </w:rPr>
        <w:t>CB</w:t>
      </w:r>
      <w:r w:rsidRPr="00800D22">
        <w:rPr>
          <w:rFonts w:ascii="黑体" w:eastAsia="黑体" w:hAnsi="宋体"/>
          <w:sz w:val="24"/>
        </w:rPr>
        <w:t>”</w:t>
      </w:r>
      <w:r w:rsidRPr="00800D22">
        <w:rPr>
          <w:rFonts w:ascii="黑体" w:eastAsia="黑体" w:hAnsi="宋体"/>
          <w:sz w:val="24"/>
        </w:rPr>
        <w:t>）</w:t>
      </w:r>
    </w:p>
    <w:p w14:paraId="5C7AC6EC" w14:textId="77777777" w:rsidR="00172550" w:rsidRPr="00800D22" w:rsidRDefault="00172550" w:rsidP="00172550">
      <w:pPr>
        <w:spacing w:line="440" w:lineRule="exact"/>
        <w:ind w:firstLine="480"/>
        <w:rPr>
          <w:rFonts w:eastAsia="新宋体"/>
          <w:bCs/>
          <w:kern w:val="0"/>
          <w:sz w:val="24"/>
        </w:rPr>
      </w:pPr>
      <w:r w:rsidRPr="00800D22">
        <w:rPr>
          <w:rFonts w:eastAsia="新宋体"/>
          <w:bCs/>
          <w:kern w:val="0"/>
          <w:sz w:val="24"/>
        </w:rPr>
        <w:t>全覆盖债券是欧洲最卓越的金融产品之一，它是由抵押贷款或公共部门贷款组成的资产池为其提供抵押，并且在发起人破产时，债券持有人对资产池有优先求偿权且可以向发行人追索的债务融资工具。全覆盖债券的发起人一般为具有雄厚实力的银行</w:t>
      </w:r>
      <w:r w:rsidRPr="00800D22">
        <w:rPr>
          <w:rFonts w:eastAsia="新宋体" w:hint="eastAsia"/>
          <w:bCs/>
          <w:kern w:val="0"/>
          <w:sz w:val="24"/>
        </w:rPr>
        <w:t>及其它</w:t>
      </w:r>
      <w:r w:rsidRPr="00800D22">
        <w:rPr>
          <w:rFonts w:eastAsia="新宋体"/>
          <w:bCs/>
          <w:kern w:val="0"/>
          <w:sz w:val="24"/>
        </w:rPr>
        <w:t>金融机构。</w:t>
      </w:r>
    </w:p>
    <w:p w14:paraId="6D2E40EB" w14:textId="77777777" w:rsidR="00172550" w:rsidRPr="00800D22" w:rsidRDefault="00172550" w:rsidP="00172550">
      <w:pPr>
        <w:spacing w:afterLines="50" w:after="156" w:line="440" w:lineRule="exact"/>
        <w:ind w:firstLineChars="196" w:firstLine="470"/>
        <w:rPr>
          <w:rFonts w:hint="eastAsia"/>
          <w:sz w:val="24"/>
        </w:rPr>
      </w:pPr>
      <w:r w:rsidRPr="00800D22">
        <w:rPr>
          <w:sz w:val="24"/>
        </w:rPr>
        <w:t>全覆盖债券的实质是资产抵押债券，但和一般债券的资产抵押增信方式有较大的区别，全覆盖债券的增信是通过法律框架和产品结构的设计将增信方式嵌入到全覆盖债券产品本身之中，从而使得投资者的权益受到双重保护（除对抵押资产池有优先求偿权外，还拥有对发行</w:t>
      </w:r>
      <w:r w:rsidRPr="00800D22">
        <w:rPr>
          <w:rFonts w:hint="eastAsia"/>
          <w:sz w:val="24"/>
        </w:rPr>
        <w:t>人</w:t>
      </w:r>
      <w:r w:rsidRPr="00800D22">
        <w:rPr>
          <w:sz w:val="24"/>
        </w:rPr>
        <w:t>的追索权），因此，绝大多数的全覆盖债券信用级别为</w:t>
      </w:r>
      <w:r w:rsidRPr="00800D22">
        <w:rPr>
          <w:sz w:val="24"/>
        </w:rPr>
        <w:t>AAA</w:t>
      </w:r>
      <w:r w:rsidRPr="00800D22">
        <w:rPr>
          <w:sz w:val="24"/>
        </w:rPr>
        <w:t>。全覆盖债券在德国得到了良好的发展，已成为继政府债券之后的第二大债券品种。</w:t>
      </w:r>
      <w:bookmarkStart w:id="19" w:name="_Toc196843618"/>
      <w:bookmarkStart w:id="20" w:name="_Toc217581319"/>
      <w:bookmarkStart w:id="21" w:name="_Toc217963532"/>
    </w:p>
    <w:p w14:paraId="227D7ADF" w14:textId="7228FA1E" w:rsidR="00172550" w:rsidRPr="00800D22" w:rsidRDefault="00172550" w:rsidP="00172550">
      <w:pPr>
        <w:keepNext/>
        <w:spacing w:afterLines="50" w:after="156"/>
        <w:ind w:firstLineChars="200" w:firstLine="420"/>
      </w:pPr>
      <w:r w:rsidRPr="00800D22">
        <w:rPr>
          <w:noProof/>
        </w:rPr>
        <w:drawing>
          <wp:inline distT="0" distB="0" distL="0" distR="0" wp14:anchorId="1A7962E9" wp14:editId="684675FB">
            <wp:extent cx="5270500" cy="2540000"/>
            <wp:effectExtent l="0" t="0" r="0" b="0"/>
            <wp:docPr id="2029510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2540000"/>
                    </a:xfrm>
                    <a:prstGeom prst="rect">
                      <a:avLst/>
                    </a:prstGeom>
                    <a:noFill/>
                    <a:ln>
                      <a:noFill/>
                    </a:ln>
                  </pic:spPr>
                </pic:pic>
              </a:graphicData>
            </a:graphic>
          </wp:inline>
        </w:drawing>
      </w:r>
    </w:p>
    <w:p w14:paraId="42DF8E75" w14:textId="77777777" w:rsidR="00172550" w:rsidRPr="00800D22" w:rsidRDefault="00172550" w:rsidP="00172550">
      <w:pPr>
        <w:keepNext/>
        <w:ind w:firstLineChars="200" w:firstLine="420"/>
        <w:jc w:val="center"/>
      </w:pPr>
      <w:bookmarkStart w:id="22" w:name="_Toc256507096"/>
      <w:r w:rsidRPr="00800D22">
        <w:rPr>
          <w:rFonts w:hint="eastAsia"/>
        </w:rPr>
        <w:t>图</w:t>
      </w:r>
      <w:r w:rsidRPr="00800D22">
        <w:rPr>
          <w:rFonts w:hint="eastAsia"/>
        </w:rPr>
        <w:t>5.</w:t>
      </w:r>
      <w:r w:rsidRPr="00800D22">
        <w:fldChar w:fldCharType="begin"/>
      </w:r>
      <w:r w:rsidRPr="00800D22">
        <w:instrText xml:space="preserve"> </w:instrText>
      </w:r>
      <w:r w:rsidRPr="00800D22">
        <w:rPr>
          <w:rFonts w:hint="eastAsia"/>
        </w:rPr>
        <w:instrText xml:space="preserve">SEQ </w:instrText>
      </w:r>
      <w:r w:rsidRPr="00800D22">
        <w:rPr>
          <w:rFonts w:hint="eastAsia"/>
        </w:rPr>
        <w:instrText>图</w:instrText>
      </w:r>
      <w:r w:rsidRPr="00800D22">
        <w:rPr>
          <w:rFonts w:hint="eastAsia"/>
        </w:rPr>
        <w:instrText>5. \* ARABIC</w:instrText>
      </w:r>
      <w:r w:rsidRPr="00800D22">
        <w:instrText xml:space="preserve"> </w:instrText>
      </w:r>
      <w:r w:rsidRPr="00800D22">
        <w:fldChar w:fldCharType="separate"/>
      </w:r>
      <w:r w:rsidRPr="00800D22">
        <w:rPr>
          <w:noProof/>
        </w:rPr>
        <w:t>32</w:t>
      </w:r>
      <w:r w:rsidRPr="00800D22">
        <w:fldChar w:fldCharType="end"/>
      </w:r>
      <w:r w:rsidRPr="00800D22">
        <w:rPr>
          <w:rFonts w:hint="eastAsia"/>
        </w:rPr>
        <w:t xml:space="preserve">  2003-2008</w:t>
      </w:r>
      <w:r w:rsidRPr="00800D22">
        <w:rPr>
          <w:rFonts w:hint="eastAsia"/>
        </w:rPr>
        <w:t>年德国全覆盖债券市场存量及发行量情况</w:t>
      </w:r>
      <w:bookmarkEnd w:id="22"/>
    </w:p>
    <w:p w14:paraId="1569095B" w14:textId="77777777" w:rsidR="00172550" w:rsidRPr="00800D22" w:rsidRDefault="00172550" w:rsidP="00172550">
      <w:pPr>
        <w:ind w:firstLineChars="200" w:firstLine="420"/>
        <w:jc w:val="center"/>
        <w:rPr>
          <w:rFonts w:hint="eastAsia"/>
        </w:rPr>
      </w:pPr>
      <w:r w:rsidRPr="00800D22">
        <w:rPr>
          <w:rFonts w:hint="eastAsia"/>
        </w:rPr>
        <w:t xml:space="preserve">Figure </w:t>
      </w:r>
      <w:proofErr w:type="gramStart"/>
      <w:r w:rsidRPr="00800D22">
        <w:rPr>
          <w:rFonts w:hint="eastAsia"/>
        </w:rPr>
        <w:t>5.32  Balance</w:t>
      </w:r>
      <w:proofErr w:type="gramEnd"/>
      <w:r w:rsidRPr="00800D22">
        <w:rPr>
          <w:rFonts w:hint="eastAsia"/>
        </w:rPr>
        <w:t xml:space="preserve"> and </w:t>
      </w:r>
      <w:proofErr w:type="spellStart"/>
      <w:r w:rsidRPr="00800D22">
        <w:rPr>
          <w:rFonts w:hint="eastAsia"/>
        </w:rPr>
        <w:t>issurance</w:t>
      </w:r>
      <w:proofErr w:type="spellEnd"/>
      <w:r w:rsidRPr="00800D22">
        <w:rPr>
          <w:rFonts w:hint="eastAsia"/>
        </w:rPr>
        <w:t xml:space="preserve"> of </w:t>
      </w:r>
      <w:smartTag w:uri="urn:schemas-microsoft-com:office:smarttags" w:element="place">
        <w:smartTag w:uri="urn:schemas-microsoft-com:office:smarttags" w:element="country-region">
          <w:r w:rsidRPr="00800D22">
            <w:rPr>
              <w:rFonts w:eastAsia="新宋体"/>
              <w:szCs w:val="21"/>
            </w:rPr>
            <w:t>Germany</w:t>
          </w:r>
        </w:smartTag>
      </w:smartTag>
      <w:r w:rsidRPr="00800D22">
        <w:rPr>
          <w:rFonts w:eastAsia="新宋体" w:hint="eastAsia"/>
          <w:szCs w:val="21"/>
        </w:rPr>
        <w:t xml:space="preserve"> covered bond from 2003 to 2008</w:t>
      </w:r>
    </w:p>
    <w:p w14:paraId="79989C48" w14:textId="77777777" w:rsidR="00172550" w:rsidRPr="00800D22" w:rsidRDefault="00172550" w:rsidP="00172550">
      <w:pPr>
        <w:spacing w:afterLines="50" w:after="156"/>
        <w:ind w:firstLineChars="450" w:firstLine="810"/>
        <w:rPr>
          <w:rFonts w:hint="eastAsia"/>
        </w:rPr>
      </w:pPr>
      <w:r w:rsidRPr="00800D22">
        <w:rPr>
          <w:rStyle w:val="af5"/>
          <w:b w:val="0"/>
          <w:bCs w:val="0"/>
          <w:sz w:val="18"/>
          <w:szCs w:val="18"/>
        </w:rPr>
        <w:t>数据来源：</w:t>
      </w:r>
      <w:r w:rsidRPr="00800D22">
        <w:rPr>
          <w:rStyle w:val="af5"/>
          <w:rFonts w:hint="eastAsia"/>
          <w:b w:val="0"/>
          <w:bCs w:val="0"/>
          <w:sz w:val="18"/>
          <w:szCs w:val="18"/>
        </w:rPr>
        <w:t>Association of German Mortgage Banks</w:t>
      </w:r>
      <w:r w:rsidRPr="00800D22">
        <w:t xml:space="preserve"> </w:t>
      </w:r>
    </w:p>
    <w:p w14:paraId="6EB06725" w14:textId="77777777" w:rsidR="00172550" w:rsidRPr="00800D22" w:rsidRDefault="00172550" w:rsidP="00172550">
      <w:pPr>
        <w:spacing w:line="440" w:lineRule="exact"/>
        <w:ind w:firstLineChars="196" w:firstLine="472"/>
        <w:rPr>
          <w:rFonts w:eastAsia="新宋体"/>
          <w:b/>
          <w:sz w:val="24"/>
        </w:rPr>
      </w:pPr>
      <w:r w:rsidRPr="00800D22">
        <w:rPr>
          <w:b/>
          <w:sz w:val="24"/>
        </w:rPr>
        <w:t>（</w:t>
      </w:r>
      <w:r w:rsidRPr="00800D22">
        <w:rPr>
          <w:b/>
          <w:sz w:val="24"/>
        </w:rPr>
        <w:t>1</w:t>
      </w:r>
      <w:r w:rsidRPr="00800D22">
        <w:rPr>
          <w:b/>
          <w:sz w:val="24"/>
        </w:rPr>
        <w:t>）</w:t>
      </w:r>
      <w:bookmarkStart w:id="23" w:name="_Toc196843619"/>
      <w:bookmarkEnd w:id="19"/>
      <w:r w:rsidRPr="00800D22">
        <w:rPr>
          <w:b/>
          <w:sz w:val="24"/>
        </w:rPr>
        <w:t>基本框架</w:t>
      </w:r>
      <w:bookmarkEnd w:id="20"/>
      <w:bookmarkEnd w:id="21"/>
      <w:bookmarkEnd w:id="23"/>
    </w:p>
    <w:p w14:paraId="0071F35A" w14:textId="77777777" w:rsidR="00172550" w:rsidRPr="00800D22" w:rsidRDefault="00172550" w:rsidP="00172550">
      <w:pPr>
        <w:spacing w:line="440" w:lineRule="exact"/>
        <w:ind w:firstLineChars="200" w:firstLine="480"/>
        <w:rPr>
          <w:rFonts w:eastAsia="新宋体"/>
          <w:bCs/>
          <w:kern w:val="0"/>
          <w:sz w:val="24"/>
        </w:rPr>
      </w:pPr>
      <w:r w:rsidRPr="00800D22">
        <w:rPr>
          <w:rFonts w:eastAsia="新宋体"/>
          <w:sz w:val="24"/>
        </w:rPr>
        <w:t>在德国，全覆盖债券</w:t>
      </w:r>
      <w:r w:rsidRPr="00800D22">
        <w:rPr>
          <w:rFonts w:eastAsia="新宋体"/>
          <w:bCs/>
          <w:kern w:val="0"/>
          <w:sz w:val="24"/>
        </w:rPr>
        <w:t>发行的法律基础是</w:t>
      </w:r>
      <w:smartTag w:uri="urn:schemas-microsoft-com:office:smarttags" w:element="chsdate">
        <w:smartTagPr>
          <w:attr w:name="IsROCDate" w:val="False"/>
          <w:attr w:name="IsLunarDate" w:val="False"/>
          <w:attr w:name="Day" w:val="20"/>
          <w:attr w:name="Month" w:val="5"/>
          <w:attr w:name="Year" w:val="2005"/>
        </w:smartTagPr>
        <w:r w:rsidRPr="00800D22">
          <w:rPr>
            <w:rFonts w:eastAsia="新宋体"/>
            <w:bCs/>
            <w:kern w:val="0"/>
            <w:sz w:val="24"/>
          </w:rPr>
          <w:t>2005</w:t>
        </w:r>
        <w:r w:rsidRPr="00800D22">
          <w:rPr>
            <w:rFonts w:eastAsia="新宋体"/>
            <w:bCs/>
            <w:kern w:val="0"/>
            <w:sz w:val="24"/>
          </w:rPr>
          <w:t>年</w:t>
        </w:r>
        <w:r w:rsidRPr="00800D22">
          <w:rPr>
            <w:rFonts w:eastAsia="新宋体"/>
            <w:bCs/>
            <w:kern w:val="0"/>
            <w:sz w:val="24"/>
          </w:rPr>
          <w:t>5</w:t>
        </w:r>
        <w:r w:rsidRPr="00800D22">
          <w:rPr>
            <w:rFonts w:eastAsia="新宋体"/>
            <w:bCs/>
            <w:kern w:val="0"/>
            <w:sz w:val="24"/>
          </w:rPr>
          <w:t>月</w:t>
        </w:r>
        <w:r w:rsidRPr="00800D22">
          <w:rPr>
            <w:rFonts w:eastAsia="新宋体"/>
            <w:bCs/>
            <w:kern w:val="0"/>
            <w:sz w:val="24"/>
          </w:rPr>
          <w:t>20</w:t>
        </w:r>
        <w:r w:rsidRPr="00800D22">
          <w:rPr>
            <w:rFonts w:eastAsia="新宋体"/>
            <w:bCs/>
            <w:kern w:val="0"/>
            <w:sz w:val="24"/>
          </w:rPr>
          <w:t>日</w:t>
        </w:r>
      </w:smartTag>
      <w:r w:rsidRPr="00800D22">
        <w:rPr>
          <w:rFonts w:eastAsia="新宋体"/>
          <w:bCs/>
          <w:kern w:val="0"/>
          <w:sz w:val="24"/>
        </w:rPr>
        <w:t>颁布的</w:t>
      </w:r>
      <w:proofErr w:type="spellStart"/>
      <w:r w:rsidRPr="00800D22">
        <w:rPr>
          <w:rFonts w:eastAsia="新宋体"/>
          <w:bCs/>
          <w:kern w:val="0"/>
          <w:sz w:val="24"/>
        </w:rPr>
        <w:t>PfandBG</w:t>
      </w:r>
      <w:proofErr w:type="spellEnd"/>
      <w:r w:rsidRPr="00800D22">
        <w:rPr>
          <w:rFonts w:eastAsia="新宋体"/>
          <w:bCs/>
          <w:kern w:val="0"/>
          <w:sz w:val="24"/>
        </w:rPr>
        <w:t xml:space="preserve"> –</w:t>
      </w:r>
      <w:proofErr w:type="spellStart"/>
      <w:r w:rsidRPr="00800D22">
        <w:rPr>
          <w:rFonts w:eastAsia="新宋体"/>
          <w:bCs/>
          <w:kern w:val="0"/>
          <w:sz w:val="24"/>
        </w:rPr>
        <w:lastRenderedPageBreak/>
        <w:t>Pfandbrief</w:t>
      </w:r>
      <w:proofErr w:type="spellEnd"/>
      <w:r w:rsidRPr="00800D22">
        <w:rPr>
          <w:rFonts w:eastAsia="新宋体"/>
          <w:bCs/>
          <w:kern w:val="0"/>
          <w:sz w:val="24"/>
        </w:rPr>
        <w:t xml:space="preserve"> Act</w:t>
      </w:r>
      <w:r w:rsidRPr="00800D22">
        <w:rPr>
          <w:rFonts w:eastAsia="新宋体"/>
          <w:bCs/>
          <w:kern w:val="0"/>
          <w:sz w:val="24"/>
        </w:rPr>
        <w:t>，同时还有另外三种全覆盖债券框架：</w:t>
      </w:r>
      <w:r w:rsidRPr="00800D22">
        <w:rPr>
          <w:rFonts w:eastAsia="新宋体"/>
          <w:bCs/>
          <w:kern w:val="0"/>
          <w:sz w:val="24"/>
          <w:lang w:val="de-DE"/>
        </w:rPr>
        <w:t>DZ-Bank CB, Postbank CB</w:t>
      </w:r>
      <w:r w:rsidRPr="00800D22">
        <w:rPr>
          <w:rFonts w:eastAsia="新宋体"/>
          <w:bCs/>
          <w:kern w:val="0"/>
          <w:sz w:val="24"/>
        </w:rPr>
        <w:t>和</w:t>
      </w:r>
      <w:r w:rsidRPr="00800D22">
        <w:rPr>
          <w:rFonts w:eastAsia="新宋体"/>
          <w:bCs/>
          <w:kern w:val="0"/>
          <w:sz w:val="24"/>
          <w:lang w:val="de-DE"/>
        </w:rPr>
        <w:t>Landwirtschaftliche Rentenbank CB</w:t>
      </w:r>
      <w:r w:rsidRPr="00800D22">
        <w:rPr>
          <w:rFonts w:eastAsia="新宋体"/>
          <w:bCs/>
          <w:kern w:val="0"/>
          <w:sz w:val="24"/>
        </w:rPr>
        <w:t>。三种不同的全覆盖债券对抵押资产的规定有所不同，但其破产保护原理</w:t>
      </w:r>
      <w:r w:rsidRPr="00800D22">
        <w:rPr>
          <w:rStyle w:val="af4"/>
          <w:rFonts w:eastAsia="新宋体"/>
          <w:bCs/>
          <w:kern w:val="0"/>
          <w:sz w:val="24"/>
        </w:rPr>
        <w:footnoteReference w:id="5"/>
      </w:r>
      <w:r w:rsidRPr="00800D22">
        <w:rPr>
          <w:rFonts w:eastAsia="新宋体"/>
          <w:bCs/>
          <w:kern w:val="0"/>
          <w:sz w:val="24"/>
        </w:rPr>
        <w:t>是基本相同的。</w:t>
      </w:r>
    </w:p>
    <w:p w14:paraId="2E916F61" w14:textId="77777777" w:rsidR="00172550" w:rsidRPr="00800D22" w:rsidRDefault="00172550" w:rsidP="00172550">
      <w:pPr>
        <w:spacing w:line="440" w:lineRule="exact"/>
        <w:ind w:firstLineChars="196" w:firstLine="472"/>
        <w:rPr>
          <w:b/>
          <w:sz w:val="24"/>
        </w:rPr>
      </w:pPr>
      <w:bookmarkStart w:id="24" w:name="_Toc196843620"/>
      <w:bookmarkStart w:id="25" w:name="_Toc217581320"/>
      <w:bookmarkStart w:id="26" w:name="_Toc217963533"/>
      <w:r w:rsidRPr="00800D22">
        <w:rPr>
          <w:b/>
          <w:sz w:val="24"/>
        </w:rPr>
        <w:t>（</w:t>
      </w:r>
      <w:r w:rsidRPr="00800D22">
        <w:rPr>
          <w:b/>
          <w:sz w:val="24"/>
        </w:rPr>
        <w:t>2</w:t>
      </w:r>
      <w:r w:rsidRPr="00800D22">
        <w:rPr>
          <w:b/>
          <w:sz w:val="24"/>
        </w:rPr>
        <w:t>）</w:t>
      </w:r>
      <w:bookmarkStart w:id="27" w:name="_Toc196843621"/>
      <w:bookmarkEnd w:id="24"/>
      <w:r w:rsidRPr="00800D22">
        <w:rPr>
          <w:b/>
          <w:sz w:val="24"/>
        </w:rPr>
        <w:t>发行人</w:t>
      </w:r>
      <w:bookmarkEnd w:id="25"/>
      <w:bookmarkEnd w:id="26"/>
      <w:bookmarkEnd w:id="27"/>
    </w:p>
    <w:p w14:paraId="1C6AB21C" w14:textId="77777777" w:rsidR="00172550" w:rsidRPr="00800D22" w:rsidRDefault="00172550" w:rsidP="00172550">
      <w:pPr>
        <w:autoSpaceDE w:val="0"/>
        <w:autoSpaceDN w:val="0"/>
        <w:adjustRightInd w:val="0"/>
        <w:spacing w:line="440" w:lineRule="exact"/>
        <w:ind w:firstLineChars="200" w:firstLine="480"/>
        <w:rPr>
          <w:rFonts w:eastAsia="新宋体"/>
          <w:bCs/>
          <w:kern w:val="0"/>
          <w:sz w:val="24"/>
        </w:rPr>
      </w:pPr>
      <w:r w:rsidRPr="00800D22">
        <w:rPr>
          <w:rFonts w:eastAsia="新宋体"/>
          <w:bCs/>
          <w:kern w:val="0"/>
          <w:sz w:val="24"/>
        </w:rPr>
        <w:t>2005</w:t>
      </w:r>
      <w:r w:rsidRPr="00800D22">
        <w:rPr>
          <w:rFonts w:eastAsia="新宋体"/>
          <w:bCs/>
          <w:kern w:val="0"/>
          <w:sz w:val="24"/>
        </w:rPr>
        <w:t>年起，德国全覆盖债券的发行人不再仅限于某些特定的银行，对于经营各项业务并获得发行全覆盖债券执照的信贷机构，如满足以下基本条件，都可发行全覆盖债券：核心资本达到</w:t>
      </w:r>
      <w:r w:rsidRPr="00800D22">
        <w:rPr>
          <w:rFonts w:eastAsia="新宋体"/>
          <w:bCs/>
          <w:kern w:val="0"/>
          <w:sz w:val="24"/>
        </w:rPr>
        <w:t>25,000,000</w:t>
      </w:r>
      <w:r w:rsidRPr="00800D22">
        <w:rPr>
          <w:rFonts w:eastAsia="新宋体"/>
          <w:bCs/>
          <w:kern w:val="0"/>
          <w:sz w:val="24"/>
        </w:rPr>
        <w:t>欧元；获得允许从事贷款业务的银行执照；</w:t>
      </w:r>
      <w:r w:rsidRPr="00800D22">
        <w:rPr>
          <w:rFonts w:eastAsia="新宋体" w:hint="eastAsia"/>
          <w:bCs/>
          <w:kern w:val="0"/>
          <w:sz w:val="24"/>
        </w:rPr>
        <w:t>具有</w:t>
      </w:r>
      <w:r w:rsidRPr="00800D22">
        <w:rPr>
          <w:rFonts w:eastAsia="新宋体"/>
          <w:bCs/>
          <w:kern w:val="0"/>
          <w:sz w:val="24"/>
        </w:rPr>
        <w:t>合适的风险管理方法和管理工具；拥有合理、可持续的商业项目计划和必要的组织结构。</w:t>
      </w:r>
    </w:p>
    <w:p w14:paraId="443FA14B" w14:textId="77777777" w:rsidR="00172550" w:rsidRPr="00800D22" w:rsidRDefault="00172550" w:rsidP="00172550">
      <w:pPr>
        <w:spacing w:line="440" w:lineRule="exact"/>
        <w:ind w:firstLineChars="196" w:firstLine="472"/>
        <w:rPr>
          <w:b/>
          <w:sz w:val="24"/>
        </w:rPr>
      </w:pPr>
      <w:bookmarkStart w:id="28" w:name="_Toc196843622"/>
      <w:bookmarkStart w:id="29" w:name="_Toc217581321"/>
      <w:bookmarkStart w:id="30" w:name="_Toc217963534"/>
      <w:r w:rsidRPr="00800D22">
        <w:rPr>
          <w:b/>
          <w:sz w:val="24"/>
        </w:rPr>
        <w:t>（</w:t>
      </w:r>
      <w:r w:rsidRPr="00800D22">
        <w:rPr>
          <w:b/>
          <w:sz w:val="24"/>
        </w:rPr>
        <w:t>3</w:t>
      </w:r>
      <w:r w:rsidRPr="00800D22">
        <w:rPr>
          <w:b/>
          <w:sz w:val="24"/>
        </w:rPr>
        <w:t>）</w:t>
      </w:r>
      <w:bookmarkStart w:id="31" w:name="_Toc196843623"/>
      <w:bookmarkEnd w:id="28"/>
      <w:r w:rsidRPr="00800D22">
        <w:rPr>
          <w:b/>
          <w:sz w:val="24"/>
        </w:rPr>
        <w:t>资产池</w:t>
      </w:r>
      <w:bookmarkEnd w:id="29"/>
      <w:bookmarkEnd w:id="30"/>
      <w:bookmarkEnd w:id="31"/>
    </w:p>
    <w:p w14:paraId="581B9685" w14:textId="77777777" w:rsidR="00172550" w:rsidRPr="00800D22" w:rsidRDefault="00172550" w:rsidP="00172550">
      <w:pPr>
        <w:autoSpaceDE w:val="0"/>
        <w:autoSpaceDN w:val="0"/>
        <w:adjustRightInd w:val="0"/>
        <w:spacing w:line="440" w:lineRule="exact"/>
        <w:ind w:firstLineChars="200" w:firstLine="480"/>
        <w:rPr>
          <w:rFonts w:eastAsia="新宋体"/>
          <w:bCs/>
          <w:kern w:val="0"/>
          <w:sz w:val="24"/>
        </w:rPr>
      </w:pPr>
      <w:r w:rsidRPr="00800D22">
        <w:rPr>
          <w:rFonts w:eastAsia="新宋体"/>
          <w:bCs/>
          <w:kern w:val="0"/>
          <w:sz w:val="24"/>
        </w:rPr>
        <w:t>三种资产可作为抵押资产</w:t>
      </w:r>
      <w:r w:rsidRPr="00800D22">
        <w:rPr>
          <w:rFonts w:ascii="新宋体" w:eastAsia="新宋体" w:hAnsi="新宋体"/>
          <w:bCs/>
          <w:kern w:val="0"/>
          <w:sz w:val="24"/>
        </w:rPr>
        <w:t>（不包括</w:t>
      </w:r>
      <w:r w:rsidRPr="00800D22">
        <w:rPr>
          <w:rFonts w:eastAsia="楷体_GB2312"/>
          <w:bCs/>
          <w:kern w:val="0"/>
          <w:sz w:val="24"/>
        </w:rPr>
        <w:t>ABS/MBS</w:t>
      </w:r>
      <w:r w:rsidRPr="00800D22">
        <w:rPr>
          <w:rStyle w:val="af4"/>
          <w:rFonts w:eastAsia="楷体_GB2312"/>
          <w:bCs/>
          <w:kern w:val="0"/>
          <w:sz w:val="24"/>
        </w:rPr>
        <w:footnoteReference w:id="6"/>
      </w:r>
      <w:r w:rsidRPr="00800D22">
        <w:rPr>
          <w:rFonts w:eastAsia="楷体_GB2312"/>
          <w:bCs/>
          <w:kern w:val="0"/>
          <w:sz w:val="24"/>
        </w:rPr>
        <w:t>）</w:t>
      </w:r>
      <w:r w:rsidRPr="00800D22">
        <w:rPr>
          <w:rFonts w:eastAsia="新宋体"/>
          <w:bCs/>
          <w:kern w:val="0"/>
          <w:sz w:val="24"/>
        </w:rPr>
        <w:t>：抵押贷款、公共部门贷款和船舶抵押贷款，这三类资产分别为不同的债券提供担保，分别是：</w:t>
      </w:r>
      <w:r w:rsidRPr="00800D22">
        <w:rPr>
          <w:rFonts w:eastAsia="新宋体"/>
          <w:sz w:val="24"/>
          <w:lang w:val="de-DE"/>
        </w:rPr>
        <w:t>Hypothekenpfandbriefe</w:t>
      </w:r>
      <w:r w:rsidRPr="00800D22">
        <w:rPr>
          <w:rFonts w:eastAsia="新宋体"/>
          <w:sz w:val="24"/>
          <w:lang w:val="de-DE"/>
        </w:rPr>
        <w:t>，</w:t>
      </w:r>
      <w:r w:rsidRPr="00800D22">
        <w:rPr>
          <w:rFonts w:eastAsia="新宋体"/>
          <w:sz w:val="24"/>
          <w:lang w:val="de-DE"/>
        </w:rPr>
        <w:t>Öffentliche Pfandbriefe</w:t>
      </w:r>
      <w:r w:rsidRPr="00800D22">
        <w:rPr>
          <w:rFonts w:eastAsia="新宋体"/>
          <w:sz w:val="24"/>
          <w:lang w:val="nl-NL"/>
        </w:rPr>
        <w:t>及</w:t>
      </w:r>
      <w:r w:rsidRPr="00800D22">
        <w:rPr>
          <w:rFonts w:eastAsia="新宋体"/>
          <w:sz w:val="24"/>
          <w:lang w:val="de-DE"/>
        </w:rPr>
        <w:t>Schiffspfandbriefe</w:t>
      </w:r>
      <w:r w:rsidRPr="00800D22">
        <w:rPr>
          <w:rFonts w:eastAsia="新宋体"/>
          <w:sz w:val="24"/>
          <w:lang w:val="nl-NL"/>
        </w:rPr>
        <w:t>。</w:t>
      </w:r>
      <w:r w:rsidRPr="00800D22">
        <w:rPr>
          <w:rFonts w:eastAsia="新宋体"/>
          <w:sz w:val="24"/>
          <w:lang w:val="de-DE"/>
        </w:rPr>
        <w:t xml:space="preserve"> </w:t>
      </w:r>
    </w:p>
    <w:p w14:paraId="356A4D6D"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sz w:val="24"/>
          <w:lang w:val="nl-NL"/>
        </w:rPr>
        <w:t>德国对某些特殊的抵押资产进入资产池的比率有一定限制，如在某些情况下允许衍生工具进入抵押资产池，但这一工具的比率不能超过抵押资产总价值的</w:t>
      </w:r>
      <w:r w:rsidRPr="00800D22">
        <w:rPr>
          <w:rFonts w:eastAsia="新宋体"/>
          <w:sz w:val="24"/>
          <w:lang w:val="nl-NL"/>
        </w:rPr>
        <w:t>12%</w:t>
      </w:r>
      <w:r w:rsidRPr="00800D22">
        <w:rPr>
          <w:rFonts w:eastAsia="新宋体"/>
          <w:sz w:val="24"/>
          <w:lang w:val="nl-NL"/>
        </w:rPr>
        <w:t>，潘德布雷</w:t>
      </w:r>
      <w:proofErr w:type="gramStart"/>
      <w:r w:rsidRPr="00800D22">
        <w:rPr>
          <w:rFonts w:eastAsia="新宋体"/>
          <w:sz w:val="24"/>
          <w:lang w:val="nl-NL"/>
        </w:rPr>
        <w:t>夫银行</w:t>
      </w:r>
      <w:proofErr w:type="gramEnd"/>
      <w:r w:rsidRPr="00800D22">
        <w:rPr>
          <w:rFonts w:eastAsia="新宋体"/>
          <w:sz w:val="24"/>
          <w:lang w:val="nl-NL"/>
        </w:rPr>
        <w:t>应在每个季度及年度财务报表附注中向公众发布抵押资产的有关信息。</w:t>
      </w:r>
    </w:p>
    <w:p w14:paraId="4A2911A8" w14:textId="77777777" w:rsidR="00172550" w:rsidRPr="00800D22" w:rsidRDefault="00172550" w:rsidP="00172550">
      <w:pPr>
        <w:spacing w:line="440" w:lineRule="exact"/>
        <w:ind w:firstLineChars="200" w:firstLine="480"/>
        <w:rPr>
          <w:rFonts w:eastAsia="新宋体"/>
          <w:bCs/>
          <w:kern w:val="0"/>
          <w:sz w:val="24"/>
        </w:rPr>
      </w:pPr>
      <w:r w:rsidRPr="00800D22">
        <w:rPr>
          <w:rFonts w:eastAsia="新宋体"/>
          <w:bCs/>
          <w:kern w:val="0"/>
          <w:sz w:val="24"/>
        </w:rPr>
        <w:t>抵押资产仍保留在发行人的资产负债表上，而并不随着全覆盖债券的出售而立即转移。不存在特定的全覆盖债券与某一担保资产的直接法定联系，而是所有的资产池中的资产对发行人发行的全部全覆盖债券进行担保。只有当发行人破产或无力偿还到期债务时，</w:t>
      </w:r>
      <w:proofErr w:type="gramStart"/>
      <w:r w:rsidRPr="00800D22">
        <w:rPr>
          <w:rFonts w:eastAsia="新宋体"/>
          <w:bCs/>
          <w:kern w:val="0"/>
          <w:sz w:val="24"/>
        </w:rPr>
        <w:t>资产池才从</w:t>
      </w:r>
      <w:proofErr w:type="gramEnd"/>
      <w:r w:rsidRPr="00800D22">
        <w:rPr>
          <w:rFonts w:eastAsia="新宋体"/>
          <w:bCs/>
          <w:kern w:val="0"/>
          <w:sz w:val="24"/>
        </w:rPr>
        <w:t>发行人的</w:t>
      </w:r>
      <w:r w:rsidRPr="00800D22">
        <w:rPr>
          <w:rFonts w:eastAsia="新宋体" w:hint="eastAsia"/>
          <w:bCs/>
          <w:kern w:val="0"/>
          <w:sz w:val="24"/>
        </w:rPr>
        <w:t>资产池</w:t>
      </w:r>
      <w:r w:rsidRPr="00800D22">
        <w:rPr>
          <w:rFonts w:eastAsia="新宋体"/>
          <w:bCs/>
          <w:kern w:val="0"/>
          <w:sz w:val="24"/>
        </w:rPr>
        <w:t>中隔离出来，并用于支付对潘德布雷夫债券持有者的债务。</w:t>
      </w:r>
    </w:p>
    <w:p w14:paraId="249749AD" w14:textId="77777777" w:rsidR="00172550" w:rsidRPr="00800D22" w:rsidRDefault="00172550" w:rsidP="00172550">
      <w:pPr>
        <w:spacing w:line="440" w:lineRule="exact"/>
        <w:ind w:firstLineChars="196" w:firstLine="472"/>
        <w:rPr>
          <w:b/>
          <w:sz w:val="24"/>
        </w:rPr>
      </w:pPr>
      <w:bookmarkStart w:id="32" w:name="_Toc196843624"/>
      <w:bookmarkStart w:id="33" w:name="_Toc217581322"/>
      <w:bookmarkStart w:id="34" w:name="_Toc217963535"/>
      <w:r w:rsidRPr="00800D22">
        <w:rPr>
          <w:b/>
          <w:sz w:val="24"/>
        </w:rPr>
        <w:t>（</w:t>
      </w:r>
      <w:r w:rsidRPr="00800D22">
        <w:rPr>
          <w:b/>
          <w:sz w:val="24"/>
        </w:rPr>
        <w:t>4</w:t>
      </w:r>
      <w:r w:rsidRPr="00800D22">
        <w:rPr>
          <w:b/>
          <w:sz w:val="24"/>
        </w:rPr>
        <w:t>）</w:t>
      </w:r>
      <w:bookmarkStart w:id="35" w:name="_Toc196843625"/>
      <w:bookmarkEnd w:id="32"/>
      <w:r w:rsidRPr="00800D22">
        <w:rPr>
          <w:b/>
          <w:sz w:val="24"/>
        </w:rPr>
        <w:t>抵押资产的估值及</w:t>
      </w:r>
      <w:r w:rsidRPr="00800D22">
        <w:rPr>
          <w:b/>
          <w:sz w:val="24"/>
        </w:rPr>
        <w:t>LTV</w:t>
      </w:r>
      <w:r w:rsidRPr="00800D22">
        <w:rPr>
          <w:rFonts w:hint="eastAsia"/>
          <w:b/>
          <w:sz w:val="24"/>
        </w:rPr>
        <w:t>（</w:t>
      </w:r>
      <w:r w:rsidRPr="00800D22">
        <w:rPr>
          <w:b/>
          <w:sz w:val="24"/>
        </w:rPr>
        <w:t xml:space="preserve">Loan to </w:t>
      </w:r>
      <w:r w:rsidRPr="00800D22">
        <w:rPr>
          <w:rFonts w:hint="eastAsia"/>
          <w:b/>
          <w:sz w:val="24"/>
        </w:rPr>
        <w:t>V</w:t>
      </w:r>
      <w:r w:rsidRPr="00800D22">
        <w:rPr>
          <w:b/>
          <w:sz w:val="24"/>
        </w:rPr>
        <w:t>alue</w:t>
      </w:r>
      <w:r w:rsidRPr="00800D22">
        <w:rPr>
          <w:rFonts w:hint="eastAsia"/>
          <w:b/>
          <w:sz w:val="24"/>
        </w:rPr>
        <w:t>）</w:t>
      </w:r>
      <w:r w:rsidRPr="00800D22">
        <w:rPr>
          <w:b/>
          <w:sz w:val="24"/>
        </w:rPr>
        <w:t>标准</w:t>
      </w:r>
      <w:bookmarkEnd w:id="33"/>
      <w:bookmarkEnd w:id="34"/>
      <w:bookmarkEnd w:id="35"/>
    </w:p>
    <w:p w14:paraId="5AF23E0C"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sz w:val="24"/>
          <w:lang w:val="nl-NL"/>
        </w:rPr>
        <w:t>对抵押资产的价值评估主要基于其可持续价值而非市场价值。对其价值评估的监管依照</w:t>
      </w:r>
      <w:r w:rsidRPr="00800D22">
        <w:rPr>
          <w:rFonts w:hAnsi="Arial"/>
          <w:sz w:val="24"/>
        </w:rPr>
        <w:t>资本监管指令</w:t>
      </w:r>
      <w:r w:rsidRPr="00800D22">
        <w:rPr>
          <w:rFonts w:eastAsia="新宋体"/>
          <w:sz w:val="24"/>
          <w:lang w:val="nl-NL"/>
        </w:rPr>
        <w:t>（</w:t>
      </w:r>
      <w:r w:rsidRPr="00800D22">
        <w:rPr>
          <w:sz w:val="24"/>
        </w:rPr>
        <w:t>Capital Requirement Directive</w:t>
      </w:r>
      <w:r w:rsidRPr="00800D22">
        <w:rPr>
          <w:sz w:val="24"/>
        </w:rPr>
        <w:t>，简称</w:t>
      </w:r>
      <w:r w:rsidRPr="00800D22">
        <w:rPr>
          <w:rFonts w:hint="eastAsia"/>
          <w:sz w:val="24"/>
        </w:rPr>
        <w:t>“</w:t>
      </w:r>
      <w:r w:rsidRPr="00800D22">
        <w:rPr>
          <w:rFonts w:eastAsia="新宋体"/>
          <w:sz w:val="24"/>
          <w:lang w:val="nl-NL"/>
        </w:rPr>
        <w:t>CRD</w:t>
      </w:r>
      <w:r w:rsidRPr="00800D22">
        <w:rPr>
          <w:rFonts w:eastAsia="新宋体" w:hint="eastAsia"/>
          <w:sz w:val="24"/>
          <w:lang w:val="nl-NL"/>
        </w:rPr>
        <w:t>”</w:t>
      </w:r>
      <w:r w:rsidRPr="00800D22">
        <w:rPr>
          <w:rFonts w:eastAsia="新宋体"/>
          <w:sz w:val="24"/>
          <w:lang w:val="nl-NL"/>
        </w:rPr>
        <w:t>）的要求进行。特别</w:t>
      </w:r>
      <w:r w:rsidRPr="00800D22">
        <w:rPr>
          <w:rFonts w:eastAsia="新宋体" w:hint="eastAsia"/>
          <w:sz w:val="24"/>
          <w:lang w:val="nl-NL"/>
        </w:rPr>
        <w:t>地</w:t>
      </w:r>
      <w:r w:rsidRPr="00800D22">
        <w:rPr>
          <w:rFonts w:eastAsia="新宋体"/>
          <w:sz w:val="24"/>
          <w:lang w:val="nl-NL"/>
        </w:rPr>
        <w:t>，当抵押资产的市场价值显著降低或抵押贷款发生违约时，必须对其重新估值。价值评估机构必须保持独立性。</w:t>
      </w:r>
    </w:p>
    <w:p w14:paraId="1A434826" w14:textId="77777777" w:rsidR="00172550" w:rsidRPr="00800D22" w:rsidRDefault="00172550" w:rsidP="00172550">
      <w:pPr>
        <w:spacing w:line="440" w:lineRule="exact"/>
        <w:ind w:firstLineChars="200" w:firstLine="480"/>
        <w:rPr>
          <w:rFonts w:eastAsia="新宋体" w:hint="eastAsia"/>
          <w:sz w:val="24"/>
          <w:lang w:val="nl-NL"/>
        </w:rPr>
      </w:pPr>
      <w:r w:rsidRPr="00800D22">
        <w:rPr>
          <w:rFonts w:eastAsia="新宋体"/>
          <w:sz w:val="24"/>
          <w:lang w:val="nl-NL"/>
        </w:rPr>
        <w:t>对商业贷款和住宅抵押贷款的</w:t>
      </w:r>
      <w:r w:rsidRPr="00800D22">
        <w:rPr>
          <w:rFonts w:eastAsia="新宋体"/>
          <w:sz w:val="24"/>
          <w:lang w:val="nl-NL"/>
        </w:rPr>
        <w:t>LTV</w:t>
      </w:r>
      <w:r w:rsidRPr="00800D22">
        <w:rPr>
          <w:rFonts w:eastAsia="新宋体"/>
          <w:sz w:val="24"/>
          <w:lang w:val="nl-NL"/>
        </w:rPr>
        <w:t>上限均为</w:t>
      </w:r>
      <w:r w:rsidRPr="00800D22">
        <w:rPr>
          <w:rFonts w:eastAsia="新宋体"/>
          <w:sz w:val="24"/>
          <w:lang w:val="nl-NL"/>
        </w:rPr>
        <w:t>60%</w:t>
      </w:r>
      <w:r w:rsidRPr="00800D22">
        <w:rPr>
          <w:rFonts w:eastAsia="新宋体"/>
          <w:sz w:val="24"/>
          <w:lang w:val="nl-NL"/>
        </w:rPr>
        <w:t>，但这一限制也是相对的，如贷款占抵押资产价值的比率超过</w:t>
      </w:r>
      <w:r w:rsidRPr="00800D22">
        <w:rPr>
          <w:rFonts w:eastAsia="新宋体"/>
          <w:sz w:val="24"/>
          <w:lang w:val="nl-NL"/>
        </w:rPr>
        <w:t>60%</w:t>
      </w:r>
      <w:r w:rsidRPr="00800D22">
        <w:rPr>
          <w:rFonts w:eastAsia="新宋体" w:hint="eastAsia"/>
          <w:sz w:val="24"/>
          <w:lang w:val="nl-NL"/>
        </w:rPr>
        <w:t xml:space="preserve"> </w:t>
      </w:r>
      <w:r w:rsidRPr="00800D22">
        <w:rPr>
          <w:rFonts w:eastAsia="新宋体"/>
          <w:sz w:val="24"/>
          <w:lang w:val="nl-NL"/>
        </w:rPr>
        <w:t>，超过的部分将不能计入抵押资产池的</w:t>
      </w:r>
      <w:r w:rsidRPr="00800D22">
        <w:rPr>
          <w:rFonts w:eastAsia="新宋体"/>
          <w:sz w:val="24"/>
          <w:lang w:val="nl-NL"/>
        </w:rPr>
        <w:lastRenderedPageBreak/>
        <w:t>总价值</w:t>
      </w:r>
      <w:r w:rsidRPr="00800D22">
        <w:rPr>
          <w:rFonts w:eastAsia="新宋体" w:hint="eastAsia"/>
          <w:sz w:val="24"/>
          <w:lang w:val="nl-NL"/>
        </w:rPr>
        <w:t>中</w:t>
      </w:r>
      <w:r w:rsidRPr="00800D22">
        <w:rPr>
          <w:rFonts w:eastAsia="新宋体"/>
          <w:sz w:val="24"/>
          <w:lang w:val="nl-NL"/>
        </w:rPr>
        <w:t>。</w:t>
      </w:r>
    </w:p>
    <w:p w14:paraId="2233A1F6" w14:textId="77777777" w:rsidR="00172550" w:rsidRPr="00281730" w:rsidRDefault="00172550" w:rsidP="00172550">
      <w:pPr>
        <w:spacing w:line="440" w:lineRule="exact"/>
        <w:ind w:firstLineChars="196" w:firstLine="472"/>
        <w:rPr>
          <w:b/>
          <w:sz w:val="24"/>
          <w:lang w:val="nl-NL"/>
        </w:rPr>
      </w:pPr>
      <w:bookmarkStart w:id="36" w:name="_Toc196843626"/>
      <w:bookmarkStart w:id="37" w:name="_Toc217581323"/>
      <w:bookmarkStart w:id="38" w:name="_Toc217963536"/>
      <w:r w:rsidRPr="00281730">
        <w:rPr>
          <w:b/>
          <w:sz w:val="24"/>
          <w:lang w:val="nl-NL"/>
        </w:rPr>
        <w:t>（</w:t>
      </w:r>
      <w:r w:rsidRPr="00281730">
        <w:rPr>
          <w:b/>
          <w:sz w:val="24"/>
          <w:lang w:val="nl-NL"/>
        </w:rPr>
        <w:t>5</w:t>
      </w:r>
      <w:r w:rsidRPr="00281730">
        <w:rPr>
          <w:b/>
          <w:sz w:val="24"/>
          <w:lang w:val="nl-NL"/>
        </w:rPr>
        <w:t>）</w:t>
      </w:r>
      <w:bookmarkStart w:id="39" w:name="_Toc196843627"/>
      <w:bookmarkEnd w:id="36"/>
      <w:r w:rsidRPr="00800D22">
        <w:rPr>
          <w:b/>
          <w:sz w:val="24"/>
        </w:rPr>
        <w:t>资产负债管理</w:t>
      </w:r>
      <w:bookmarkEnd w:id="37"/>
      <w:bookmarkEnd w:id="38"/>
      <w:bookmarkEnd w:id="39"/>
    </w:p>
    <w:p w14:paraId="31D93123"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bCs/>
          <w:kern w:val="0"/>
          <w:sz w:val="24"/>
        </w:rPr>
        <w:t>新的</w:t>
      </w:r>
      <w:r w:rsidRPr="00800D22">
        <w:rPr>
          <w:rFonts w:eastAsia="新宋体" w:hint="eastAsia"/>
          <w:bCs/>
          <w:kern w:val="0"/>
          <w:sz w:val="24"/>
        </w:rPr>
        <w:t>《抵押债券银行法》</w:t>
      </w:r>
      <w:r w:rsidRPr="00281730">
        <w:rPr>
          <w:rFonts w:eastAsia="新宋体" w:hint="eastAsia"/>
          <w:bCs/>
          <w:kern w:val="0"/>
          <w:sz w:val="24"/>
          <w:lang w:val="nl-NL"/>
        </w:rPr>
        <w:t>（</w:t>
      </w:r>
      <w:r w:rsidRPr="00281730">
        <w:rPr>
          <w:rFonts w:eastAsia="新宋体"/>
          <w:bCs/>
          <w:kern w:val="0"/>
          <w:sz w:val="24"/>
          <w:lang w:val="nl-NL"/>
        </w:rPr>
        <w:t>German Mortgage Bank Act</w:t>
      </w:r>
      <w:r w:rsidRPr="00281730">
        <w:rPr>
          <w:rFonts w:eastAsia="新宋体" w:hint="eastAsia"/>
          <w:bCs/>
          <w:kern w:val="0"/>
          <w:sz w:val="24"/>
          <w:lang w:val="nl-NL"/>
        </w:rPr>
        <w:t>）（</w:t>
      </w:r>
      <w:r w:rsidRPr="00281730">
        <w:rPr>
          <w:rFonts w:eastAsia="新宋体" w:hint="eastAsia"/>
          <w:bCs/>
          <w:kern w:val="0"/>
          <w:sz w:val="24"/>
          <w:lang w:val="nl-NL"/>
        </w:rPr>
        <w:t>2003</w:t>
      </w:r>
      <w:r w:rsidRPr="00800D22">
        <w:rPr>
          <w:rFonts w:eastAsia="新宋体" w:hint="eastAsia"/>
          <w:bCs/>
          <w:kern w:val="0"/>
          <w:sz w:val="24"/>
        </w:rPr>
        <w:t>年生效</w:t>
      </w:r>
      <w:r w:rsidRPr="00281730">
        <w:rPr>
          <w:rFonts w:eastAsia="新宋体" w:hint="eastAsia"/>
          <w:bCs/>
          <w:kern w:val="0"/>
          <w:sz w:val="24"/>
          <w:lang w:val="nl-NL"/>
        </w:rPr>
        <w:t>）</w:t>
      </w:r>
      <w:r w:rsidRPr="00800D22">
        <w:rPr>
          <w:rFonts w:eastAsia="新宋体"/>
          <w:bCs/>
          <w:kern w:val="0"/>
          <w:sz w:val="24"/>
        </w:rPr>
        <w:t>要求在净现值的基础上保持全覆盖</w:t>
      </w:r>
      <w:r w:rsidRPr="00281730">
        <w:rPr>
          <w:rFonts w:eastAsia="新宋体" w:hint="eastAsia"/>
          <w:bCs/>
          <w:kern w:val="0"/>
          <w:sz w:val="24"/>
          <w:lang w:val="nl-NL"/>
        </w:rPr>
        <w:t>，</w:t>
      </w:r>
      <w:r w:rsidRPr="00800D22">
        <w:rPr>
          <w:rFonts w:eastAsia="新宋体"/>
          <w:bCs/>
          <w:kern w:val="0"/>
          <w:sz w:val="24"/>
        </w:rPr>
        <w:t>要求始终保持抵押资产池对债券余额和利息的全覆盖。发行人在每周的压力测试后必</w:t>
      </w:r>
      <w:r w:rsidRPr="00800D22">
        <w:rPr>
          <w:rFonts w:eastAsia="新宋体"/>
          <w:sz w:val="24"/>
          <w:lang w:val="nl-NL"/>
        </w:rPr>
        <w:t>须维持至少</w:t>
      </w:r>
      <w:r w:rsidRPr="00800D22">
        <w:rPr>
          <w:rFonts w:eastAsia="新宋体"/>
          <w:sz w:val="24"/>
          <w:lang w:val="nl-NL"/>
        </w:rPr>
        <w:t>2%</w:t>
      </w:r>
      <w:r w:rsidRPr="00800D22">
        <w:rPr>
          <w:rFonts w:eastAsia="新宋体"/>
          <w:sz w:val="24"/>
          <w:lang w:val="nl-NL"/>
        </w:rPr>
        <w:t>的超额担保。每个季度发布市场上债券的到期时间及固定利息支付时间的相关信息。</w:t>
      </w:r>
    </w:p>
    <w:p w14:paraId="743ECC3A"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sz w:val="24"/>
          <w:lang w:val="nl-NL"/>
        </w:rPr>
        <w:t>每个季度，发行人根据净现值压力测试的结果，发布抵押资产池的超额担保情况信息。压力测试的内容不仅包括利率风险而且包括汇率风险。</w:t>
      </w:r>
    </w:p>
    <w:p w14:paraId="282DB5F9"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sz w:val="24"/>
          <w:lang w:val="nl-NL"/>
        </w:rPr>
        <w:t>基于其抵押贷款提前偿还的规则，资产池与债券现金流的不匹配情况将大大减少。根据规则，在固定利率期间，只有当借款人具备充分的理由或借款十年以后才允许提前偿还。如果提前偿还，借款人必须赔偿贷款人因此而形成的损失。</w:t>
      </w:r>
    </w:p>
    <w:p w14:paraId="7CAAD052" w14:textId="77777777" w:rsidR="00172550" w:rsidRPr="00800D22" w:rsidRDefault="00172550" w:rsidP="00172550">
      <w:pPr>
        <w:spacing w:line="440" w:lineRule="exact"/>
        <w:ind w:firstLineChars="196" w:firstLine="472"/>
        <w:rPr>
          <w:b/>
          <w:sz w:val="24"/>
        </w:rPr>
      </w:pPr>
      <w:bookmarkStart w:id="40" w:name="_Toc196843628"/>
      <w:bookmarkStart w:id="41" w:name="_Toc217581324"/>
      <w:bookmarkStart w:id="42" w:name="_Toc217963537"/>
      <w:r w:rsidRPr="00800D22">
        <w:rPr>
          <w:b/>
          <w:sz w:val="24"/>
        </w:rPr>
        <w:t>（</w:t>
      </w:r>
      <w:r w:rsidRPr="00800D22">
        <w:rPr>
          <w:b/>
          <w:sz w:val="24"/>
        </w:rPr>
        <w:t>6</w:t>
      </w:r>
      <w:r w:rsidRPr="00800D22">
        <w:rPr>
          <w:b/>
          <w:sz w:val="24"/>
        </w:rPr>
        <w:t>）</w:t>
      </w:r>
      <w:bookmarkStart w:id="43" w:name="_Toc196843629"/>
      <w:bookmarkEnd w:id="40"/>
      <w:r w:rsidRPr="00800D22">
        <w:rPr>
          <w:b/>
          <w:sz w:val="24"/>
        </w:rPr>
        <w:t>资产</w:t>
      </w:r>
      <w:proofErr w:type="gramStart"/>
      <w:r w:rsidRPr="00800D22">
        <w:rPr>
          <w:b/>
          <w:sz w:val="24"/>
        </w:rPr>
        <w:t>池监督</w:t>
      </w:r>
      <w:proofErr w:type="gramEnd"/>
      <w:r w:rsidRPr="00800D22">
        <w:rPr>
          <w:b/>
          <w:sz w:val="24"/>
        </w:rPr>
        <w:t>及银行监管</w:t>
      </w:r>
      <w:bookmarkEnd w:id="41"/>
      <w:bookmarkEnd w:id="42"/>
      <w:bookmarkEnd w:id="43"/>
    </w:p>
    <w:p w14:paraId="4006C2D7" w14:textId="77777777" w:rsidR="00172550" w:rsidRPr="00800D22" w:rsidRDefault="00172550" w:rsidP="00172550">
      <w:pPr>
        <w:spacing w:line="440" w:lineRule="exact"/>
        <w:ind w:firstLineChars="200" w:firstLine="480"/>
        <w:rPr>
          <w:rFonts w:eastAsia="新宋体"/>
          <w:sz w:val="24"/>
          <w:lang w:val="nl-NL"/>
        </w:rPr>
      </w:pPr>
      <w:r w:rsidRPr="00800D22">
        <w:rPr>
          <w:rFonts w:eastAsia="新宋体"/>
          <w:sz w:val="24"/>
          <w:lang w:val="nl-NL"/>
        </w:rPr>
        <w:t>资产池的监督人是由联邦金融</w:t>
      </w:r>
      <w:r w:rsidRPr="00800D22">
        <w:rPr>
          <w:rFonts w:eastAsia="新宋体" w:hint="eastAsia"/>
          <w:sz w:val="24"/>
          <w:lang w:val="nl-NL"/>
        </w:rPr>
        <w:t>监督管理局</w:t>
      </w:r>
      <w:r w:rsidRPr="00800D22">
        <w:rPr>
          <w:rFonts w:eastAsia="新宋体"/>
          <w:sz w:val="24"/>
          <w:lang w:val="nl-NL"/>
        </w:rPr>
        <w:t>（</w:t>
      </w:r>
      <w:r w:rsidRPr="00800D22">
        <w:rPr>
          <w:rFonts w:eastAsia="新宋体"/>
          <w:sz w:val="24"/>
          <w:lang w:val="nl-NL"/>
        </w:rPr>
        <w:t>BaFin</w:t>
      </w:r>
      <w:r w:rsidRPr="00800D22">
        <w:rPr>
          <w:rFonts w:eastAsia="新宋体"/>
          <w:sz w:val="24"/>
          <w:lang w:val="nl-NL"/>
        </w:rPr>
        <w:t>）指定的经验丰富</w:t>
      </w:r>
      <w:r w:rsidRPr="00800D22">
        <w:rPr>
          <w:rFonts w:eastAsia="新宋体" w:hint="eastAsia"/>
          <w:sz w:val="24"/>
          <w:lang w:val="nl-NL"/>
        </w:rPr>
        <w:t>且</w:t>
      </w:r>
      <w:r w:rsidRPr="00800D22">
        <w:rPr>
          <w:rFonts w:eastAsia="新宋体"/>
          <w:sz w:val="24"/>
          <w:lang w:val="nl-NL"/>
        </w:rPr>
        <w:t>具有审计资格的专业机构。监督人应该确保资产池对负债余额的全覆盖，并且资产池已正确</w:t>
      </w:r>
      <w:r w:rsidRPr="00800D22">
        <w:rPr>
          <w:rFonts w:eastAsia="新宋体" w:hint="eastAsia"/>
          <w:sz w:val="24"/>
          <w:lang w:val="nl-NL"/>
        </w:rPr>
        <w:t>地</w:t>
      </w:r>
      <w:r w:rsidRPr="00800D22">
        <w:rPr>
          <w:rFonts w:eastAsia="新宋体"/>
          <w:sz w:val="24"/>
          <w:lang w:val="nl-NL"/>
        </w:rPr>
        <w:t>在登记机构登记。没有资产池监督人的允许，任何资产都不能从资产池中转移出来。</w:t>
      </w:r>
      <w:r w:rsidRPr="00800D22">
        <w:rPr>
          <w:rFonts w:eastAsia="新宋体"/>
          <w:sz w:val="24"/>
          <w:lang w:val="nl-NL"/>
        </w:rPr>
        <w:t>BaFin</w:t>
      </w:r>
      <w:r w:rsidRPr="00800D22">
        <w:rPr>
          <w:rFonts w:eastAsia="新宋体"/>
          <w:sz w:val="24"/>
          <w:lang w:val="nl-NL"/>
        </w:rPr>
        <w:t>发布了有关抵押资产登记的形式与内容的实施细则。</w:t>
      </w:r>
      <w:r w:rsidRPr="00800D22">
        <w:rPr>
          <w:rFonts w:eastAsia="新宋体"/>
          <w:sz w:val="24"/>
          <w:lang w:val="nl-NL"/>
        </w:rPr>
        <w:t xml:space="preserve">  </w:t>
      </w:r>
    </w:p>
    <w:p w14:paraId="5E6D7F0E" w14:textId="77777777" w:rsidR="00172550" w:rsidRPr="00800D22" w:rsidRDefault="00172550" w:rsidP="00172550">
      <w:pPr>
        <w:spacing w:line="440" w:lineRule="exact"/>
        <w:ind w:firstLineChars="200" w:firstLine="480"/>
        <w:rPr>
          <w:rFonts w:eastAsia="新宋体" w:hint="eastAsia"/>
          <w:sz w:val="24"/>
          <w:lang w:val="nl-NL"/>
        </w:rPr>
      </w:pPr>
      <w:r w:rsidRPr="00800D22">
        <w:rPr>
          <w:rFonts w:eastAsia="新宋体"/>
          <w:sz w:val="24"/>
          <w:lang w:val="nl-NL"/>
        </w:rPr>
        <w:t>BaFin</w:t>
      </w:r>
      <w:r w:rsidRPr="00800D22">
        <w:rPr>
          <w:rFonts w:eastAsia="新宋体"/>
          <w:sz w:val="24"/>
          <w:lang w:val="nl-NL"/>
        </w:rPr>
        <w:t>对发行银行进行一般监管及特别监管，每两年指定审计机构对资产池进行一次审计。</w:t>
      </w:r>
    </w:p>
    <w:p w14:paraId="29B02AD5" w14:textId="77777777" w:rsidR="00172550" w:rsidRPr="00800D22" w:rsidRDefault="00172550" w:rsidP="00172550">
      <w:pPr>
        <w:spacing w:line="440" w:lineRule="exact"/>
        <w:ind w:firstLineChars="196" w:firstLine="472"/>
        <w:rPr>
          <w:b/>
          <w:sz w:val="24"/>
        </w:rPr>
      </w:pPr>
      <w:bookmarkStart w:id="44" w:name="_Toc196843630"/>
      <w:bookmarkStart w:id="45" w:name="_Toc217581325"/>
      <w:bookmarkStart w:id="46" w:name="_Toc217963538"/>
      <w:r w:rsidRPr="00800D22">
        <w:rPr>
          <w:b/>
          <w:sz w:val="24"/>
        </w:rPr>
        <w:t>（</w:t>
      </w:r>
      <w:r w:rsidRPr="00800D22">
        <w:rPr>
          <w:b/>
          <w:sz w:val="24"/>
        </w:rPr>
        <w:t>7</w:t>
      </w:r>
      <w:r w:rsidRPr="00800D22">
        <w:rPr>
          <w:b/>
          <w:sz w:val="24"/>
        </w:rPr>
        <w:t>）</w:t>
      </w:r>
      <w:bookmarkStart w:id="47" w:name="_Toc196843631"/>
      <w:bookmarkEnd w:id="44"/>
      <w:r w:rsidRPr="00800D22">
        <w:rPr>
          <w:b/>
          <w:sz w:val="24"/>
        </w:rPr>
        <w:t>资产隔离与破产隔离</w:t>
      </w:r>
      <w:bookmarkEnd w:id="45"/>
      <w:bookmarkEnd w:id="46"/>
      <w:bookmarkEnd w:id="47"/>
    </w:p>
    <w:p w14:paraId="6667F2B0" w14:textId="77777777" w:rsidR="00172550" w:rsidRPr="00800D22" w:rsidRDefault="00172550" w:rsidP="00172550">
      <w:pPr>
        <w:spacing w:line="440" w:lineRule="exact"/>
        <w:ind w:firstLineChars="200" w:firstLine="480"/>
        <w:rPr>
          <w:rFonts w:eastAsia="新宋体" w:hint="eastAsia"/>
          <w:sz w:val="24"/>
          <w:lang w:val="nl-NL"/>
        </w:rPr>
      </w:pPr>
      <w:r w:rsidRPr="00800D22">
        <w:rPr>
          <w:rFonts w:eastAsia="新宋体"/>
          <w:sz w:val="24"/>
          <w:lang w:val="nl-NL"/>
        </w:rPr>
        <w:t>由登记机构对抵押的资产进行登记。一旦发行人违约或破产，登记的资产将从破产程序中隔离出来。发行银行对资产池中的资产进行日常管理，监管人进行监管并定期向主管机构汇报。发行人破产程序开始后，也可能在破产程序开始之前，由法院应金融市场监管机构的要求指定资产池的特定监管人，并接管登记的资产。发行人破产不会导致全覆盖债券的提前到期，只要抵押资产具有相当的流动性，其当期利息的获取也不会受到影响。只有当资产池的资产价值低于负债或流动性不足时，才能由</w:t>
      </w:r>
      <w:r w:rsidRPr="00800D22">
        <w:rPr>
          <w:rFonts w:eastAsia="新宋体"/>
          <w:sz w:val="24"/>
          <w:lang w:val="nl-NL"/>
        </w:rPr>
        <w:t>BaFin</w:t>
      </w:r>
      <w:r w:rsidRPr="00800D22">
        <w:rPr>
          <w:rFonts w:eastAsia="新宋体"/>
          <w:sz w:val="24"/>
          <w:lang w:val="nl-NL"/>
        </w:rPr>
        <w:t>启动特别破产程序，这是全覆盖债券提前到期的唯一原因。目前还没有对在破产程序中超额担保处理的规定。破产清算人只能要求超额抵押的资产从资产池中释放出来（无法律依据</w:t>
      </w:r>
      <w:proofErr w:type="gramStart"/>
      <w:r w:rsidRPr="00800D22">
        <w:rPr>
          <w:rFonts w:eastAsia="新宋体"/>
          <w:sz w:val="24"/>
          <w:lang w:val="nl-NL"/>
        </w:rPr>
        <w:t>做保</w:t>
      </w:r>
      <w:proofErr w:type="gramEnd"/>
      <w:r w:rsidRPr="00800D22">
        <w:rPr>
          <w:rFonts w:eastAsia="新宋体"/>
          <w:sz w:val="24"/>
          <w:lang w:val="nl-NL"/>
        </w:rPr>
        <w:t>障）。债券持有者除了对资产池的求偿优先权之外，也具备对发行人的追索权。</w:t>
      </w:r>
    </w:p>
    <w:p w14:paraId="3CD62474" w14:textId="77777777" w:rsidR="00172550" w:rsidRPr="00800D22" w:rsidRDefault="00172550" w:rsidP="00172550">
      <w:pPr>
        <w:spacing w:line="440" w:lineRule="exact"/>
        <w:ind w:firstLineChars="200" w:firstLine="480"/>
        <w:rPr>
          <w:kern w:val="0"/>
          <w:sz w:val="24"/>
        </w:rPr>
      </w:pPr>
      <w:r w:rsidRPr="00800D22">
        <w:rPr>
          <w:kern w:val="0"/>
          <w:sz w:val="24"/>
        </w:rPr>
        <w:t>综上可以看出，全覆盖债券增信是通过法律和产品设计将增信方式嵌入产品之中，通过严格规定合格抵押资产、覆盖比例要求、抵押资产监管</w:t>
      </w:r>
      <w:r w:rsidRPr="00800D22">
        <w:rPr>
          <w:rFonts w:hint="eastAsia"/>
          <w:kern w:val="0"/>
          <w:sz w:val="24"/>
        </w:rPr>
        <w:t>及</w:t>
      </w:r>
      <w:r w:rsidRPr="00800D22">
        <w:rPr>
          <w:kern w:val="0"/>
          <w:sz w:val="24"/>
        </w:rPr>
        <w:t>破产保护等</w:t>
      </w:r>
      <w:r w:rsidRPr="00800D22">
        <w:rPr>
          <w:kern w:val="0"/>
          <w:sz w:val="24"/>
        </w:rPr>
        <w:lastRenderedPageBreak/>
        <w:t>各个环节对投资者的权益进行最大程度的保障，以达到增信的本质要求。</w:t>
      </w:r>
    </w:p>
    <w:p w14:paraId="7E4139CC" w14:textId="484A66D4" w:rsidR="00172550" w:rsidRPr="00800D22" w:rsidRDefault="00172550" w:rsidP="00172550">
      <w:pPr>
        <w:spacing w:line="440" w:lineRule="exact"/>
        <w:outlineLvl w:val="3"/>
        <w:rPr>
          <w:rFonts w:eastAsia="新宋体"/>
          <w:b/>
          <w:kern w:val="0"/>
          <w:sz w:val="24"/>
        </w:rPr>
      </w:pPr>
      <w:r>
        <w:rPr>
          <w:rFonts w:ascii="黑体" w:eastAsia="黑体" w:hAnsi="宋体" w:hint="eastAsia"/>
          <w:sz w:val="24"/>
        </w:rPr>
        <w:t>2.</w:t>
      </w:r>
      <w:r w:rsidRPr="00800D22">
        <w:rPr>
          <w:rFonts w:ascii="黑体" w:eastAsia="黑体" w:hAnsi="宋体"/>
          <w:sz w:val="24"/>
        </w:rPr>
        <w:t>抵押担保</w:t>
      </w:r>
    </w:p>
    <w:p w14:paraId="27534823" w14:textId="77777777" w:rsidR="00172550" w:rsidRPr="00800D22" w:rsidRDefault="00172550" w:rsidP="00172550">
      <w:pPr>
        <w:spacing w:line="440" w:lineRule="exact"/>
        <w:ind w:firstLine="435"/>
        <w:rPr>
          <w:rFonts w:hint="eastAsia"/>
          <w:sz w:val="24"/>
        </w:rPr>
      </w:pPr>
      <w:r w:rsidRPr="00800D22">
        <w:rPr>
          <w:rFonts w:hint="eastAsia"/>
          <w:sz w:val="24"/>
        </w:rPr>
        <w:t>除全覆盖债券外，德国标准的资产证券化产品和部分公司债券都广泛采用了</w:t>
      </w:r>
      <w:r w:rsidRPr="00800D22">
        <w:rPr>
          <w:sz w:val="24"/>
        </w:rPr>
        <w:t>抵押担保</w:t>
      </w:r>
      <w:r w:rsidRPr="00800D22">
        <w:rPr>
          <w:rFonts w:hint="eastAsia"/>
          <w:sz w:val="24"/>
        </w:rPr>
        <w:t>的增信方式。</w:t>
      </w:r>
      <w:r w:rsidRPr="00800D22">
        <w:rPr>
          <w:sz w:val="24"/>
        </w:rPr>
        <w:t>在</w:t>
      </w:r>
      <w:r w:rsidRPr="00800D22">
        <w:rPr>
          <w:rFonts w:hint="eastAsia"/>
          <w:sz w:val="24"/>
        </w:rPr>
        <w:t>资产</w:t>
      </w:r>
      <w:r w:rsidRPr="00800D22">
        <w:rPr>
          <w:sz w:val="24"/>
        </w:rPr>
        <w:t>证券化产品增信方面，主要是采用了超额抵押的</w:t>
      </w:r>
      <w:r w:rsidRPr="00800D22">
        <w:rPr>
          <w:rFonts w:hint="eastAsia"/>
          <w:sz w:val="24"/>
        </w:rPr>
        <w:t>增信</w:t>
      </w:r>
      <w:r w:rsidRPr="00800D22">
        <w:rPr>
          <w:sz w:val="24"/>
        </w:rPr>
        <w:t>方式，</w:t>
      </w:r>
      <w:r w:rsidRPr="00800D22">
        <w:rPr>
          <w:rFonts w:hint="eastAsia"/>
          <w:sz w:val="24"/>
        </w:rPr>
        <w:t>这点与德国市场需求较适应，同时也有法律的大力支持。在德国，由于全覆盖债券长期在市场（除政府债券外）中占据主导地位，因此以流动资产</w:t>
      </w:r>
      <w:proofErr w:type="gramStart"/>
      <w:r w:rsidRPr="00800D22">
        <w:rPr>
          <w:rFonts w:hint="eastAsia"/>
          <w:sz w:val="24"/>
        </w:rPr>
        <w:t>池作为</w:t>
      </w:r>
      <w:proofErr w:type="gramEnd"/>
      <w:r w:rsidRPr="00800D22">
        <w:rPr>
          <w:rFonts w:hint="eastAsia"/>
          <w:sz w:val="24"/>
        </w:rPr>
        <w:t>抵押的增信方式受到投资者的青睐，同时也增加了投资者对抵押担保的认可度，但诸如第三方担保和债券保险等新的增信方式受市场环境影响则难以得到投资者认可。</w:t>
      </w:r>
    </w:p>
    <w:p w14:paraId="41033876" w14:textId="532FDC84" w:rsidR="00172550" w:rsidRPr="00800D22" w:rsidRDefault="00172550" w:rsidP="00172550">
      <w:pPr>
        <w:spacing w:line="440" w:lineRule="exact"/>
        <w:outlineLvl w:val="3"/>
        <w:rPr>
          <w:rFonts w:ascii="黑体" w:eastAsia="黑体" w:hAnsi="宋体"/>
          <w:sz w:val="24"/>
        </w:rPr>
      </w:pPr>
      <w:r>
        <w:rPr>
          <w:rFonts w:ascii="黑体" w:eastAsia="黑体" w:hAnsi="宋体" w:hint="eastAsia"/>
          <w:sz w:val="24"/>
        </w:rPr>
        <w:t>3.</w:t>
      </w:r>
      <w:r w:rsidRPr="00800D22">
        <w:rPr>
          <w:rFonts w:ascii="黑体" w:eastAsia="黑体" w:hAnsi="宋体"/>
          <w:sz w:val="24"/>
        </w:rPr>
        <w:t>债券信托</w:t>
      </w:r>
    </w:p>
    <w:p w14:paraId="3399E73A" w14:textId="77777777" w:rsidR="00172550" w:rsidRPr="00800D22" w:rsidRDefault="00172550" w:rsidP="00172550">
      <w:pPr>
        <w:autoSpaceDE w:val="0"/>
        <w:autoSpaceDN w:val="0"/>
        <w:spacing w:line="440" w:lineRule="exact"/>
        <w:jc w:val="left"/>
        <w:rPr>
          <w:rFonts w:eastAsia="新宋体"/>
          <w:kern w:val="0"/>
          <w:sz w:val="24"/>
        </w:rPr>
      </w:pPr>
      <w:r w:rsidRPr="00800D22">
        <w:rPr>
          <w:rFonts w:eastAsia="新宋体"/>
          <w:b/>
          <w:kern w:val="0"/>
          <w:sz w:val="24"/>
        </w:rPr>
        <w:t xml:space="preserve">   </w:t>
      </w:r>
      <w:r w:rsidRPr="00800D22">
        <w:rPr>
          <w:rFonts w:eastAsia="新宋体"/>
          <w:kern w:val="0"/>
          <w:sz w:val="24"/>
        </w:rPr>
        <w:t xml:space="preserve"> </w:t>
      </w:r>
      <w:r w:rsidRPr="00800D22">
        <w:rPr>
          <w:rFonts w:eastAsia="新宋体"/>
          <w:kern w:val="0"/>
          <w:sz w:val="24"/>
        </w:rPr>
        <w:t>德国债券信托主要应用于公司债券增信方面。德国债券市场与英国债券市场比较相似，都是以政府债券和金融债券为主，公司债券规模偏小。而在增信方式上，两个国家也有着一定的相似性，比如，对于公司债券，都是主要采用债券信托的方式进行增信。</w:t>
      </w:r>
    </w:p>
    <w:p w14:paraId="3248662D" w14:textId="77777777" w:rsidR="00172550" w:rsidRPr="00800D22" w:rsidRDefault="00172550" w:rsidP="00172550">
      <w:pPr>
        <w:autoSpaceDE w:val="0"/>
        <w:autoSpaceDN w:val="0"/>
        <w:spacing w:line="440" w:lineRule="exact"/>
        <w:ind w:firstLine="480"/>
        <w:jc w:val="left"/>
        <w:rPr>
          <w:sz w:val="24"/>
        </w:rPr>
      </w:pPr>
      <w:r w:rsidRPr="00800D22">
        <w:rPr>
          <w:sz w:val="24"/>
        </w:rPr>
        <w:t>德国金融模式的一个重要特点是商业银行混业经营</w:t>
      </w:r>
      <w:r w:rsidRPr="00800D22">
        <w:rPr>
          <w:rFonts w:hint="eastAsia"/>
          <w:sz w:val="24"/>
        </w:rPr>
        <w:t>。</w:t>
      </w:r>
      <w:r w:rsidRPr="00800D22">
        <w:rPr>
          <w:rFonts w:eastAsia="新宋体"/>
          <w:kern w:val="0"/>
          <w:sz w:val="24"/>
        </w:rPr>
        <w:t>由于</w:t>
      </w:r>
      <w:r w:rsidRPr="00800D22">
        <w:rPr>
          <w:sz w:val="24"/>
        </w:rPr>
        <w:t>德国实行的是全能银行制度，所以在德国没有专门的金融信托机构，金融信托业务的拓展与长期资本市场的发展两者呈同步发展之势。随着金融全球化的深入发展，尤其是</w:t>
      </w:r>
      <w:r w:rsidRPr="00800D22">
        <w:rPr>
          <w:rFonts w:hint="eastAsia"/>
          <w:sz w:val="24"/>
        </w:rPr>
        <w:t>20</w:t>
      </w:r>
      <w:r w:rsidRPr="00800D22">
        <w:rPr>
          <w:rFonts w:hint="eastAsia"/>
          <w:sz w:val="24"/>
        </w:rPr>
        <w:t>世纪</w:t>
      </w:r>
      <w:r w:rsidRPr="00800D22">
        <w:rPr>
          <w:sz w:val="24"/>
        </w:rPr>
        <w:t>90</w:t>
      </w:r>
      <w:r w:rsidRPr="00800D22">
        <w:rPr>
          <w:sz w:val="24"/>
        </w:rPr>
        <w:t>年代以来金融</w:t>
      </w:r>
      <w:r w:rsidRPr="00800D22">
        <w:rPr>
          <w:rFonts w:hint="eastAsia"/>
          <w:sz w:val="24"/>
        </w:rPr>
        <w:t>业</w:t>
      </w:r>
      <w:r w:rsidRPr="00800D22">
        <w:rPr>
          <w:sz w:val="24"/>
        </w:rPr>
        <w:t>并购浪潮的兴起，德国信托业务的发展呈现以下特征：（</w:t>
      </w:r>
      <w:r w:rsidRPr="00800D22">
        <w:rPr>
          <w:sz w:val="24"/>
        </w:rPr>
        <w:t>1</w:t>
      </w:r>
      <w:r w:rsidRPr="00800D22">
        <w:rPr>
          <w:sz w:val="24"/>
        </w:rPr>
        <w:t>）金融信托业务可由一般的金融机构经营</w:t>
      </w:r>
      <w:r w:rsidRPr="00800D22">
        <w:rPr>
          <w:rFonts w:hint="eastAsia"/>
          <w:sz w:val="24"/>
        </w:rPr>
        <w:t>，</w:t>
      </w:r>
      <w:r w:rsidRPr="00800D22">
        <w:rPr>
          <w:sz w:val="24"/>
        </w:rPr>
        <w:t>银行兼营信托业务十分普遍</w:t>
      </w:r>
      <w:r w:rsidRPr="00800D22">
        <w:rPr>
          <w:rFonts w:hint="eastAsia"/>
          <w:sz w:val="24"/>
        </w:rPr>
        <w:t>，</w:t>
      </w:r>
      <w:r w:rsidRPr="00800D22">
        <w:rPr>
          <w:sz w:val="24"/>
        </w:rPr>
        <w:t>尽管在银行内部，银行与信托的两个部门是明确分开的，但信托所提供的金融产品和金融服务，却与银行所提供的无明显区别</w:t>
      </w:r>
      <w:r w:rsidRPr="00800D22">
        <w:rPr>
          <w:rFonts w:hint="eastAsia"/>
          <w:sz w:val="24"/>
        </w:rPr>
        <w:t>；</w:t>
      </w:r>
      <w:r w:rsidRPr="00800D22">
        <w:rPr>
          <w:sz w:val="24"/>
        </w:rPr>
        <w:t>（</w:t>
      </w:r>
      <w:r w:rsidRPr="00800D22">
        <w:rPr>
          <w:sz w:val="24"/>
        </w:rPr>
        <w:t>2</w:t>
      </w:r>
      <w:r w:rsidRPr="00800D22">
        <w:rPr>
          <w:sz w:val="24"/>
        </w:rPr>
        <w:t>）信托职能的多元化。在继续强调信托的管理基本职能的同时，对信托的其他职能也愈加重视，主要包括：</w:t>
      </w:r>
      <w:r w:rsidRPr="00800D22">
        <w:rPr>
          <w:rFonts w:ascii="宋体" w:hAnsi="宋体" w:cs="宋体" w:hint="eastAsia"/>
          <w:sz w:val="24"/>
        </w:rPr>
        <w:t>①</w:t>
      </w:r>
      <w:r w:rsidRPr="00800D22">
        <w:rPr>
          <w:sz w:val="24"/>
        </w:rPr>
        <w:t>融资职能信托业务加大了吸收社会游资的力度，成</w:t>
      </w:r>
      <w:r w:rsidRPr="00800D22">
        <w:rPr>
          <w:rFonts w:hint="eastAsia"/>
          <w:sz w:val="24"/>
        </w:rPr>
        <w:t>为</w:t>
      </w:r>
      <w:r w:rsidRPr="00800D22">
        <w:rPr>
          <w:sz w:val="24"/>
        </w:rPr>
        <w:t>国内大众重要的储蓄机构；</w:t>
      </w:r>
      <w:r w:rsidRPr="00800D22">
        <w:rPr>
          <w:rFonts w:ascii="宋体" w:hAnsi="宋体" w:cs="宋体" w:hint="eastAsia"/>
          <w:sz w:val="24"/>
        </w:rPr>
        <w:t>②</w:t>
      </w:r>
      <w:r w:rsidRPr="00800D22">
        <w:rPr>
          <w:sz w:val="24"/>
        </w:rPr>
        <w:t>投资职能</w:t>
      </w:r>
      <w:r w:rsidRPr="00800D22">
        <w:rPr>
          <w:rFonts w:hint="eastAsia"/>
          <w:sz w:val="24"/>
        </w:rPr>
        <w:t>。</w:t>
      </w:r>
      <w:r w:rsidRPr="00800D22">
        <w:rPr>
          <w:sz w:val="24"/>
        </w:rPr>
        <w:t>除将所吸收的资金用于中长期贷款业务，还为产业部门提供设备资金，为个</w:t>
      </w:r>
      <w:r w:rsidRPr="00800D22">
        <w:rPr>
          <w:rFonts w:hint="eastAsia"/>
          <w:sz w:val="24"/>
        </w:rPr>
        <w:t>，</w:t>
      </w:r>
      <w:r w:rsidRPr="00800D22">
        <w:rPr>
          <w:sz w:val="24"/>
        </w:rPr>
        <w:t>购买住宅提供融通资金等；</w:t>
      </w:r>
      <w:r w:rsidRPr="00800D22">
        <w:rPr>
          <w:rFonts w:ascii="宋体" w:hAnsi="宋体" w:cs="宋体" w:hint="eastAsia"/>
          <w:sz w:val="24"/>
        </w:rPr>
        <w:t>③</w:t>
      </w:r>
      <w:r w:rsidRPr="00800D22">
        <w:rPr>
          <w:sz w:val="24"/>
        </w:rPr>
        <w:t>金融职能</w:t>
      </w:r>
      <w:r w:rsidRPr="00800D22">
        <w:rPr>
          <w:rFonts w:hint="eastAsia"/>
          <w:sz w:val="24"/>
        </w:rPr>
        <w:t>。</w:t>
      </w:r>
      <w:r w:rsidRPr="00800D22">
        <w:rPr>
          <w:sz w:val="24"/>
        </w:rPr>
        <w:t>在传统的代理证券业务</w:t>
      </w:r>
      <w:r w:rsidRPr="00800D22">
        <w:rPr>
          <w:rFonts w:hint="eastAsia"/>
          <w:sz w:val="24"/>
        </w:rPr>
        <w:t>和</w:t>
      </w:r>
      <w:r w:rsidRPr="00800D22">
        <w:rPr>
          <w:sz w:val="24"/>
        </w:rPr>
        <w:t>代收款项业务的基础上，信托业务将有关的金融服</w:t>
      </w:r>
      <w:r w:rsidRPr="00800D22">
        <w:rPr>
          <w:rFonts w:hint="eastAsia"/>
          <w:sz w:val="24"/>
        </w:rPr>
        <w:t>，</w:t>
      </w:r>
      <w:r w:rsidRPr="00800D22">
        <w:rPr>
          <w:sz w:val="24"/>
        </w:rPr>
        <w:t>推广到纳税、保险、保管、租赁、会计、经纪人及投资咨询服务等领域。</w:t>
      </w:r>
    </w:p>
    <w:p w14:paraId="1E84987A" w14:textId="77777777" w:rsidR="00172550" w:rsidRPr="00800D22" w:rsidRDefault="00172550" w:rsidP="00172550">
      <w:pPr>
        <w:autoSpaceDE w:val="0"/>
        <w:autoSpaceDN w:val="0"/>
        <w:spacing w:line="440" w:lineRule="exact"/>
        <w:ind w:firstLine="480"/>
        <w:jc w:val="left"/>
        <w:rPr>
          <w:rFonts w:eastAsia="新宋体"/>
          <w:kern w:val="0"/>
          <w:sz w:val="24"/>
        </w:rPr>
      </w:pPr>
      <w:r w:rsidRPr="00800D22">
        <w:rPr>
          <w:sz w:val="24"/>
        </w:rPr>
        <w:t>总体来看，</w:t>
      </w:r>
      <w:r w:rsidRPr="00800D22">
        <w:rPr>
          <w:rFonts w:eastAsia="新宋体"/>
          <w:kern w:val="0"/>
          <w:sz w:val="24"/>
        </w:rPr>
        <w:t>德国信托业的发达给债券信托</w:t>
      </w:r>
      <w:r w:rsidRPr="00800D22">
        <w:rPr>
          <w:rFonts w:eastAsia="新宋体" w:hint="eastAsia"/>
          <w:kern w:val="0"/>
          <w:sz w:val="24"/>
        </w:rPr>
        <w:t>的发展</w:t>
      </w:r>
      <w:r w:rsidRPr="00800D22">
        <w:rPr>
          <w:rFonts w:eastAsia="新宋体"/>
          <w:kern w:val="0"/>
          <w:sz w:val="24"/>
        </w:rPr>
        <w:t>提供了良好的市场环境。</w:t>
      </w:r>
    </w:p>
    <w:p w14:paraId="5FDA48C6" w14:textId="763E66B9" w:rsidR="00172550" w:rsidRPr="00800D22" w:rsidRDefault="00172550" w:rsidP="00172550">
      <w:pPr>
        <w:spacing w:line="440" w:lineRule="exact"/>
        <w:outlineLvl w:val="3"/>
        <w:rPr>
          <w:rFonts w:ascii="黑体" w:eastAsia="黑体" w:hAnsi="宋体"/>
          <w:sz w:val="24"/>
        </w:rPr>
      </w:pPr>
      <w:r>
        <w:rPr>
          <w:rFonts w:ascii="黑体" w:eastAsia="黑体" w:hAnsi="宋体" w:hint="eastAsia"/>
          <w:sz w:val="24"/>
        </w:rPr>
        <w:t>4.</w:t>
      </w:r>
      <w:r w:rsidRPr="00800D22">
        <w:rPr>
          <w:rFonts w:ascii="黑体" w:eastAsia="黑体" w:hAnsi="宋体"/>
          <w:sz w:val="24"/>
        </w:rPr>
        <w:t>优先/次级结构</w:t>
      </w:r>
    </w:p>
    <w:p w14:paraId="5426C692" w14:textId="77777777" w:rsidR="00172550" w:rsidRPr="00800D22" w:rsidRDefault="00172550" w:rsidP="00172550">
      <w:pPr>
        <w:autoSpaceDE w:val="0"/>
        <w:autoSpaceDN w:val="0"/>
        <w:spacing w:line="440" w:lineRule="exact"/>
        <w:jc w:val="left"/>
        <w:rPr>
          <w:rFonts w:eastAsia="新宋体"/>
          <w:kern w:val="0"/>
          <w:sz w:val="24"/>
        </w:rPr>
      </w:pPr>
      <w:r w:rsidRPr="00800D22">
        <w:rPr>
          <w:rFonts w:eastAsia="新宋体"/>
          <w:b/>
          <w:kern w:val="0"/>
          <w:sz w:val="24"/>
        </w:rPr>
        <w:t xml:space="preserve">  </w:t>
      </w:r>
      <w:r w:rsidRPr="00800D22">
        <w:rPr>
          <w:rFonts w:eastAsia="新宋体"/>
          <w:kern w:val="0"/>
          <w:sz w:val="24"/>
        </w:rPr>
        <w:t xml:space="preserve">  </w:t>
      </w:r>
      <w:r w:rsidRPr="00800D22">
        <w:rPr>
          <w:rFonts w:eastAsia="新宋体"/>
          <w:kern w:val="0"/>
          <w:sz w:val="24"/>
        </w:rPr>
        <w:t>与众多国家一样，优先</w:t>
      </w:r>
      <w:r w:rsidRPr="00800D22">
        <w:rPr>
          <w:rFonts w:eastAsia="新宋体"/>
          <w:kern w:val="0"/>
          <w:sz w:val="24"/>
        </w:rPr>
        <w:t>/</w:t>
      </w:r>
      <w:r w:rsidRPr="00800D22">
        <w:rPr>
          <w:rFonts w:eastAsia="新宋体"/>
          <w:kern w:val="0"/>
          <w:sz w:val="24"/>
        </w:rPr>
        <w:t>次级结构在德国资产证券化产品增信中得到了很好的运用，已成为了与超额抵押同等重要的内部增信方式。该种增信方式增信原</w:t>
      </w:r>
      <w:r w:rsidRPr="00800D22">
        <w:rPr>
          <w:rFonts w:eastAsia="新宋体"/>
          <w:kern w:val="0"/>
          <w:sz w:val="24"/>
        </w:rPr>
        <w:lastRenderedPageBreak/>
        <w:t>理在各个国家运用中基本相同，在此不再重复。</w:t>
      </w:r>
    </w:p>
    <w:p w14:paraId="111FA502" w14:textId="77777777" w:rsidR="00172550" w:rsidRPr="00172550" w:rsidRDefault="00172550">
      <w:pPr>
        <w:rPr>
          <w:rFonts w:hint="eastAsia"/>
        </w:rPr>
      </w:pPr>
    </w:p>
    <w:sectPr w:rsidR="00172550" w:rsidRPr="001725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D184" w14:textId="77777777" w:rsidR="00BC4F7C" w:rsidRDefault="00BC4F7C" w:rsidP="00172550">
      <w:pPr>
        <w:rPr>
          <w:rFonts w:hint="eastAsia"/>
        </w:rPr>
      </w:pPr>
      <w:r>
        <w:separator/>
      </w:r>
    </w:p>
  </w:endnote>
  <w:endnote w:type="continuationSeparator" w:id="0">
    <w:p w14:paraId="2574A9DE" w14:textId="77777777" w:rsidR="00BC4F7C" w:rsidRDefault="00BC4F7C" w:rsidP="001725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ˎ̥">
    <w:altName w:val="Times New Roman"/>
    <w:panose1 w:val="00000000000000000000"/>
    <w:charset w:val="00"/>
    <w:family w:val="roman"/>
    <w:notTrueType/>
    <w:pitch w:val="default"/>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DDE8" w14:textId="77777777" w:rsidR="00BC4F7C" w:rsidRDefault="00BC4F7C" w:rsidP="00172550">
      <w:pPr>
        <w:rPr>
          <w:rFonts w:hint="eastAsia"/>
        </w:rPr>
      </w:pPr>
      <w:r>
        <w:separator/>
      </w:r>
    </w:p>
  </w:footnote>
  <w:footnote w:type="continuationSeparator" w:id="0">
    <w:p w14:paraId="6BF2B3B9" w14:textId="77777777" w:rsidR="00BC4F7C" w:rsidRDefault="00BC4F7C" w:rsidP="00172550">
      <w:pPr>
        <w:rPr>
          <w:rFonts w:hint="eastAsia"/>
        </w:rPr>
      </w:pPr>
      <w:r>
        <w:continuationSeparator/>
      </w:r>
    </w:p>
  </w:footnote>
  <w:footnote w:id="1">
    <w:p w14:paraId="6E9CA56E" w14:textId="77777777" w:rsidR="00172550" w:rsidRDefault="00172550" w:rsidP="00172550">
      <w:pPr>
        <w:pStyle w:val="af2"/>
        <w:rPr>
          <w:rFonts w:hint="eastAsia"/>
        </w:rPr>
      </w:pPr>
      <w:r>
        <w:rPr>
          <w:rStyle w:val="af4"/>
        </w:rPr>
        <w:footnoteRef/>
      </w:r>
      <w:r>
        <w:t xml:space="preserve"> </w:t>
      </w:r>
      <w:r w:rsidRPr="00C91A35">
        <w:rPr>
          <w:rFonts w:hint="eastAsia"/>
        </w:rPr>
        <w:t>不包括</w:t>
      </w:r>
      <w:r w:rsidRPr="00C91A35">
        <w:t>潘德布雷夫债券</w:t>
      </w:r>
      <w:r w:rsidRPr="00C91A35">
        <w:rPr>
          <w:rFonts w:hint="eastAsia"/>
        </w:rPr>
        <w:t>，</w:t>
      </w:r>
      <w:r>
        <w:rPr>
          <w:rFonts w:hint="eastAsia"/>
        </w:rPr>
        <w:t>本书</w:t>
      </w:r>
      <w:r w:rsidRPr="00C91A35">
        <w:rPr>
          <w:rFonts w:hint="eastAsia"/>
        </w:rPr>
        <w:t>将</w:t>
      </w:r>
      <w:r w:rsidRPr="00C91A35">
        <w:t>潘德布雷夫债券</w:t>
      </w:r>
      <w:r w:rsidRPr="00C91A35">
        <w:rPr>
          <w:rFonts w:hint="eastAsia"/>
        </w:rPr>
        <w:t>归为金融债券。</w:t>
      </w:r>
    </w:p>
  </w:footnote>
  <w:footnote w:id="2">
    <w:p w14:paraId="0A83575D" w14:textId="77777777" w:rsidR="00172550" w:rsidRPr="00ED0DA8" w:rsidRDefault="00172550" w:rsidP="00172550">
      <w:pPr>
        <w:pStyle w:val="af2"/>
        <w:rPr>
          <w:rFonts w:hint="eastAsia"/>
        </w:rPr>
      </w:pPr>
      <w:r>
        <w:rPr>
          <w:rStyle w:val="af4"/>
        </w:rPr>
        <w:footnoteRef/>
      </w:r>
      <w:r>
        <w:rPr>
          <w:rFonts w:eastAsia="新宋体" w:hint="eastAsia"/>
          <w:kern w:val="0"/>
          <w:szCs w:val="21"/>
        </w:rPr>
        <w:t xml:space="preserve"> </w:t>
      </w:r>
      <w:r w:rsidRPr="00B163EF">
        <w:rPr>
          <w:rFonts w:eastAsia="新宋体"/>
          <w:kern w:val="0"/>
          <w:szCs w:val="21"/>
        </w:rPr>
        <w:t>王一萱，楚天舒，</w:t>
      </w:r>
      <w:proofErr w:type="gramStart"/>
      <w:r w:rsidRPr="00B163EF">
        <w:rPr>
          <w:rFonts w:eastAsia="新宋体"/>
          <w:kern w:val="0"/>
          <w:szCs w:val="21"/>
        </w:rPr>
        <w:t>于延超</w:t>
      </w:r>
      <w:proofErr w:type="gramEnd"/>
      <w:r w:rsidRPr="00B163EF">
        <w:rPr>
          <w:rFonts w:eastAsia="新宋体"/>
          <w:kern w:val="0"/>
          <w:szCs w:val="21"/>
        </w:rPr>
        <w:t xml:space="preserve">. </w:t>
      </w:r>
      <w:r w:rsidRPr="00B163EF">
        <w:rPr>
          <w:rFonts w:eastAsia="新宋体"/>
          <w:kern w:val="0"/>
          <w:szCs w:val="21"/>
        </w:rPr>
        <w:t>西方主要国家债券市场比较研究</w:t>
      </w:r>
      <w:r w:rsidRPr="00B163EF">
        <w:rPr>
          <w:rFonts w:eastAsia="新宋体"/>
          <w:kern w:val="0"/>
          <w:szCs w:val="21"/>
        </w:rPr>
        <w:t>[R]</w:t>
      </w:r>
      <w:r w:rsidRPr="00B163EF">
        <w:rPr>
          <w:rFonts w:eastAsia="新宋体"/>
          <w:kern w:val="0"/>
          <w:szCs w:val="21"/>
        </w:rPr>
        <w:t>，深圳证券交易所综合研究所，</w:t>
      </w:r>
      <w:smartTag w:uri="urn:schemas-microsoft-com:office:smarttags" w:element="chsdate">
        <w:smartTagPr>
          <w:attr w:name="IsROCDate" w:val="False"/>
          <w:attr w:name="IsLunarDate" w:val="False"/>
          <w:attr w:name="Day" w:val="16"/>
          <w:attr w:name="Month" w:val="12"/>
          <w:attr w:name="Year" w:val="2005"/>
        </w:smartTagPr>
        <w:r w:rsidRPr="00B163EF">
          <w:rPr>
            <w:rFonts w:eastAsia="新宋体"/>
            <w:kern w:val="0"/>
            <w:szCs w:val="21"/>
          </w:rPr>
          <w:t>2005-12-16</w:t>
        </w:r>
      </w:smartTag>
      <w:r w:rsidRPr="00B163EF">
        <w:rPr>
          <w:rFonts w:eastAsia="新宋体"/>
          <w:kern w:val="0"/>
          <w:szCs w:val="21"/>
        </w:rPr>
        <w:t>.</w:t>
      </w:r>
    </w:p>
  </w:footnote>
  <w:footnote w:id="3">
    <w:p w14:paraId="6BBB3B90" w14:textId="77777777" w:rsidR="00172550" w:rsidRDefault="00172550" w:rsidP="00172550">
      <w:pPr>
        <w:pStyle w:val="af2"/>
        <w:rPr>
          <w:rFonts w:hint="eastAsia"/>
        </w:rPr>
      </w:pPr>
      <w:r>
        <w:rPr>
          <w:rStyle w:val="af4"/>
        </w:rPr>
        <w:footnoteRef/>
      </w:r>
      <w:r>
        <w:rPr>
          <w:rFonts w:eastAsia="新宋体" w:hint="eastAsia"/>
          <w:kern w:val="0"/>
          <w:szCs w:val="21"/>
        </w:rPr>
        <w:t xml:space="preserve"> </w:t>
      </w:r>
      <w:proofErr w:type="gramStart"/>
      <w:r w:rsidRPr="00650B44">
        <w:rPr>
          <w:rFonts w:eastAsia="新宋体"/>
          <w:kern w:val="0"/>
          <w:szCs w:val="21"/>
        </w:rPr>
        <w:t>米健</w:t>
      </w:r>
      <w:proofErr w:type="gramEnd"/>
      <w:r w:rsidRPr="00650B44">
        <w:rPr>
          <w:rFonts w:eastAsia="新宋体"/>
          <w:kern w:val="0"/>
          <w:szCs w:val="21"/>
        </w:rPr>
        <w:t xml:space="preserve">. </w:t>
      </w:r>
      <w:r w:rsidRPr="00650B44">
        <w:rPr>
          <w:rFonts w:eastAsia="新宋体"/>
          <w:kern w:val="0"/>
          <w:szCs w:val="21"/>
        </w:rPr>
        <w:t>典权制度的比较研究</w:t>
      </w:r>
      <w:r w:rsidRPr="00650B44">
        <w:rPr>
          <w:rFonts w:eastAsia="新宋体"/>
          <w:kern w:val="0"/>
          <w:szCs w:val="21"/>
        </w:rPr>
        <w:t>——</w:t>
      </w:r>
      <w:r w:rsidRPr="00650B44">
        <w:rPr>
          <w:rFonts w:eastAsia="新宋体"/>
          <w:kern w:val="0"/>
          <w:szCs w:val="21"/>
        </w:rPr>
        <w:t>以德国担保用益和法、意不动产质为比较考察对象</w:t>
      </w:r>
      <w:r w:rsidRPr="00650B44">
        <w:rPr>
          <w:rFonts w:eastAsia="新宋体"/>
          <w:kern w:val="0"/>
          <w:szCs w:val="21"/>
        </w:rPr>
        <w:t>[J]</w:t>
      </w:r>
      <w:r w:rsidRPr="00650B44">
        <w:rPr>
          <w:rFonts w:eastAsia="新宋体"/>
          <w:kern w:val="0"/>
          <w:szCs w:val="21"/>
        </w:rPr>
        <w:t>，政法论坛，</w:t>
      </w:r>
      <w:r w:rsidRPr="00650B44">
        <w:rPr>
          <w:rFonts w:eastAsia="新宋体"/>
          <w:kern w:val="0"/>
          <w:szCs w:val="21"/>
        </w:rPr>
        <w:t>2001</w:t>
      </w:r>
      <w:r w:rsidRPr="00650B44">
        <w:rPr>
          <w:rFonts w:eastAsia="新宋体"/>
          <w:kern w:val="0"/>
          <w:szCs w:val="21"/>
        </w:rPr>
        <w:t>，（</w:t>
      </w:r>
      <w:r w:rsidRPr="00650B44">
        <w:rPr>
          <w:rFonts w:eastAsia="新宋体"/>
          <w:kern w:val="0"/>
          <w:szCs w:val="21"/>
        </w:rPr>
        <w:t>4</w:t>
      </w:r>
      <w:r w:rsidRPr="00650B44">
        <w:rPr>
          <w:rFonts w:eastAsia="新宋体"/>
          <w:kern w:val="0"/>
          <w:szCs w:val="21"/>
        </w:rPr>
        <w:t>）：</w:t>
      </w:r>
      <w:r w:rsidRPr="00650B44">
        <w:rPr>
          <w:rFonts w:eastAsia="新宋体"/>
          <w:kern w:val="0"/>
          <w:szCs w:val="21"/>
        </w:rPr>
        <w:t>23-34.</w:t>
      </w:r>
    </w:p>
  </w:footnote>
  <w:footnote w:id="4">
    <w:p w14:paraId="08E8E6AC" w14:textId="77777777" w:rsidR="00172550" w:rsidRDefault="00172550" w:rsidP="00172550">
      <w:pPr>
        <w:pStyle w:val="af2"/>
        <w:rPr>
          <w:rFonts w:hint="eastAsia"/>
        </w:rPr>
      </w:pPr>
      <w:r>
        <w:rPr>
          <w:rStyle w:val="af4"/>
        </w:rPr>
        <w:footnoteRef/>
      </w:r>
      <w:r>
        <w:t xml:space="preserve"> </w:t>
      </w:r>
      <w:r>
        <w:rPr>
          <w:rFonts w:hint="eastAsia"/>
        </w:rPr>
        <w:t xml:space="preserve"> </w:t>
      </w:r>
      <w:r>
        <w:rPr>
          <w:rFonts w:hint="eastAsia"/>
        </w:rPr>
        <w:t>巴曙松，孙隆新，周沅帆</w:t>
      </w:r>
      <w:r>
        <w:rPr>
          <w:rFonts w:hint="eastAsia"/>
        </w:rPr>
        <w:t xml:space="preserve">. </w:t>
      </w:r>
      <w:r>
        <w:rPr>
          <w:rFonts w:hint="eastAsia"/>
        </w:rPr>
        <w:t>全覆盖债券的国际经验及中国的现实选择</w:t>
      </w:r>
      <w:r>
        <w:rPr>
          <w:rFonts w:hint="eastAsia"/>
        </w:rPr>
        <w:t xml:space="preserve">[M] </w:t>
      </w:r>
      <w:r>
        <w:rPr>
          <w:rFonts w:hint="eastAsia"/>
        </w:rPr>
        <w:t>，北京：经济科学出版社，</w:t>
      </w:r>
      <w:r>
        <w:rPr>
          <w:rFonts w:hint="eastAsia"/>
        </w:rPr>
        <w:t>2010</w:t>
      </w:r>
      <w:r>
        <w:rPr>
          <w:rFonts w:hint="eastAsia"/>
        </w:rPr>
        <w:t>，</w:t>
      </w:r>
      <w:r>
        <w:rPr>
          <w:rFonts w:hint="eastAsia"/>
        </w:rPr>
        <w:t>65-68.</w:t>
      </w:r>
    </w:p>
  </w:footnote>
  <w:footnote w:id="5">
    <w:p w14:paraId="69E60290" w14:textId="77777777" w:rsidR="00172550" w:rsidRPr="00036A0E" w:rsidRDefault="00172550" w:rsidP="00172550">
      <w:pPr>
        <w:pStyle w:val="af2"/>
        <w:rPr>
          <w:rFonts w:eastAsia="新宋体"/>
        </w:rPr>
      </w:pPr>
      <w:r>
        <w:rPr>
          <w:rStyle w:val="af4"/>
        </w:rPr>
        <w:footnoteRef/>
      </w:r>
      <w:r>
        <w:rPr>
          <w:rFonts w:eastAsia="新宋体" w:hAnsi="新宋体" w:hint="eastAsia"/>
          <w:bCs/>
          <w:kern w:val="0"/>
        </w:rPr>
        <w:t xml:space="preserve"> </w:t>
      </w:r>
      <w:r w:rsidRPr="00036A0E">
        <w:rPr>
          <w:rFonts w:eastAsia="新宋体" w:hAnsi="新宋体"/>
          <w:bCs/>
          <w:kern w:val="0"/>
        </w:rPr>
        <w:t>在破产保护方面，由于结构化全覆盖债券都是在合同的基础上发行的，其破产隔离的依据是各国的基本法以及破产程序的法理学原理。</w:t>
      </w:r>
    </w:p>
  </w:footnote>
  <w:footnote w:id="6">
    <w:p w14:paraId="37FD435A" w14:textId="77777777" w:rsidR="00172550" w:rsidRDefault="00172550" w:rsidP="00172550">
      <w:pPr>
        <w:pStyle w:val="af2"/>
        <w:rPr>
          <w:rFonts w:hint="eastAsia"/>
        </w:rPr>
      </w:pPr>
      <w:r>
        <w:rPr>
          <w:rStyle w:val="af4"/>
        </w:rPr>
        <w:footnoteRef/>
      </w:r>
      <w:r>
        <w:t xml:space="preserve"> </w:t>
      </w:r>
      <w:r w:rsidRPr="00CB006A">
        <w:rPr>
          <w:rFonts w:hAnsi="Arial"/>
          <w:color w:val="000000"/>
        </w:rPr>
        <w:t>抵押支持债券</w:t>
      </w:r>
      <w:r w:rsidRPr="00CB006A">
        <w:rPr>
          <w:rFonts w:hAnsi="Arial" w:hint="eastAsia"/>
          <w:color w:val="000000"/>
        </w:rPr>
        <w:t>，</w:t>
      </w:r>
      <w:r w:rsidRPr="00CB006A">
        <w:rPr>
          <w:color w:val="000000"/>
        </w:rPr>
        <w:t>Mortgage-Backed Security</w:t>
      </w:r>
      <w:r w:rsidRPr="00CB006A">
        <w:rPr>
          <w:rFonts w:hint="eastAsia"/>
          <w:color w:val="000000"/>
        </w:rPr>
        <w:t>的简称。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BE"/>
    <w:rsid w:val="001229D8"/>
    <w:rsid w:val="00172550"/>
    <w:rsid w:val="001B4656"/>
    <w:rsid w:val="0025005C"/>
    <w:rsid w:val="0026744F"/>
    <w:rsid w:val="002765BE"/>
    <w:rsid w:val="00341F2B"/>
    <w:rsid w:val="0072271E"/>
    <w:rsid w:val="008D0AC4"/>
    <w:rsid w:val="00BC4F7C"/>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2050"/>
    <o:shapelayout v:ext="edit">
      <o:idmap v:ext="edit" data="2"/>
    </o:shapelayout>
  </w:shapeDefaults>
  <w:decimalSymbol w:val="."/>
  <w:listSeparator w:val=","/>
  <w14:docId w14:val="09DEC05A"/>
  <w15:chartTrackingRefBased/>
  <w15:docId w15:val="{660D17BD-5362-47E7-9086-392C6B48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55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76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76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276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5B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5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5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65B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5BE"/>
    <w:rPr>
      <w:rFonts w:cstheme="majorBidi"/>
      <w:color w:val="2F5496" w:themeColor="accent1" w:themeShade="BF"/>
      <w:sz w:val="28"/>
      <w:szCs w:val="28"/>
    </w:rPr>
  </w:style>
  <w:style w:type="character" w:customStyle="1" w:styleId="50">
    <w:name w:val="标题 5 字符"/>
    <w:basedOn w:val="a0"/>
    <w:link w:val="5"/>
    <w:uiPriority w:val="9"/>
    <w:semiHidden/>
    <w:rsid w:val="002765BE"/>
    <w:rPr>
      <w:rFonts w:cstheme="majorBidi"/>
      <w:color w:val="2F5496" w:themeColor="accent1" w:themeShade="BF"/>
      <w:sz w:val="24"/>
    </w:rPr>
  </w:style>
  <w:style w:type="character" w:customStyle="1" w:styleId="60">
    <w:name w:val="标题 6 字符"/>
    <w:basedOn w:val="a0"/>
    <w:link w:val="6"/>
    <w:uiPriority w:val="9"/>
    <w:semiHidden/>
    <w:rsid w:val="002765BE"/>
    <w:rPr>
      <w:rFonts w:cstheme="majorBidi"/>
      <w:b/>
      <w:bCs/>
      <w:color w:val="2F5496" w:themeColor="accent1" w:themeShade="BF"/>
    </w:rPr>
  </w:style>
  <w:style w:type="character" w:customStyle="1" w:styleId="70">
    <w:name w:val="标题 7 字符"/>
    <w:basedOn w:val="a0"/>
    <w:link w:val="7"/>
    <w:uiPriority w:val="9"/>
    <w:semiHidden/>
    <w:rsid w:val="002765BE"/>
    <w:rPr>
      <w:rFonts w:cstheme="majorBidi"/>
      <w:b/>
      <w:bCs/>
      <w:color w:val="595959" w:themeColor="text1" w:themeTint="A6"/>
    </w:rPr>
  </w:style>
  <w:style w:type="character" w:customStyle="1" w:styleId="80">
    <w:name w:val="标题 8 字符"/>
    <w:basedOn w:val="a0"/>
    <w:link w:val="8"/>
    <w:uiPriority w:val="9"/>
    <w:semiHidden/>
    <w:rsid w:val="002765BE"/>
    <w:rPr>
      <w:rFonts w:cstheme="majorBidi"/>
      <w:color w:val="595959" w:themeColor="text1" w:themeTint="A6"/>
    </w:rPr>
  </w:style>
  <w:style w:type="character" w:customStyle="1" w:styleId="90">
    <w:name w:val="标题 9 字符"/>
    <w:basedOn w:val="a0"/>
    <w:link w:val="9"/>
    <w:uiPriority w:val="9"/>
    <w:semiHidden/>
    <w:rsid w:val="002765BE"/>
    <w:rPr>
      <w:rFonts w:eastAsiaTheme="majorEastAsia" w:cstheme="majorBidi"/>
      <w:color w:val="595959" w:themeColor="text1" w:themeTint="A6"/>
    </w:rPr>
  </w:style>
  <w:style w:type="paragraph" w:styleId="a3">
    <w:name w:val="Title"/>
    <w:basedOn w:val="a"/>
    <w:next w:val="a"/>
    <w:link w:val="a4"/>
    <w:uiPriority w:val="10"/>
    <w:qFormat/>
    <w:rsid w:val="002765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5BE"/>
    <w:pPr>
      <w:spacing w:before="160"/>
      <w:jc w:val="center"/>
    </w:pPr>
    <w:rPr>
      <w:i/>
      <w:iCs/>
      <w:color w:val="404040" w:themeColor="text1" w:themeTint="BF"/>
    </w:rPr>
  </w:style>
  <w:style w:type="character" w:customStyle="1" w:styleId="a8">
    <w:name w:val="引用 字符"/>
    <w:basedOn w:val="a0"/>
    <w:link w:val="a7"/>
    <w:uiPriority w:val="29"/>
    <w:rsid w:val="002765BE"/>
    <w:rPr>
      <w:i/>
      <w:iCs/>
      <w:color w:val="404040" w:themeColor="text1" w:themeTint="BF"/>
    </w:rPr>
  </w:style>
  <w:style w:type="paragraph" w:styleId="a9">
    <w:name w:val="List Paragraph"/>
    <w:basedOn w:val="a"/>
    <w:uiPriority w:val="34"/>
    <w:qFormat/>
    <w:rsid w:val="002765BE"/>
    <w:pPr>
      <w:ind w:left="720"/>
      <w:contextualSpacing/>
    </w:pPr>
  </w:style>
  <w:style w:type="character" w:styleId="aa">
    <w:name w:val="Intense Emphasis"/>
    <w:basedOn w:val="a0"/>
    <w:uiPriority w:val="21"/>
    <w:qFormat/>
    <w:rsid w:val="002765BE"/>
    <w:rPr>
      <w:i/>
      <w:iCs/>
      <w:color w:val="2F5496" w:themeColor="accent1" w:themeShade="BF"/>
    </w:rPr>
  </w:style>
  <w:style w:type="paragraph" w:styleId="ab">
    <w:name w:val="Intense Quote"/>
    <w:basedOn w:val="a"/>
    <w:next w:val="a"/>
    <w:link w:val="ac"/>
    <w:uiPriority w:val="30"/>
    <w:qFormat/>
    <w:rsid w:val="00276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5BE"/>
    <w:rPr>
      <w:i/>
      <w:iCs/>
      <w:color w:val="2F5496" w:themeColor="accent1" w:themeShade="BF"/>
    </w:rPr>
  </w:style>
  <w:style w:type="character" w:styleId="ad">
    <w:name w:val="Intense Reference"/>
    <w:basedOn w:val="a0"/>
    <w:uiPriority w:val="32"/>
    <w:qFormat/>
    <w:rsid w:val="002765BE"/>
    <w:rPr>
      <w:b/>
      <w:bCs/>
      <w:smallCaps/>
      <w:color w:val="2F5496" w:themeColor="accent1" w:themeShade="BF"/>
      <w:spacing w:val="5"/>
    </w:rPr>
  </w:style>
  <w:style w:type="paragraph" w:styleId="ae">
    <w:name w:val="header"/>
    <w:basedOn w:val="a"/>
    <w:link w:val="af"/>
    <w:uiPriority w:val="99"/>
    <w:unhideWhenUsed/>
    <w:rsid w:val="00172550"/>
    <w:pPr>
      <w:tabs>
        <w:tab w:val="center" w:pos="4153"/>
        <w:tab w:val="right" w:pos="8306"/>
      </w:tabs>
      <w:snapToGrid w:val="0"/>
      <w:jc w:val="center"/>
    </w:pPr>
    <w:rPr>
      <w:sz w:val="18"/>
      <w:szCs w:val="18"/>
    </w:rPr>
  </w:style>
  <w:style w:type="character" w:customStyle="1" w:styleId="af">
    <w:name w:val="页眉 字符"/>
    <w:basedOn w:val="a0"/>
    <w:link w:val="ae"/>
    <w:uiPriority w:val="99"/>
    <w:rsid w:val="00172550"/>
    <w:rPr>
      <w:sz w:val="18"/>
      <w:szCs w:val="18"/>
    </w:rPr>
  </w:style>
  <w:style w:type="paragraph" w:styleId="af0">
    <w:name w:val="footer"/>
    <w:basedOn w:val="a"/>
    <w:link w:val="af1"/>
    <w:uiPriority w:val="99"/>
    <w:unhideWhenUsed/>
    <w:rsid w:val="00172550"/>
    <w:pPr>
      <w:tabs>
        <w:tab w:val="center" w:pos="4153"/>
        <w:tab w:val="right" w:pos="8306"/>
      </w:tabs>
      <w:snapToGrid w:val="0"/>
    </w:pPr>
    <w:rPr>
      <w:sz w:val="18"/>
      <w:szCs w:val="18"/>
    </w:rPr>
  </w:style>
  <w:style w:type="character" w:customStyle="1" w:styleId="af1">
    <w:name w:val="页脚 字符"/>
    <w:basedOn w:val="a0"/>
    <w:link w:val="af0"/>
    <w:uiPriority w:val="99"/>
    <w:rsid w:val="00172550"/>
    <w:rPr>
      <w:sz w:val="18"/>
      <w:szCs w:val="18"/>
    </w:rPr>
  </w:style>
  <w:style w:type="character" w:customStyle="1" w:styleId="3Char">
    <w:name w:val="标题 3 Char"/>
    <w:rsid w:val="00172550"/>
    <w:rPr>
      <w:rFonts w:eastAsia="宋体"/>
      <w:b/>
      <w:bCs/>
      <w:kern w:val="2"/>
      <w:sz w:val="32"/>
      <w:szCs w:val="32"/>
      <w:lang w:val="en-US" w:eastAsia="zh-CN" w:bidi="ar-SA"/>
    </w:rPr>
  </w:style>
  <w:style w:type="paragraph" w:styleId="af2">
    <w:name w:val="footnote text"/>
    <w:basedOn w:val="a"/>
    <w:link w:val="Char"/>
    <w:semiHidden/>
    <w:rsid w:val="00172550"/>
    <w:pPr>
      <w:snapToGrid w:val="0"/>
      <w:jc w:val="left"/>
    </w:pPr>
    <w:rPr>
      <w:sz w:val="18"/>
      <w:szCs w:val="18"/>
    </w:rPr>
  </w:style>
  <w:style w:type="character" w:customStyle="1" w:styleId="af3">
    <w:name w:val="脚注文本 字符"/>
    <w:basedOn w:val="a0"/>
    <w:uiPriority w:val="99"/>
    <w:semiHidden/>
    <w:rsid w:val="00172550"/>
    <w:rPr>
      <w:rFonts w:ascii="Times New Roman" w:eastAsia="宋体" w:hAnsi="Times New Roman" w:cs="Times New Roman"/>
      <w:sz w:val="18"/>
      <w:szCs w:val="18"/>
      <w14:ligatures w14:val="none"/>
    </w:rPr>
  </w:style>
  <w:style w:type="character" w:customStyle="1" w:styleId="Char">
    <w:name w:val="脚注文本 Char"/>
    <w:link w:val="af2"/>
    <w:semiHidden/>
    <w:rsid w:val="00172550"/>
    <w:rPr>
      <w:rFonts w:ascii="Times New Roman" w:eastAsia="宋体" w:hAnsi="Times New Roman" w:cs="Times New Roman"/>
      <w:sz w:val="18"/>
      <w:szCs w:val="18"/>
      <w14:ligatures w14:val="none"/>
    </w:rPr>
  </w:style>
  <w:style w:type="character" w:styleId="af4">
    <w:name w:val="footnote reference"/>
    <w:semiHidden/>
    <w:rsid w:val="00172550"/>
    <w:rPr>
      <w:vertAlign w:val="superscript"/>
    </w:rPr>
  </w:style>
  <w:style w:type="character" w:styleId="af5">
    <w:name w:val="Strong"/>
    <w:qFormat/>
    <w:rsid w:val="00172550"/>
    <w:rPr>
      <w:b/>
      <w:bCs/>
    </w:rPr>
  </w:style>
  <w:style w:type="character" w:customStyle="1" w:styleId="maintdbg760">
    <w:name w:val="main_tdbg_760"/>
    <w:basedOn w:val="a0"/>
    <w:rsid w:val="00172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2025-10-21T08:59:00Z</dcterms:created>
  <dcterms:modified xsi:type="dcterms:W3CDTF">2025-10-21T09:01:00Z</dcterms:modified>
</cp:coreProperties>
</file>